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filled="t"/>
  </w:background>
  <w:body>
    <w:p w:rsidR="008B2E28" w:rsidP="001F3363" w14:paraId="77BCECBB" w14:textId="441007B4">
      <w:pPr>
        <w:rPr>
          <w:rtl/>
        </w:rPr>
      </w:pPr>
      <w:r>
        <w:rPr>
          <w:rFonts w:ascii="Tahoma" w:hAnsi="Tahoma" w:cs="Tahoma"/>
          <w:noProof/>
          <w:sz w:val="22"/>
          <w:szCs w:val="22"/>
          <w:rtl/>
          <w:lang w:val="he-IL"/>
        </w:rPr>
        <mc:AlternateContent>
          <mc:Choice Requires="wps">
            <w:drawing>
              <wp:anchor distT="0" distB="0" distL="114300" distR="114300" simplePos="0" relativeHeight="251697152" behindDoc="0" locked="0" layoutInCell="1" allowOverlap="1">
                <wp:simplePos x="0" y="0"/>
                <wp:positionH relativeFrom="column">
                  <wp:posOffset>-15165705</wp:posOffset>
                </wp:positionH>
                <wp:positionV relativeFrom="paragraph">
                  <wp:posOffset>-5916295</wp:posOffset>
                </wp:positionV>
                <wp:extent cx="552450" cy="514350"/>
                <wp:effectExtent l="0" t="0" r="19050" b="19050"/>
                <wp:wrapNone/>
                <wp:docPr id="23" name="Rectangle 23"/>
                <wp:cNvGraphicFramePr/>
                <a:graphic xmlns:a="http://schemas.openxmlformats.org/drawingml/2006/main">
                  <a:graphicData uri="http://schemas.microsoft.com/office/word/2010/wordprocessingShape">
                    <wps:wsp xmlns:wps="http://schemas.microsoft.com/office/word/2010/wordprocessingShape">
                      <wps:cNvSpPr/>
                      <wps:spPr>
                        <a:xfrm>
                          <a:off x="0" y="0"/>
                          <a:ext cx="552450" cy="514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3" o:spid="_x0000_s1026" style="width:43.5pt;height:40.5pt;margin-top:-465.85pt;margin-left:-1194.15pt;mso-wrap-distance-bottom:0;mso-wrap-distance-left:9pt;mso-wrap-distance-right:9pt;mso-wrap-distance-top:0;mso-wrap-style:square;position:absolute;visibility:visible;v-text-anchor:middle;z-index:251698176" fillcolor="#1cade4" strokecolor="#0d5571" strokeweight="1.25pt"/>
            </w:pict>
          </mc:Fallback>
        </mc:AlternateContent>
      </w:r>
      <w:r w:rsidR="00235CF1">
        <w:rPr>
          <w:noProof/>
        </w:rPr>
        <mc:AlternateContent>
          <mc:Choice Requires="wps">
            <w:drawing>
              <wp:anchor distT="0" distB="0" distL="114300" distR="114300" simplePos="0" relativeHeight="251671552"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7" style="flip:x;mso-height-percent:0;mso-height-relative:margin;mso-width-percent:0;mso-width-relative:margin;mso-wrap-distance-bottom:0;mso-wrap-distance-left:9pt;mso-wrap-distance-right:9pt;mso-wrap-distance-top:0;mso-wrap-style:square;position:absolute;visibility:visible;z-index:-251643904"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9050" b="285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8" alt="&quot;&quot;"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D2BB18" w14:textId="3FF91E97">
      <w:pPr>
        <w:rPr>
          <w:rtl/>
        </w:rPr>
      </w:pPr>
      <w:bookmarkStart w:id="0" w:name="_Hlk63775048"/>
      <w:bookmarkEnd w:id="0"/>
    </w:p>
    <w:p w:rsidR="008B2E28" w:rsidP="008D2388" w14:paraId="2060569F" w14:textId="440E7216">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9"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2AE7CF81" w14:textId="5748740A">
      <w:pPr>
        <w:spacing w:line="240" w:lineRule="atLeast"/>
        <w:jc w:val="center"/>
        <w:rPr>
          <w:rFonts w:ascii="Tahoma" w:hAnsi="Tahoma" w:cs="Tahoma"/>
          <w:sz w:val="22"/>
          <w:szCs w:val="22"/>
          <w:rtl/>
        </w:rPr>
      </w:pPr>
    </w:p>
    <w:p w:rsidR="008B2E28" w:rsidP="008D2388" w14:paraId="1A10551E" w14:textId="27DD208D">
      <w:pPr>
        <w:spacing w:line="240" w:lineRule="atLeast"/>
        <w:jc w:val="center"/>
        <w:rPr>
          <w:rFonts w:ascii="Tahoma" w:hAnsi="Tahoma" w:cs="Tahoma"/>
          <w:sz w:val="22"/>
          <w:szCs w:val="22"/>
          <w:rtl/>
        </w:rPr>
      </w:pPr>
    </w:p>
    <w:p w:rsidR="003C32FE" w:rsidRPr="00170230" w:rsidP="003C32FE" w14:paraId="7F9E1DC9" w14:textId="308DDB86">
      <w:pPr>
        <w:spacing w:line="240" w:lineRule="atLeast"/>
        <w:jc w:val="center"/>
        <w:rPr>
          <w:rFonts w:ascii="Tahoma" w:hAnsi="Tahoma" w:cs="Tahoma"/>
          <w:szCs w:val="18"/>
          <w:rtl/>
        </w:rPr>
      </w:pPr>
    </w:p>
    <w:p w:rsidR="003C32FE" w:rsidP="003C32FE" w14:paraId="6FE9A991" w14:textId="5582DDFB">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7456" behindDoc="0" locked="0" layoutInCell="1" allowOverlap="1">
                <wp:simplePos x="0" y="0"/>
                <wp:positionH relativeFrom="column">
                  <wp:posOffset>229594</wp:posOffset>
                </wp:positionH>
                <wp:positionV relativeFrom="paragraph">
                  <wp:posOffset>1851191</wp:posOffset>
                </wp:positionV>
                <wp:extent cx="2703443" cy="0"/>
                <wp:effectExtent l="0" t="0" r="0" b="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703443"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8480" from="18.1pt,145.75pt" to="230.95pt,145.75pt" strokecolor="white" strokeweight="1.5pt"/>
            </w:pict>
          </mc:Fallback>
        </mc:AlternateContent>
      </w:r>
      <w:r>
        <w:rPr>
          <w:rFonts w:ascii="Tahoma" w:hAnsi="Tahoma" w:cs="Tahoma"/>
          <w:noProof/>
          <w:sz w:val="22"/>
          <w:szCs w:val="22"/>
          <w:rtl/>
          <w:lang w:val="he-IL"/>
        </w:rPr>
        <mc:AlternateContent>
          <mc:Choice Requires="wps">
            <w:drawing>
              <wp:anchor distT="0" distB="0" distL="114300" distR="114300" simplePos="0" relativeHeight="251665408" behindDoc="0" locked="0" layoutInCell="1" allowOverlap="1">
                <wp:simplePos x="0" y="0"/>
                <wp:positionH relativeFrom="column">
                  <wp:posOffset>3072461</wp:posOffset>
                </wp:positionH>
                <wp:positionV relativeFrom="paragraph">
                  <wp:posOffset>260350</wp:posOffset>
                </wp:positionV>
                <wp:extent cx="0" cy="2829560"/>
                <wp:effectExtent l="19050" t="0" r="38100" b="4699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282956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1" style="mso-height-percent:0;mso-height-relative:margin;mso-width-percent:0;mso-width-relative:margin;mso-wrap-distance-bottom:0;mso-wrap-distance-left:9pt;mso-wrap-distance-right:9pt;mso-wrap-distance-top:0;mso-wrap-style:square;position:absolute;visibility:visible;z-index:251666432" from="241.95pt,20.5pt" to="241.95pt,243.3pt" strokecolor="white" strokeweight="4pt"/>
            </w:pict>
          </mc:Fallback>
        </mc:AlternateContent>
      </w:r>
      <w:r w:rsidRPr="0030415A" w:rsidR="00036B8E">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-661035</wp:posOffset>
                </wp:positionH>
                <wp:positionV relativeFrom="paragraph">
                  <wp:posOffset>332105</wp:posOffset>
                </wp:positionV>
                <wp:extent cx="5121275" cy="4273550"/>
                <wp:effectExtent l="0" t="0" r="3175" b="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2127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1370CF" w:rsidRPr="0052031E" w:rsidP="001370CF" w14:textId="236DBE81">
                            <w:pPr>
                              <w:pStyle w:val="a26"/>
                              <w:bidi/>
                              <w:rPr>
                                <w:rtl/>
                              </w:rPr>
                            </w:pPr>
                            <w:r>
                              <w:rPr>
                                <w:rFonts w:hint="cs"/>
                                <w:rtl/>
                              </w:rPr>
                              <w:t xml:space="preserve">מבקר המדינה | </w:t>
                            </w:r>
                            <w:r>
                              <w:rPr>
                                <w:rFonts w:hint="cs"/>
                                <w:rtl/>
                              </w:rPr>
                              <w:t>דוח</w:t>
                            </w:r>
                            <w:r w:rsidR="00B04176">
                              <w:rPr>
                                <w:rFonts w:hint="cs"/>
                                <w:rtl/>
                              </w:rPr>
                              <w:t xml:space="preserve"> על הביקורת ב</w:t>
                            </w:r>
                            <w:r w:rsidR="00B54001">
                              <w:rPr>
                                <w:rFonts w:hint="cs"/>
                                <w:rtl/>
                              </w:rPr>
                              <w:t xml:space="preserve">שלטון </w:t>
                            </w:r>
                            <w:r w:rsidR="00B04176">
                              <w:rPr>
                                <w:rFonts w:hint="cs"/>
                                <w:rtl/>
                              </w:rPr>
                              <w:t>ה</w:t>
                            </w:r>
                            <w:r w:rsidR="00B54001">
                              <w:rPr>
                                <w:rFonts w:hint="cs"/>
                                <w:rtl/>
                              </w:rPr>
                              <w:t xml:space="preserve">מקומי </w:t>
                            </w:r>
                            <w:r w:rsidRPr="0052031E">
                              <w:rPr>
                                <w:rtl/>
                              </w:rPr>
                              <w:t>|</w:t>
                            </w:r>
                            <w:r>
                              <w:rPr>
                                <w:rFonts w:hint="cs"/>
                                <w:rtl/>
                              </w:rPr>
                              <w:t xml:space="preserve"> </w:t>
                            </w:r>
                            <w:r w:rsidRPr="00AF3B73">
                              <w:rPr>
                                <w:rtl/>
                              </w:rPr>
                              <w:t>התשפ"ד</w:t>
                            </w:r>
                            <w:r>
                              <w:rPr>
                                <w:rFonts w:hint="cs"/>
                                <w:rtl/>
                              </w:rPr>
                              <w:t>-2024</w:t>
                            </w:r>
                          </w:p>
                          <w:p w:rsidR="008A71D4" w:rsidRPr="0052031E" w:rsidP="008A71D4" w14:textId="0C20DA9A">
                            <w:pPr>
                              <w:pStyle w:val="a26"/>
                              <w:bidi/>
                              <w:rPr>
                                <w:rtl/>
                              </w:rPr>
                            </w:pPr>
                          </w:p>
                          <w:p w:rsidR="00F73EE0" w:rsidP="0052031E" w14:textId="77777777">
                            <w:pPr>
                              <w:ind w:left="2268"/>
                              <w:rPr>
                                <w:rtl/>
                              </w:rPr>
                            </w:pPr>
                          </w:p>
                          <w:p w:rsidR="005D0F8C" w:rsidRPr="000A3ED4" w:rsidP="000F5023" w14:textId="0F80D32C">
                            <w:pPr>
                              <w:pStyle w:val="-1"/>
                              <w:rPr>
                                <w:rtl/>
                              </w:rPr>
                            </w:pPr>
                            <w:r>
                              <w:rPr>
                                <w:rFonts w:hint="cs"/>
                                <w:rtl/>
                              </w:rPr>
                              <w:t>ביקורת חברתית</w:t>
                            </w:r>
                          </w:p>
                          <w:p w:rsidR="00C30482" w:rsidRPr="000F5023" w:rsidP="00E5752B" w14:textId="0B14452F">
                            <w:pPr>
                              <w:pStyle w:val="a25"/>
                              <w:bidi/>
                              <w:spacing w:before="120"/>
                              <w:rPr>
                                <w:rtl/>
                              </w:rPr>
                            </w:pPr>
                            <w:r>
                              <w:rPr>
                                <w:rFonts w:hint="cs"/>
                                <w:sz w:val="40"/>
                                <w:szCs w:val="40"/>
                                <w:rtl/>
                              </w:rPr>
                              <w:t>קידום השוויון המגדרי בשלטון המקומי</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alt="&quot;&quot;" style="width:403.25pt;height:336.5pt;margin-top:26.15pt;margin-left:-52.0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1BD45611" w14:textId="77777777">
                      <w:pPr>
                        <w:ind w:left="2268"/>
                        <w:rPr>
                          <w:rFonts w:ascii="Tahoma" w:hAnsi="Tahoma" w:cs="Tahoma"/>
                          <w:sz w:val="18"/>
                          <w:szCs w:val="18"/>
                          <w:rtl/>
                        </w:rPr>
                      </w:pPr>
                    </w:p>
                    <w:p w:rsidR="00F73EE0" w:rsidP="0052031E" w14:paraId="3BF6855F" w14:textId="77777777">
                      <w:pPr>
                        <w:ind w:left="2268"/>
                        <w:rPr>
                          <w:rFonts w:ascii="Tahoma" w:hAnsi="Tahoma" w:cs="Tahoma"/>
                          <w:sz w:val="18"/>
                          <w:szCs w:val="18"/>
                          <w:rtl/>
                        </w:rPr>
                      </w:pPr>
                    </w:p>
                    <w:p w:rsidR="001370CF" w:rsidRPr="0052031E" w:rsidP="001370CF" w14:paraId="636F0CD3" w14:textId="236DBE81">
                      <w:pPr>
                        <w:pStyle w:val="a26"/>
                        <w:bidi/>
                        <w:rPr>
                          <w:rtl/>
                        </w:rPr>
                      </w:pPr>
                      <w:r>
                        <w:rPr>
                          <w:rFonts w:hint="cs"/>
                          <w:rtl/>
                        </w:rPr>
                        <w:t xml:space="preserve">מבקר המדינה | </w:t>
                      </w:r>
                      <w:r>
                        <w:rPr>
                          <w:rFonts w:hint="cs"/>
                          <w:rtl/>
                        </w:rPr>
                        <w:t>דוח</w:t>
                      </w:r>
                      <w:r w:rsidR="00B04176">
                        <w:rPr>
                          <w:rFonts w:hint="cs"/>
                          <w:rtl/>
                        </w:rPr>
                        <w:t xml:space="preserve"> על הביקורת ב</w:t>
                      </w:r>
                      <w:r w:rsidR="00B54001">
                        <w:rPr>
                          <w:rFonts w:hint="cs"/>
                          <w:rtl/>
                        </w:rPr>
                        <w:t xml:space="preserve">שלטון </w:t>
                      </w:r>
                      <w:r w:rsidR="00B04176">
                        <w:rPr>
                          <w:rFonts w:hint="cs"/>
                          <w:rtl/>
                        </w:rPr>
                        <w:t>ה</w:t>
                      </w:r>
                      <w:r w:rsidR="00B54001">
                        <w:rPr>
                          <w:rFonts w:hint="cs"/>
                          <w:rtl/>
                        </w:rPr>
                        <w:t xml:space="preserve">מקומי </w:t>
                      </w:r>
                      <w:r w:rsidRPr="0052031E">
                        <w:rPr>
                          <w:rtl/>
                        </w:rPr>
                        <w:t>|</w:t>
                      </w:r>
                      <w:r>
                        <w:rPr>
                          <w:rFonts w:hint="cs"/>
                          <w:rtl/>
                        </w:rPr>
                        <w:t xml:space="preserve"> </w:t>
                      </w:r>
                      <w:r w:rsidRPr="00AF3B73">
                        <w:rPr>
                          <w:rtl/>
                        </w:rPr>
                        <w:t>התשפ"ד</w:t>
                      </w:r>
                      <w:r>
                        <w:rPr>
                          <w:rFonts w:hint="cs"/>
                          <w:rtl/>
                        </w:rPr>
                        <w:t>-2024</w:t>
                      </w:r>
                    </w:p>
                    <w:p w:rsidR="008A71D4" w:rsidRPr="0052031E" w:rsidP="008A71D4" w14:paraId="7B675404" w14:textId="0C20DA9A">
                      <w:pPr>
                        <w:pStyle w:val="a26"/>
                        <w:bidi/>
                        <w:rPr>
                          <w:rtl/>
                        </w:rPr>
                      </w:pPr>
                    </w:p>
                    <w:p w:rsidR="00F73EE0" w:rsidP="0052031E" w14:paraId="460F1ABC" w14:textId="77777777">
                      <w:pPr>
                        <w:ind w:left="2268"/>
                        <w:rPr>
                          <w:rtl/>
                        </w:rPr>
                      </w:pPr>
                    </w:p>
                    <w:p w:rsidR="005D0F8C" w:rsidRPr="000A3ED4" w:rsidP="000F5023" w14:paraId="547BD7F9" w14:textId="0F80D32C">
                      <w:pPr>
                        <w:pStyle w:val="-1"/>
                        <w:rPr>
                          <w:rtl/>
                        </w:rPr>
                      </w:pPr>
                      <w:r>
                        <w:rPr>
                          <w:rFonts w:hint="cs"/>
                          <w:rtl/>
                        </w:rPr>
                        <w:t>ביקורת חברתית</w:t>
                      </w:r>
                    </w:p>
                    <w:p w:rsidR="00C30482" w:rsidRPr="000F5023" w:rsidP="00E5752B" w14:paraId="1BBD9830" w14:textId="0B14452F">
                      <w:pPr>
                        <w:pStyle w:val="a25"/>
                        <w:bidi/>
                        <w:spacing w:before="120"/>
                        <w:rPr>
                          <w:rtl/>
                        </w:rPr>
                      </w:pPr>
                      <w:r>
                        <w:rPr>
                          <w:rFonts w:hint="cs"/>
                          <w:sz w:val="40"/>
                          <w:szCs w:val="40"/>
                          <w:rtl/>
                        </w:rPr>
                        <w:t>קידום השוויון המגדרי בשלטון המקומי</w:t>
                      </w:r>
                    </w:p>
                  </w:txbxContent>
                </v:textbox>
                <w10:wrap type="square"/>
              </v:shape>
            </w:pict>
          </mc:Fallback>
        </mc:AlternateContent>
      </w:r>
      <w:r w:rsidR="00AD43D0">
        <w:rPr>
          <w:noProof/>
        </w:rPr>
        <w:drawing>
          <wp:anchor distT="0" distB="0" distL="114300" distR="114300" simplePos="0" relativeHeight="251723776" behindDoc="0" locked="0" layoutInCell="1" allowOverlap="1">
            <wp:simplePos x="0" y="0"/>
            <wp:positionH relativeFrom="column">
              <wp:posOffset>3258820</wp:posOffset>
            </wp:positionH>
            <wp:positionV relativeFrom="paragraph">
              <wp:posOffset>455295</wp:posOffset>
            </wp:positionV>
            <wp:extent cx="948055" cy="617855"/>
            <wp:effectExtent l="0" t="0" r="4445"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948055" cy="617855"/>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721B2220" w14:textId="77777777">
      <w:pPr>
        <w:spacing w:line="240" w:lineRule="atLeast"/>
        <w:jc w:val="center"/>
        <w:rPr>
          <w:rFonts w:ascii="Tahoma" w:hAnsi="Tahoma" w:cs="Tahoma"/>
          <w:sz w:val="22"/>
          <w:szCs w:val="22"/>
          <w:rtl/>
        </w:rPr>
      </w:pPr>
    </w:p>
    <w:p w:rsidR="00E35DF9" w:rsidRPr="00406E80" w:rsidP="008D2388" w14:paraId="15F9089C" w14:textId="77777777">
      <w:pPr>
        <w:spacing w:line="240" w:lineRule="atLeast"/>
        <w:jc w:val="center"/>
        <w:rPr>
          <w:rFonts w:ascii="Tahoma" w:hAnsi="Tahoma" w:cs="Tahoma"/>
          <w:color w:val="C6D9F1"/>
          <w:sz w:val="22"/>
          <w:szCs w:val="22"/>
          <w:rtl/>
        </w:rPr>
      </w:pPr>
    </w:p>
    <w:p w:rsidR="008C0B8B" w:rsidP="008D2388" w14:paraId="0DCBFA34" w14:textId="77777777">
      <w:pPr>
        <w:spacing w:line="240" w:lineRule="atLeast"/>
        <w:jc w:val="center"/>
        <w:rPr>
          <w:rFonts w:ascii="Tahoma" w:hAnsi="Tahoma" w:cs="Tahoma"/>
          <w:sz w:val="22"/>
          <w:szCs w:val="22"/>
          <w:rtl/>
        </w:rPr>
      </w:pPr>
    </w:p>
    <w:p w:rsidR="008C0B8B" w:rsidP="008D2388" w14:paraId="654A52D6" w14:textId="77777777">
      <w:pPr>
        <w:spacing w:line="240" w:lineRule="atLeast"/>
        <w:jc w:val="center"/>
        <w:rPr>
          <w:rFonts w:ascii="Tahoma" w:hAnsi="Tahoma" w:cs="Tahoma"/>
          <w:sz w:val="22"/>
          <w:szCs w:val="22"/>
          <w:rtl/>
        </w:rPr>
      </w:pPr>
    </w:p>
    <w:p w:rsidR="00E35DF9" w:rsidP="008D2388" w14:paraId="6F58D38D" w14:textId="77777777">
      <w:pPr>
        <w:spacing w:line="240" w:lineRule="atLeast"/>
        <w:jc w:val="center"/>
        <w:rPr>
          <w:rFonts w:ascii="Tahoma" w:hAnsi="Tahoma" w:cs="Tahoma"/>
          <w:sz w:val="22"/>
          <w:szCs w:val="22"/>
          <w:rtl/>
        </w:rPr>
      </w:pPr>
    </w:p>
    <w:p w:rsidR="00035688" w:rsidP="008D2388" w14:paraId="3DB8B312" w14:textId="77777777">
      <w:pPr>
        <w:spacing w:line="240" w:lineRule="atLeast"/>
        <w:jc w:val="center"/>
        <w:rPr>
          <w:rFonts w:ascii="Tahoma" w:hAnsi="Tahoma" w:cs="Tahoma"/>
          <w:sz w:val="22"/>
          <w:szCs w:val="22"/>
          <w:rtl/>
        </w:rPr>
        <w:sectPr w:rsidSect="002970CC">
          <w:headerReference w:type="even" r:id="rId12"/>
          <w:headerReference w:type="default" r:id="rId13"/>
          <w:footerReference w:type="default" r:id="rId14"/>
          <w:pgSz w:w="11906" w:h="16838" w:code="9"/>
          <w:pgMar w:top="3062" w:right="2268" w:bottom="2552" w:left="2268" w:header="1134" w:footer="1361" w:gutter="0"/>
          <w:cols w:space="720"/>
          <w:titlePg/>
          <w:bidi/>
          <w:rtlGutter/>
          <w:docGrid w:linePitch="272"/>
        </w:sectPr>
      </w:pPr>
    </w:p>
    <w:p w:rsidR="00BF5BF6" w:rsidP="000E64A1" w14:paraId="71BA9446" w14:textId="77777777">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9504"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0528" fillcolor="white" stroked="f" strokeweight="1.25pt"/>
            </w:pict>
          </mc:Fallback>
        </mc:AlternateContent>
      </w:r>
    </w:p>
    <w:p w:rsidR="000E64A1" w:rsidP="000E64A1" w14:paraId="1DD7405C" w14:textId="77777777">
      <w:pPr>
        <w:jc w:val="left"/>
        <w:rPr>
          <w:rFonts w:ascii="Tahoma" w:hAnsi="Tahoma" w:cs="Tahoma"/>
          <w:sz w:val="22"/>
          <w:szCs w:val="22"/>
          <w:rtl/>
        </w:rPr>
        <w:sectPr w:rsidSect="00DA022A">
          <w:headerReference w:type="even" r:id="rId15"/>
          <w:pgSz w:w="11906" w:h="16838" w:code="9"/>
          <w:pgMar w:top="3062" w:right="2268" w:bottom="2552" w:left="2268" w:header="709" w:footer="709" w:gutter="0"/>
          <w:pgNumType w:start="2"/>
          <w:cols w:space="720"/>
          <w:bidi/>
          <w:rtlGutter/>
          <w:docGrid w:linePitch="272"/>
        </w:sectPr>
      </w:pPr>
    </w:p>
    <w:p w:rsidR="00B93C72" w:rsidRPr="00F22CD5" w:rsidP="00135693" w14:paraId="65CCD7DF" w14:textId="6849DAB6">
      <w:pPr>
        <w:pStyle w:val="7520"/>
        <w:rPr>
          <w:noProof/>
          <w:rtl/>
          <w:lang w:val="he-IL"/>
        </w:rPr>
      </w:pPr>
      <w:r>
        <w:rPr>
          <w:rFonts w:hint="cs"/>
          <w:noProof/>
          <w:rtl/>
          <w:lang w:val="he-IL"/>
        </w:rPr>
        <w:t>קידום השוויון המגדרי בשלטון המקומי</w:t>
      </w:r>
    </w:p>
    <w:p w:rsidR="002B2BF0" w:rsidP="00872F6C" w14:paraId="3AAEA9C1" w14:textId="03B7CDC7">
      <w:pPr>
        <w:pStyle w:val="759"/>
        <w:rPr>
          <w:rtl/>
        </w:rPr>
      </w:pPr>
    </w:p>
    <w:p w:rsidR="00BD02E8" w:rsidRPr="00C62F3F" w:rsidP="00BD02E8" w14:paraId="0062FE0D" w14:textId="3BEEA090">
      <w:pPr>
        <w:pStyle w:val="759"/>
        <w:rPr>
          <w:rFonts w:eastAsia="Calibri"/>
          <w:rtl/>
        </w:rPr>
      </w:pPr>
      <w:r w:rsidRPr="00802F2E">
        <w:rPr>
          <w:noProof/>
          <w:rtl/>
        </w:rPr>
        <w:drawing>
          <wp:anchor distT="0" distB="0" distL="114300" distR="114300" simplePos="0" relativeHeight="251678720" behindDoc="0" locked="0" layoutInCell="1" allowOverlap="1">
            <wp:simplePos x="0" y="0"/>
            <wp:positionH relativeFrom="column">
              <wp:posOffset>3332480</wp:posOffset>
            </wp:positionH>
            <wp:positionV relativeFrom="paragraph">
              <wp:posOffset>161290</wp:posOffset>
            </wp:positionV>
            <wp:extent cx="1386840" cy="421640"/>
            <wp:effectExtent l="0" t="0" r="381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F806C3">
        <w:rPr>
          <w:rtl/>
        </w:rPr>
        <w:t xml:space="preserve">עקרון השוויון המגדרי, האוסר על הפליה בין אישה לגבר, הוא אחד </w:t>
      </w:r>
      <w:r w:rsidRPr="00F806C3">
        <w:rPr>
          <w:rtl/>
        </w:rPr>
        <w:t>מנדבכיו</w:t>
      </w:r>
      <w:r w:rsidRPr="00F806C3">
        <w:rPr>
          <w:rtl/>
        </w:rPr>
        <w:t xml:space="preserve"> של עקרון השוויון שהוכר כעקרון-על במשפט הישראלי, ופגיעה בו עשויה להיחשב פגיעה חוקתית בכבוד האדם. מימוש עיקרון זה קשור באופן הדוק לחוסנה הדמוקרטי של הרשות המקומית. החשיבות שבהבטחתו של השוויון המגדרי בכלל מישורי החיים, ובפרט במוקדי קבלת ההחלטות, רבה במיוחד </w:t>
      </w:r>
      <w:r w:rsidRPr="00F806C3">
        <w:rPr>
          <w:rtl/>
        </w:rPr>
        <w:t>בעיתות</w:t>
      </w:r>
      <w:r w:rsidRPr="00F806C3">
        <w:rPr>
          <w:rtl/>
        </w:rPr>
        <w:t xml:space="preserve"> משבר לאומי </w:t>
      </w:r>
      <w:r w:rsidRPr="00F806C3">
        <w:rPr>
          <w:rtl/>
        </w:rPr>
        <w:t>ובעיתות</w:t>
      </w:r>
      <w:r w:rsidRPr="00F806C3">
        <w:rPr>
          <w:rtl/>
        </w:rPr>
        <w:t xml:space="preserve"> חירום, שכן בהן עלולים להעמיק עוד יותר הפערים </w:t>
      </w:r>
      <w:r w:rsidRPr="00BD02E8">
        <w:rPr>
          <w:rtl/>
        </w:rPr>
        <w:t>הקיימים</w:t>
      </w:r>
      <w:r w:rsidRPr="00F806C3">
        <w:rPr>
          <w:rtl/>
        </w:rPr>
        <w:t xml:space="preserve"> ממילא בעמדות כוח שבהן נשים וגברים נמצאים, ונשים גם עלולות להיחשף לפגיעה קשה יותר בביטחונן האישי ובתנאי העסקתן. הרשויות המקומיות - כמעסיקות וכרשויות שלטוניות - נושאות בעיקר האחריות לקידום השוויון המגדרי בקרב עובדיהן ולהטמעת החשיבה המגדרית בתהליכי קבלת ההחלטות בתחומים הנוגעים לתושביהן. לפי החוק, את הפעולות שהרשות המקומית נוקטת לקידום השוויון המגדרי אמורה ללוות היועצת לקידום מעמד האישה המכהנת באותה הרשות (היועצת). בין היתר, על היועצת להיות מעורבת בהתוויית מדיניות הרשות המקומית, לקדם בחינה של ההשלכות המגדריות של החלטותיה וכן לאסוף מידע ונתונים הנוגעים לתחומי הפעולה </w:t>
      </w:r>
      <w:r w:rsidRPr="00BD02E8">
        <w:rPr>
          <w:rtl/>
        </w:rPr>
        <w:t>של</w:t>
      </w:r>
      <w:r w:rsidRPr="00F806C3">
        <w:rPr>
          <w:rtl/>
        </w:rPr>
        <w:t xml:space="preserve"> תפקידה. לצד הרשויות המקומיות נושאים באחריות לקידום השוויון המגדרי בשלטון המקומי גם גופי האסדרה השלטוניים: </w:t>
      </w:r>
      <w:r w:rsidRPr="00F806C3">
        <w:rPr>
          <w:rtl/>
        </w:rPr>
        <w:t>מינהל</w:t>
      </w:r>
      <w:r w:rsidRPr="00F806C3">
        <w:rPr>
          <w:rtl/>
        </w:rPr>
        <w:t xml:space="preserve"> השלטון המקומי במשרד הפנים, הרשות לקידום מעמד האישה</w:t>
      </w:r>
      <w:r>
        <w:rPr>
          <w:rStyle w:val="FootnoteReference1"/>
          <w:sz w:val="19"/>
          <w:szCs w:val="19"/>
          <w:rtl/>
        </w:rPr>
        <w:footnoteReference w:id="2"/>
      </w:r>
      <w:r w:rsidRPr="00F806C3">
        <w:rPr>
          <w:rtl/>
        </w:rPr>
        <w:t xml:space="preserve"> ונציבות שוויון ההזדמנויות בעבודה. כל אלה אחראים להבטיח, כל אחד בתחומו, כי גופי השלטון המקומי פועלים כמחויב בדין ובאופן המיטבי לקידום השוויון המגדרי. לקידום השוויון המגדרי ולהטמעת החשיבה המגדרית חשיבות רבה הן בהיבטים הנוגעים לעובדי הרשויות המקומיות ולעובדי יתר גופי השלטון המקומי (היבטים פנים-ארגוניים) והן בהיבטים הנוגעים לתושבי הרשויות המקומיות (היבטים חוץ-ארגוניים). דוח זה יתמקד בעיקר בהיבטים פנים-ארגוניים של נושא זה</w:t>
      </w:r>
      <w:r>
        <w:rPr>
          <w:rFonts w:hint="cs"/>
          <w:rtl/>
        </w:rPr>
        <w:t>.</w:t>
      </w:r>
    </w:p>
    <w:p w:rsidR="00A854A8" w:rsidP="00C00585" w14:paraId="15422432" w14:textId="2539AD35">
      <w:pPr>
        <w:pStyle w:val="7392"/>
        <w:rPr>
          <w:rtl/>
        </w:rPr>
      </w:pPr>
    </w:p>
    <w:p w:rsidR="00B60E3E" w:rsidP="00C00585" w14:paraId="2B452C0D" w14:textId="27697F37">
      <w:pPr>
        <w:pStyle w:val="7392"/>
        <w:rPr>
          <w:rtl/>
        </w:rPr>
        <w:sectPr w:rsidSect="004F1650">
          <w:headerReference w:type="even" r:id="rId17"/>
          <w:footerReference w:type="even" r:id="rId18"/>
          <w:pgSz w:w="11906" w:h="16838" w:code="9"/>
          <w:pgMar w:top="3062" w:right="2268" w:bottom="2552" w:left="2268" w:header="1134" w:footer="1361" w:gutter="0"/>
          <w:pgNumType w:start="53"/>
          <w:cols w:space="708"/>
          <w:bidi/>
          <w:rtlGutter/>
          <w:docGrid w:linePitch="360"/>
        </w:sectPr>
      </w:pPr>
    </w:p>
    <w:tbl>
      <w:tblPr>
        <w:tblStyle w:val="TableGrid"/>
        <w:tblpPr w:leftFromText="180" w:rightFromText="180" w:vertAnchor="page" w:horzAnchor="margin" w:tblpXSpec="center" w:tblpY="3792"/>
        <w:bidiVisual/>
        <w:tblW w:w="7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55"/>
        <w:gridCol w:w="242"/>
        <w:gridCol w:w="1893"/>
        <w:gridCol w:w="235"/>
        <w:gridCol w:w="1633"/>
        <w:gridCol w:w="227"/>
        <w:gridCol w:w="12"/>
        <w:gridCol w:w="1745"/>
      </w:tblGrid>
      <w:tr w14:paraId="03714A37" w14:textId="77777777" w:rsidTr="00170EE7">
        <w:tblPrEx>
          <w:tblW w:w="7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655" w:type="dxa"/>
            <w:tcBorders>
              <w:bottom w:val="single" w:sz="12" w:space="0" w:color="auto"/>
            </w:tcBorders>
            <w:vAlign w:val="bottom"/>
          </w:tcPr>
          <w:p w:rsidR="00A24806" w:rsidRPr="00212740" w:rsidP="00A24806" w14:paraId="1217D2A2" w14:textId="4D6C3955">
            <w:pPr>
              <w:spacing w:after="60" w:line="240" w:lineRule="auto"/>
              <w:jc w:val="left"/>
              <w:rPr>
                <w:rFonts w:ascii="Tahoma" w:hAnsi="Tahoma" w:cs="Tahoma"/>
                <w:b/>
                <w:bCs/>
                <w:sz w:val="34"/>
                <w:szCs w:val="34"/>
                <w:rtl/>
              </w:rPr>
            </w:pPr>
            <w:r w:rsidRPr="00212740">
              <w:rPr>
                <w:rFonts w:ascii="Tahoma" w:hAnsi="Tahoma" w:cs="Tahoma"/>
                <w:b/>
                <w:bCs/>
                <w:spacing w:val="-10"/>
                <w:sz w:val="34"/>
                <w:szCs w:val="34"/>
                <w:rtl/>
              </w:rPr>
              <w:t xml:space="preserve">83 </w:t>
            </w:r>
            <w:r w:rsidRPr="00212740">
              <w:rPr>
                <w:rFonts w:ascii="Tahoma" w:hAnsi="Tahoma" w:cs="Tahoma"/>
                <w:b/>
                <w:bCs/>
                <w:spacing w:val="-10"/>
                <w:sz w:val="24"/>
                <w:rtl/>
              </w:rPr>
              <w:t>מתוך</w:t>
            </w:r>
            <w:r w:rsidRPr="00212740">
              <w:rPr>
                <w:rFonts w:ascii="Tahoma" w:hAnsi="Tahoma" w:cs="Tahoma"/>
                <w:b/>
                <w:bCs/>
                <w:spacing w:val="-10"/>
                <w:sz w:val="34"/>
                <w:szCs w:val="34"/>
                <w:rtl/>
              </w:rPr>
              <w:t xml:space="preserve"> 146</w:t>
            </w:r>
          </w:p>
        </w:tc>
        <w:tc>
          <w:tcPr>
            <w:tcW w:w="242" w:type="dxa"/>
          </w:tcPr>
          <w:p w:rsidR="00A24806" w:rsidRPr="00B56334" w:rsidP="00A24806" w14:paraId="36F84707" w14:textId="77777777">
            <w:pPr>
              <w:spacing w:after="60" w:line="240" w:lineRule="auto"/>
              <w:jc w:val="left"/>
              <w:rPr>
                <w:rFonts w:ascii="Tahoma" w:hAnsi="Tahoma" w:cs="Tahoma"/>
                <w:b/>
                <w:bCs/>
                <w:sz w:val="34"/>
                <w:szCs w:val="34"/>
                <w:rtl/>
              </w:rPr>
            </w:pPr>
          </w:p>
        </w:tc>
        <w:tc>
          <w:tcPr>
            <w:tcW w:w="1893" w:type="dxa"/>
            <w:tcBorders>
              <w:bottom w:val="single" w:sz="12" w:space="0" w:color="auto"/>
            </w:tcBorders>
            <w:vAlign w:val="bottom"/>
          </w:tcPr>
          <w:p w:rsidR="00A24806" w:rsidRPr="00212740" w:rsidP="00A24806" w14:paraId="6DC99787" w14:textId="668337C9">
            <w:pPr>
              <w:spacing w:after="60" w:line="240" w:lineRule="auto"/>
              <w:jc w:val="left"/>
              <w:rPr>
                <w:rFonts w:ascii="Tahoma" w:hAnsi="Tahoma" w:cs="Tahoma"/>
                <w:b/>
                <w:bCs/>
                <w:spacing w:val="-10"/>
                <w:sz w:val="34"/>
                <w:szCs w:val="34"/>
                <w:rtl/>
              </w:rPr>
            </w:pPr>
            <w:r w:rsidRPr="00212740">
              <w:rPr>
                <w:rFonts w:ascii="Tahoma" w:hAnsi="Tahoma" w:cs="Tahoma"/>
                <w:b/>
                <w:bCs/>
                <w:spacing w:val="-10"/>
                <w:sz w:val="24"/>
                <w:rtl/>
              </w:rPr>
              <w:t>כ-</w:t>
            </w:r>
            <w:r w:rsidRPr="00212740">
              <w:rPr>
                <w:rFonts w:ascii="Tahoma" w:hAnsi="Tahoma" w:cs="Tahoma"/>
                <w:b/>
                <w:bCs/>
                <w:spacing w:val="-10"/>
                <w:sz w:val="34"/>
                <w:szCs w:val="34"/>
                <w:rtl/>
              </w:rPr>
              <w:t>69%</w:t>
            </w:r>
          </w:p>
        </w:tc>
        <w:tc>
          <w:tcPr>
            <w:tcW w:w="235" w:type="dxa"/>
          </w:tcPr>
          <w:p w:rsidR="00A24806" w:rsidRPr="00B56334" w:rsidP="00A24806" w14:paraId="69C71AE3" w14:textId="77777777">
            <w:pPr>
              <w:spacing w:after="60" w:line="240" w:lineRule="auto"/>
              <w:jc w:val="left"/>
              <w:rPr>
                <w:rFonts w:ascii="Tahoma" w:hAnsi="Tahoma" w:cs="Tahoma"/>
                <w:b/>
                <w:bCs/>
                <w:sz w:val="34"/>
                <w:szCs w:val="34"/>
                <w:rtl/>
              </w:rPr>
            </w:pPr>
          </w:p>
        </w:tc>
        <w:tc>
          <w:tcPr>
            <w:tcW w:w="1633" w:type="dxa"/>
            <w:tcBorders>
              <w:bottom w:val="single" w:sz="12" w:space="0" w:color="auto"/>
            </w:tcBorders>
            <w:vAlign w:val="bottom"/>
          </w:tcPr>
          <w:p w:rsidR="00A24806" w:rsidRPr="00212740" w:rsidP="00A24806" w14:paraId="165F789E" w14:textId="697B71A6">
            <w:pPr>
              <w:spacing w:after="60" w:line="240" w:lineRule="auto"/>
              <w:jc w:val="left"/>
              <w:rPr>
                <w:rFonts w:ascii="Tahoma" w:hAnsi="Tahoma" w:cs="Tahoma"/>
                <w:b/>
                <w:bCs/>
                <w:spacing w:val="-10"/>
                <w:sz w:val="34"/>
                <w:szCs w:val="34"/>
                <w:rtl/>
              </w:rPr>
            </w:pPr>
            <w:r w:rsidRPr="00212740">
              <w:rPr>
                <w:rFonts w:ascii="Tahoma" w:hAnsi="Tahoma" w:cs="Tahoma"/>
                <w:b/>
                <w:bCs/>
                <w:spacing w:val="-10"/>
                <w:sz w:val="24"/>
                <w:rtl/>
              </w:rPr>
              <w:t>כ-</w:t>
            </w:r>
            <w:r w:rsidRPr="00212740">
              <w:rPr>
                <w:rFonts w:ascii="Tahoma" w:hAnsi="Tahoma" w:cs="Tahoma"/>
                <w:b/>
                <w:bCs/>
                <w:spacing w:val="-10"/>
                <w:sz w:val="34"/>
                <w:szCs w:val="34"/>
                <w:rtl/>
              </w:rPr>
              <w:t xml:space="preserve">20% </w:t>
            </w:r>
            <w:r w:rsidRPr="00212740">
              <w:rPr>
                <w:rFonts w:ascii="Tahoma" w:hAnsi="Tahoma" w:cs="Tahoma"/>
                <w:b/>
                <w:bCs/>
                <w:spacing w:val="-10"/>
                <w:sz w:val="24"/>
                <w:rtl/>
              </w:rPr>
              <w:t>בלבד</w:t>
            </w:r>
          </w:p>
        </w:tc>
        <w:tc>
          <w:tcPr>
            <w:tcW w:w="239" w:type="dxa"/>
            <w:gridSpan w:val="2"/>
          </w:tcPr>
          <w:p w:rsidR="00A24806" w:rsidRPr="00B56334" w:rsidP="00A24806" w14:paraId="67A30C6E" w14:textId="77777777">
            <w:pPr>
              <w:spacing w:after="60" w:line="240" w:lineRule="auto"/>
              <w:jc w:val="left"/>
              <w:rPr>
                <w:rFonts w:ascii="Tahoma" w:hAnsi="Tahoma" w:cs="Tahoma"/>
                <w:b/>
                <w:bCs/>
                <w:sz w:val="34"/>
                <w:szCs w:val="34"/>
                <w:rtl/>
              </w:rPr>
            </w:pPr>
          </w:p>
        </w:tc>
        <w:tc>
          <w:tcPr>
            <w:tcW w:w="1745" w:type="dxa"/>
            <w:tcBorders>
              <w:bottom w:val="single" w:sz="12" w:space="0" w:color="auto"/>
            </w:tcBorders>
            <w:vAlign w:val="bottom"/>
          </w:tcPr>
          <w:p w:rsidR="00A24806" w:rsidRPr="00212740" w:rsidP="00A24806" w14:paraId="7520B94A" w14:textId="6F7FB383">
            <w:pPr>
              <w:spacing w:after="60" w:line="240" w:lineRule="auto"/>
              <w:jc w:val="left"/>
              <w:rPr>
                <w:rFonts w:ascii="Tahoma" w:hAnsi="Tahoma" w:cs="Tahoma"/>
                <w:b/>
                <w:bCs/>
                <w:spacing w:val="-10"/>
                <w:sz w:val="34"/>
                <w:szCs w:val="34"/>
                <w:rtl/>
              </w:rPr>
            </w:pPr>
            <w:r w:rsidRPr="00212740">
              <w:rPr>
                <w:rFonts w:ascii="Tahoma" w:hAnsi="Tahoma" w:cs="Tahoma"/>
                <w:b/>
                <w:bCs/>
                <w:spacing w:val="-10"/>
                <w:sz w:val="24"/>
                <w:rtl/>
              </w:rPr>
              <w:t>כ-</w:t>
            </w:r>
            <w:r w:rsidRPr="00212740">
              <w:rPr>
                <w:rFonts w:ascii="Tahoma" w:hAnsi="Tahoma" w:cs="Tahoma"/>
                <w:b/>
                <w:bCs/>
                <w:spacing w:val="-10"/>
                <w:sz w:val="34"/>
                <w:szCs w:val="34"/>
                <w:rtl/>
              </w:rPr>
              <w:t xml:space="preserve">45% </w:t>
            </w:r>
            <w:r w:rsidRPr="00212740">
              <w:rPr>
                <w:rFonts w:ascii="Tahoma" w:hAnsi="Tahoma" w:cs="Tahoma"/>
                <w:b/>
                <w:bCs/>
                <w:spacing w:val="-10"/>
                <w:sz w:val="24"/>
                <w:rtl/>
              </w:rPr>
              <w:t>בלבד</w:t>
            </w:r>
          </w:p>
        </w:tc>
      </w:tr>
      <w:tr w14:paraId="0D525F22" w14:textId="77777777" w:rsidTr="00A24806">
        <w:tblPrEx>
          <w:tblW w:w="7642" w:type="dxa"/>
          <w:tblLook w:val="04A0"/>
        </w:tblPrEx>
        <w:tc>
          <w:tcPr>
            <w:tcW w:w="1655" w:type="dxa"/>
            <w:tcBorders>
              <w:top w:val="single" w:sz="12" w:space="0" w:color="auto"/>
            </w:tcBorders>
          </w:tcPr>
          <w:p w:rsidR="00A24806" w:rsidRPr="00A24806" w:rsidP="00C963CA" w14:paraId="2C38DD0C" w14:textId="7221484B">
            <w:pPr>
              <w:pStyle w:val="752024"/>
              <w:rPr>
                <w:rtl/>
              </w:rPr>
            </w:pPr>
            <w:r w:rsidRPr="00A24806">
              <w:rPr>
                <w:rtl/>
              </w:rPr>
              <w:t xml:space="preserve">דירוגה של מדינת ישראל במדד הפער המגדרי העולמי בשנת 2023, </w:t>
            </w:r>
            <w:r w:rsidR="000D3812">
              <w:rPr>
                <w:rFonts w:hint="cs"/>
                <w:rtl/>
              </w:rPr>
              <w:t>ירידה</w:t>
            </w:r>
            <w:r w:rsidRPr="00A24806">
              <w:rPr>
                <w:rtl/>
              </w:rPr>
              <w:t xml:space="preserve"> של 23 מקומות ביחס לדירוג שלה בשנת 2022 במקום ה-60 </w:t>
            </w:r>
            <w:r w:rsidRPr="00145FC1" w:rsidR="00145FC1">
              <w:rPr>
                <w:rtl/>
              </w:rPr>
              <w:t xml:space="preserve"> (המדינה המדורגת במקום </w:t>
            </w:r>
            <w:r w:rsidR="00145FC1">
              <w:rPr>
                <w:rFonts w:hint="cs"/>
                <w:rtl/>
              </w:rPr>
              <w:t xml:space="preserve"> </w:t>
            </w:r>
            <w:r w:rsidRPr="00145FC1" w:rsidR="00145FC1">
              <w:rPr>
                <w:rtl/>
              </w:rPr>
              <w:t>ה-1 היא הקרובה ביותר להשגת שוויון מגדרי)</w:t>
            </w:r>
            <w:r w:rsidRPr="00A24806" w:rsidR="00145FC1">
              <w:rPr>
                <w:rStyle w:val="FootnoteReference1"/>
                <w:rtl/>
              </w:rPr>
              <w:t xml:space="preserve"> </w:t>
            </w:r>
            <w:r>
              <w:rPr>
                <w:rStyle w:val="FootnoteReference1"/>
                <w:rtl/>
              </w:rPr>
              <w:footnoteReference w:id="3"/>
            </w:r>
          </w:p>
        </w:tc>
        <w:tc>
          <w:tcPr>
            <w:tcW w:w="242" w:type="dxa"/>
          </w:tcPr>
          <w:p w:rsidR="00A24806" w:rsidP="00A24806" w14:paraId="1C84F0A0" w14:textId="77777777">
            <w:pPr>
              <w:pStyle w:val="752024"/>
              <w:spacing w:after="0"/>
              <w:rPr>
                <w:rtl/>
              </w:rPr>
            </w:pPr>
          </w:p>
        </w:tc>
        <w:tc>
          <w:tcPr>
            <w:tcW w:w="1893" w:type="dxa"/>
            <w:tcBorders>
              <w:top w:val="single" w:sz="12" w:space="0" w:color="auto"/>
            </w:tcBorders>
          </w:tcPr>
          <w:p w:rsidR="00A24806" w:rsidRPr="00A24806" w:rsidP="00C963CA" w14:paraId="330FE6BE" w14:textId="2A2C1A9E">
            <w:pPr>
              <w:pStyle w:val="752024"/>
              <w:rPr>
                <w:rtl/>
              </w:rPr>
            </w:pPr>
            <w:r w:rsidRPr="00A24806">
              <w:rPr>
                <w:rtl/>
              </w:rPr>
              <w:t xml:space="preserve">שיעור השכר הממוצע לחודש של העובדות ביחס לעובדים (שכר ברוטו </w:t>
            </w:r>
            <w:r w:rsidRPr="00C963CA">
              <w:rPr>
                <w:rtl/>
              </w:rPr>
              <w:t>למס</w:t>
            </w:r>
            <w:r w:rsidRPr="00A24806">
              <w:rPr>
                <w:rtl/>
              </w:rPr>
              <w:t xml:space="preserve">) בכלל גופי השלטון המקומי, לשנת 2021 </w:t>
            </w:r>
          </w:p>
        </w:tc>
        <w:tc>
          <w:tcPr>
            <w:tcW w:w="235" w:type="dxa"/>
          </w:tcPr>
          <w:p w:rsidR="00A24806" w:rsidP="00A24806" w14:paraId="0413DED8" w14:textId="77777777">
            <w:pPr>
              <w:pStyle w:val="752024"/>
              <w:spacing w:after="0"/>
              <w:rPr>
                <w:rtl/>
              </w:rPr>
            </w:pPr>
          </w:p>
        </w:tc>
        <w:tc>
          <w:tcPr>
            <w:tcW w:w="1633" w:type="dxa"/>
            <w:tcBorders>
              <w:top w:val="single" w:sz="12" w:space="0" w:color="auto"/>
            </w:tcBorders>
          </w:tcPr>
          <w:p w:rsidR="00A24806" w:rsidRPr="00A24806" w:rsidP="00E84EFD" w14:paraId="2AE91859" w14:textId="3643F4E7">
            <w:pPr>
              <w:pStyle w:val="752024"/>
              <w:rPr>
                <w:rtl/>
              </w:rPr>
            </w:pPr>
            <w:r w:rsidRPr="00A24806">
              <w:rPr>
                <w:rtl/>
              </w:rPr>
              <w:t xml:space="preserve">שיעור הנשים מקרב נבחרי הציבור בכלל הרשויות המקומיות (724 </w:t>
            </w:r>
            <w:r w:rsidRPr="00E84EFD">
              <w:rPr>
                <w:rtl/>
              </w:rPr>
              <w:t>מתוך</w:t>
            </w:r>
            <w:r w:rsidRPr="00A24806">
              <w:rPr>
                <w:rtl/>
              </w:rPr>
              <w:t xml:space="preserve"> 3,647), לאחר הבחירות לרשויות המקומיות בשנת 2024</w:t>
            </w:r>
          </w:p>
        </w:tc>
        <w:tc>
          <w:tcPr>
            <w:tcW w:w="239" w:type="dxa"/>
            <w:gridSpan w:val="2"/>
          </w:tcPr>
          <w:p w:rsidR="00A24806" w:rsidP="00A24806" w14:paraId="4B57D271" w14:textId="77777777">
            <w:pPr>
              <w:pStyle w:val="752024"/>
              <w:spacing w:after="0"/>
              <w:jc w:val="center"/>
              <w:rPr>
                <w:rtl/>
              </w:rPr>
            </w:pPr>
          </w:p>
        </w:tc>
        <w:tc>
          <w:tcPr>
            <w:tcW w:w="1745" w:type="dxa"/>
            <w:tcBorders>
              <w:top w:val="single" w:sz="12" w:space="0" w:color="auto"/>
            </w:tcBorders>
          </w:tcPr>
          <w:p w:rsidR="00A24806" w:rsidRPr="00A24806" w:rsidP="00A24806" w14:paraId="0331172A" w14:textId="3856484C">
            <w:pPr>
              <w:pStyle w:val="752024"/>
              <w:rPr>
                <w:rtl/>
              </w:rPr>
            </w:pPr>
            <w:r w:rsidRPr="00A24806">
              <w:rPr>
                <w:rtl/>
              </w:rPr>
              <w:t>שיעור התאגידים העירוניים שבהם ניתן ייצוג הולם לבני שני המינים בקרב כל חברי הגוף המנהל, כולל נבחרי הציבור, בהתייחס למינויים שנעשו בין ינואר 2022 ועד יוני 2023</w:t>
            </w:r>
          </w:p>
        </w:tc>
      </w:tr>
      <w:tr w14:paraId="0B4A68ED" w14:textId="77777777" w:rsidTr="00170EE7">
        <w:tblPrEx>
          <w:tblW w:w="7642" w:type="dxa"/>
          <w:tblLook w:val="04A0"/>
        </w:tblPrEx>
        <w:tc>
          <w:tcPr>
            <w:tcW w:w="1655" w:type="dxa"/>
            <w:tcBorders>
              <w:bottom w:val="single" w:sz="12" w:space="0" w:color="auto"/>
            </w:tcBorders>
            <w:vAlign w:val="bottom"/>
          </w:tcPr>
          <w:p w:rsidR="00A24806" w:rsidRPr="00E111AD" w:rsidP="00A24806" w14:paraId="2C1849A9" w14:textId="096D53AF">
            <w:pPr>
              <w:spacing w:after="60" w:line="240" w:lineRule="auto"/>
              <w:jc w:val="left"/>
              <w:rPr>
                <w:rFonts w:ascii="Tahoma" w:hAnsi="Tahoma" w:cs="Tahoma"/>
                <w:b/>
                <w:bCs/>
                <w:spacing w:val="-10"/>
                <w:sz w:val="34"/>
                <w:szCs w:val="34"/>
                <w:rtl/>
              </w:rPr>
            </w:pPr>
            <w:r w:rsidRPr="00E111AD">
              <w:rPr>
                <w:rFonts w:ascii="Tahoma" w:hAnsi="Tahoma" w:cs="Tahoma"/>
                <w:b/>
                <w:bCs/>
                <w:spacing w:val="-10"/>
                <w:sz w:val="24"/>
                <w:rtl/>
              </w:rPr>
              <w:t>כ-</w:t>
            </w:r>
            <w:r w:rsidRPr="00E111AD">
              <w:rPr>
                <w:rFonts w:ascii="Tahoma" w:hAnsi="Tahoma" w:cs="Tahoma"/>
                <w:b/>
                <w:bCs/>
                <w:spacing w:val="-10"/>
                <w:sz w:val="34"/>
                <w:szCs w:val="34"/>
                <w:rtl/>
              </w:rPr>
              <w:t>74%</w:t>
            </w:r>
          </w:p>
        </w:tc>
        <w:tc>
          <w:tcPr>
            <w:tcW w:w="242" w:type="dxa"/>
            <w:vAlign w:val="bottom"/>
          </w:tcPr>
          <w:p w:rsidR="00A24806" w:rsidRPr="008E52B9" w:rsidP="00A24806" w14:paraId="3ACEAC9B" w14:textId="77777777">
            <w:pPr>
              <w:rPr>
                <w:spacing w:val="-20"/>
                <w:rtl/>
              </w:rPr>
            </w:pPr>
          </w:p>
        </w:tc>
        <w:tc>
          <w:tcPr>
            <w:tcW w:w="1893" w:type="dxa"/>
            <w:tcBorders>
              <w:bottom w:val="single" w:sz="12" w:space="0" w:color="auto"/>
            </w:tcBorders>
            <w:vAlign w:val="bottom"/>
          </w:tcPr>
          <w:p w:rsidR="00A24806" w:rsidRPr="0065542E" w:rsidP="00A24806" w14:paraId="25C08732" w14:textId="5E925ABD">
            <w:pPr>
              <w:spacing w:after="60" w:line="240" w:lineRule="auto"/>
              <w:jc w:val="left"/>
              <w:rPr>
                <w:rFonts w:ascii="Tahoma" w:hAnsi="Tahoma" w:cs="Tahoma"/>
                <w:b/>
                <w:bCs/>
                <w:spacing w:val="-10"/>
                <w:sz w:val="34"/>
                <w:szCs w:val="34"/>
                <w:rtl/>
              </w:rPr>
            </w:pPr>
            <w:r w:rsidRPr="00E111AD">
              <w:rPr>
                <w:rFonts w:ascii="Tahoma" w:hAnsi="Tahoma" w:cs="Tahoma"/>
                <w:b/>
                <w:bCs/>
                <w:spacing w:val="-10"/>
                <w:sz w:val="24"/>
                <w:rtl/>
              </w:rPr>
              <w:t>כ-</w:t>
            </w:r>
            <w:r w:rsidRPr="00E111AD">
              <w:rPr>
                <w:rFonts w:ascii="Tahoma" w:hAnsi="Tahoma" w:cs="Tahoma"/>
                <w:b/>
                <w:bCs/>
                <w:spacing w:val="-10"/>
                <w:sz w:val="34"/>
                <w:szCs w:val="34"/>
                <w:rtl/>
              </w:rPr>
              <w:t xml:space="preserve">26% </w:t>
            </w:r>
            <w:r w:rsidRPr="00E111AD">
              <w:rPr>
                <w:rFonts w:ascii="Tahoma" w:hAnsi="Tahoma" w:cs="Tahoma"/>
                <w:b/>
                <w:bCs/>
                <w:spacing w:val="-10"/>
                <w:sz w:val="24"/>
                <w:rtl/>
              </w:rPr>
              <w:t>בלבד</w:t>
            </w:r>
          </w:p>
        </w:tc>
        <w:tc>
          <w:tcPr>
            <w:tcW w:w="235" w:type="dxa"/>
            <w:vAlign w:val="bottom"/>
          </w:tcPr>
          <w:p w:rsidR="00A24806" w:rsidRPr="008E52B9" w:rsidP="00A24806" w14:paraId="660F52E4" w14:textId="77777777">
            <w:pPr>
              <w:rPr>
                <w:spacing w:val="-20"/>
                <w:rtl/>
              </w:rPr>
            </w:pPr>
          </w:p>
        </w:tc>
        <w:tc>
          <w:tcPr>
            <w:tcW w:w="1633" w:type="dxa"/>
            <w:tcBorders>
              <w:bottom w:val="single" w:sz="12" w:space="0" w:color="auto"/>
            </w:tcBorders>
            <w:vAlign w:val="bottom"/>
          </w:tcPr>
          <w:p w:rsidR="00A24806" w:rsidRPr="00E111AD" w:rsidP="00A24806" w14:paraId="74EBEAD6" w14:textId="321F5F74">
            <w:pPr>
              <w:spacing w:after="60" w:line="240" w:lineRule="auto"/>
              <w:jc w:val="left"/>
              <w:rPr>
                <w:rFonts w:ascii="Tahoma" w:hAnsi="Tahoma" w:cs="Tahoma"/>
                <w:b/>
                <w:bCs/>
                <w:spacing w:val="-10"/>
                <w:sz w:val="34"/>
                <w:szCs w:val="34"/>
                <w:rtl/>
              </w:rPr>
            </w:pPr>
            <w:r w:rsidRPr="00E111AD">
              <w:rPr>
                <w:rFonts w:ascii="Tahoma" w:hAnsi="Tahoma" w:cs="Tahoma"/>
                <w:b/>
                <w:bCs/>
                <w:spacing w:val="-10"/>
                <w:sz w:val="34"/>
                <w:szCs w:val="34"/>
                <w:rtl/>
              </w:rPr>
              <w:t xml:space="preserve">24 </w:t>
            </w:r>
            <w:r w:rsidRPr="00E111AD">
              <w:rPr>
                <w:rFonts w:ascii="Tahoma" w:hAnsi="Tahoma" w:cs="Tahoma"/>
                <w:b/>
                <w:bCs/>
                <w:spacing w:val="-10"/>
                <w:sz w:val="24"/>
                <w:rtl/>
              </w:rPr>
              <w:t>מתוך</w:t>
            </w:r>
            <w:r w:rsidRPr="00E111AD">
              <w:rPr>
                <w:rFonts w:ascii="Tahoma" w:hAnsi="Tahoma" w:cs="Tahoma"/>
                <w:b/>
                <w:bCs/>
                <w:spacing w:val="-10"/>
                <w:sz w:val="34"/>
                <w:szCs w:val="34"/>
                <w:rtl/>
              </w:rPr>
              <w:t xml:space="preserve"> 257</w:t>
            </w:r>
          </w:p>
        </w:tc>
        <w:tc>
          <w:tcPr>
            <w:tcW w:w="239" w:type="dxa"/>
            <w:gridSpan w:val="2"/>
            <w:vAlign w:val="bottom"/>
          </w:tcPr>
          <w:p w:rsidR="00A24806" w:rsidRPr="008E52B9" w:rsidP="00A24806" w14:paraId="199D172B" w14:textId="77777777">
            <w:pPr>
              <w:jc w:val="center"/>
              <w:rPr>
                <w:spacing w:val="-20"/>
                <w:rtl/>
              </w:rPr>
            </w:pPr>
          </w:p>
        </w:tc>
        <w:tc>
          <w:tcPr>
            <w:tcW w:w="1745" w:type="dxa"/>
            <w:vAlign w:val="bottom"/>
          </w:tcPr>
          <w:p w:rsidR="00A24806" w:rsidRPr="00E111AD" w:rsidP="00A24806" w14:paraId="3A8E972D" w14:textId="7A489124">
            <w:pPr>
              <w:spacing w:after="60" w:line="240" w:lineRule="auto"/>
              <w:jc w:val="left"/>
              <w:rPr>
                <w:rFonts w:ascii="Tahoma" w:hAnsi="Tahoma" w:cs="Tahoma"/>
                <w:b/>
                <w:bCs/>
                <w:spacing w:val="-10"/>
                <w:sz w:val="34"/>
                <w:szCs w:val="34"/>
                <w:rtl/>
              </w:rPr>
            </w:pPr>
            <w:r w:rsidRPr="00E111AD">
              <w:rPr>
                <w:rFonts w:ascii="Tahoma" w:hAnsi="Tahoma" w:cs="Tahoma"/>
                <w:b/>
                <w:bCs/>
                <w:spacing w:val="-10"/>
                <w:sz w:val="24"/>
                <w:rtl/>
              </w:rPr>
              <w:t>כ-</w:t>
            </w:r>
            <w:r w:rsidRPr="00E111AD">
              <w:rPr>
                <w:rFonts w:ascii="Tahoma" w:hAnsi="Tahoma" w:cs="Tahoma"/>
                <w:b/>
                <w:bCs/>
                <w:spacing w:val="-10"/>
                <w:sz w:val="34"/>
                <w:szCs w:val="34"/>
                <w:rtl/>
              </w:rPr>
              <w:t>80%</w:t>
            </w:r>
          </w:p>
        </w:tc>
      </w:tr>
      <w:tr w14:paraId="2B06BB63" w14:textId="77777777" w:rsidTr="00A24806">
        <w:tblPrEx>
          <w:tblW w:w="7642" w:type="dxa"/>
          <w:tblLook w:val="04A0"/>
        </w:tblPrEx>
        <w:tc>
          <w:tcPr>
            <w:tcW w:w="1655" w:type="dxa"/>
            <w:tcBorders>
              <w:top w:val="single" w:sz="12" w:space="0" w:color="auto"/>
            </w:tcBorders>
          </w:tcPr>
          <w:p w:rsidR="00A24806" w:rsidRPr="00A24806" w:rsidP="00A24806" w14:paraId="40A7FBD4" w14:textId="10DA5FD2">
            <w:pPr>
              <w:pStyle w:val="752024"/>
              <w:rPr>
                <w:rtl/>
              </w:rPr>
            </w:pPr>
            <w:r w:rsidRPr="00A24806">
              <w:rPr>
                <w:rtl/>
              </w:rPr>
              <w:t xml:space="preserve">שיעור הנשים מקרב עובדי הרשויות המקומיות (כ-123,000 מתוך </w:t>
            </w:r>
            <w:r w:rsidR="00E84EFD">
              <w:rPr>
                <w:rFonts w:hint="cs"/>
                <w:rtl/>
              </w:rPr>
              <w:t xml:space="preserve">              </w:t>
            </w:r>
            <w:r w:rsidRPr="00A24806">
              <w:rPr>
                <w:rtl/>
              </w:rPr>
              <w:t>כ-166,000), נכון לשנת 2020</w:t>
            </w:r>
          </w:p>
        </w:tc>
        <w:tc>
          <w:tcPr>
            <w:tcW w:w="242" w:type="dxa"/>
          </w:tcPr>
          <w:p w:rsidR="00A24806" w:rsidP="00A24806" w14:paraId="0774C28B" w14:textId="77777777">
            <w:pPr>
              <w:pStyle w:val="752024"/>
              <w:spacing w:after="0"/>
              <w:rPr>
                <w:rtl/>
              </w:rPr>
            </w:pPr>
          </w:p>
        </w:tc>
        <w:tc>
          <w:tcPr>
            <w:tcW w:w="1893" w:type="dxa"/>
            <w:tcBorders>
              <w:top w:val="single" w:sz="12" w:space="0" w:color="auto"/>
            </w:tcBorders>
          </w:tcPr>
          <w:p w:rsidR="00A24806" w:rsidRPr="00A24806" w:rsidP="00A24806" w14:paraId="25580FC3" w14:textId="68E4FD8D">
            <w:pPr>
              <w:pStyle w:val="752024"/>
              <w:rPr>
                <w:rtl/>
              </w:rPr>
            </w:pPr>
            <w:r w:rsidRPr="00A24806">
              <w:rPr>
                <w:rtl/>
              </w:rPr>
              <w:t>שיעור הנשים מקרב בעלי התפקידים הבכירים ברשויות המקומיות (379 מתוך 1,431), נכון לשנת 2022</w:t>
            </w:r>
          </w:p>
        </w:tc>
        <w:tc>
          <w:tcPr>
            <w:tcW w:w="235" w:type="dxa"/>
          </w:tcPr>
          <w:p w:rsidR="00A24806" w:rsidP="00A24806" w14:paraId="3E616755" w14:textId="77777777">
            <w:pPr>
              <w:pStyle w:val="752024"/>
              <w:spacing w:after="0"/>
              <w:rPr>
                <w:rtl/>
              </w:rPr>
            </w:pPr>
          </w:p>
        </w:tc>
        <w:tc>
          <w:tcPr>
            <w:tcW w:w="1633" w:type="dxa"/>
            <w:tcBorders>
              <w:top w:val="single" w:sz="12" w:space="0" w:color="auto"/>
            </w:tcBorders>
          </w:tcPr>
          <w:p w:rsidR="00A24806" w:rsidRPr="00F806C3" w:rsidP="00A24806" w14:paraId="0805A83D" w14:textId="5D9E47DB">
            <w:pPr>
              <w:pStyle w:val="752024"/>
              <w:rPr>
                <w:rtl/>
              </w:rPr>
            </w:pPr>
            <w:r w:rsidRPr="00F806C3">
              <w:rPr>
                <w:rtl/>
              </w:rPr>
              <w:t xml:space="preserve">מספר </w:t>
            </w:r>
            <w:r w:rsidRPr="00A24806">
              <w:rPr>
                <w:rtl/>
              </w:rPr>
              <w:t>הרשויות</w:t>
            </w:r>
            <w:r w:rsidRPr="00F806C3">
              <w:rPr>
                <w:rtl/>
              </w:rPr>
              <w:t xml:space="preserve"> המקומיות שבהן לא כיהנה יועצת לקידום מעמד האישה (כ-9%), נכון לספטמבר 2023</w:t>
            </w:r>
            <w:r>
              <w:rPr>
                <w:rStyle w:val="FootnoteReference1"/>
                <w:rtl/>
              </w:rPr>
              <w:footnoteReference w:id="4"/>
            </w:r>
          </w:p>
          <w:p w:rsidR="00A24806" w:rsidRPr="00F23DFC" w:rsidP="00A24806" w14:paraId="39C60A43" w14:textId="3E38118A">
            <w:pPr>
              <w:pStyle w:val="752024"/>
              <w:rPr>
                <w:rtl/>
              </w:rPr>
            </w:pPr>
          </w:p>
        </w:tc>
        <w:tc>
          <w:tcPr>
            <w:tcW w:w="227" w:type="dxa"/>
          </w:tcPr>
          <w:p w:rsidR="00A24806" w:rsidP="00A24806" w14:paraId="7D8472C5" w14:textId="77777777">
            <w:pPr>
              <w:pStyle w:val="752024"/>
              <w:spacing w:after="0"/>
              <w:jc w:val="center"/>
              <w:rPr>
                <w:rtl/>
              </w:rPr>
            </w:pPr>
          </w:p>
        </w:tc>
        <w:tc>
          <w:tcPr>
            <w:tcW w:w="1757" w:type="dxa"/>
            <w:gridSpan w:val="2"/>
            <w:tcBorders>
              <w:top w:val="single" w:sz="12" w:space="0" w:color="auto"/>
            </w:tcBorders>
          </w:tcPr>
          <w:p w:rsidR="00A24806" w:rsidRPr="00A24806" w:rsidP="00665F1F" w14:paraId="5D33E5E0" w14:textId="34AD46CB">
            <w:pPr>
              <w:pStyle w:val="752024"/>
              <w:rPr>
                <w:rtl/>
              </w:rPr>
            </w:pPr>
            <w:r w:rsidRPr="0099574B">
              <w:rPr>
                <w:rtl/>
              </w:rPr>
              <w:t>שיעור היועצות לקידום מעמד האישה שהיקף משרתן בתפקידן כיועצות לא הוגדר</w:t>
            </w:r>
            <w:r w:rsidRPr="0099574B">
              <w:rPr>
                <w:rFonts w:hint="cs"/>
                <w:rtl/>
              </w:rPr>
              <w:t xml:space="preserve"> </w:t>
            </w:r>
            <w:r w:rsidRPr="00A24806">
              <w:rPr>
                <w:rtl/>
              </w:rPr>
              <w:t>(</w:t>
            </w:r>
            <w:r w:rsidRPr="00665F1F">
              <w:rPr>
                <w:rtl/>
              </w:rPr>
              <w:t>148</w:t>
            </w:r>
            <w:r w:rsidRPr="00A24806">
              <w:rPr>
                <w:rtl/>
              </w:rPr>
              <w:t xml:space="preserve"> מתוך 184), לפי תשובותיהן על השאלונים </w:t>
            </w:r>
          </w:p>
        </w:tc>
      </w:tr>
    </w:tbl>
    <w:p w:rsidR="005D0F8C" w:rsidP="007F4A20" w14:paraId="688B4C67" w14:textId="3251BEFF">
      <w:pPr>
        <w:pStyle w:val="7392"/>
        <w:spacing w:before="360"/>
        <w:rPr>
          <w:b/>
          <w:bCs/>
          <w:color w:val="00305F"/>
          <w:sz w:val="32"/>
          <w:szCs w:val="32"/>
          <w:rtl/>
        </w:rPr>
      </w:pPr>
      <w:r w:rsidRPr="001F3363">
        <w:rPr>
          <w:noProof/>
          <w:rtl/>
        </w:rPr>
        <w:drawing>
          <wp:anchor distT="0" distB="0" distL="114300" distR="114300" simplePos="0" relativeHeight="251673600"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420374" w:rsidRPr="00C62692" w:rsidP="001C1F0B" w14:paraId="7BCB45AA" w14:textId="2582DDBF">
      <w:pPr>
        <w:pStyle w:val="75"/>
        <w:spacing w:before="360"/>
        <w:rPr>
          <w:rtl/>
        </w:rPr>
      </w:pPr>
      <w:r w:rsidRPr="00C62692">
        <w:rPr>
          <w:rtl/>
        </w:rPr>
        <w:t>פעולות הביקורת</w:t>
      </w:r>
    </w:p>
    <w:p w:rsidR="00E84EFD" w:rsidP="00E84EFD" w14:paraId="3AD426BC" w14:textId="3EA003EB">
      <w:pPr>
        <w:pStyle w:val="7314"/>
        <w:rPr>
          <w:rtl/>
        </w:rPr>
      </w:pPr>
      <w:r w:rsidRPr="00DD232E">
        <w:rPr>
          <w:noProof/>
        </w:rPr>
        <w:drawing>
          <wp:anchor distT="0" distB="0" distL="71755" distR="71755" simplePos="0" relativeHeight="251677696" behindDoc="0" locked="0" layoutInCell="1" allowOverlap="1">
            <wp:simplePos x="0" y="0"/>
            <wp:positionH relativeFrom="column">
              <wp:posOffset>4529260</wp:posOffset>
            </wp:positionH>
            <wp:positionV relativeFrom="paragraph">
              <wp:posOffset>50165</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06C3">
        <w:rPr>
          <w:rtl/>
        </w:rPr>
        <w:t xml:space="preserve">בחודשים מאי עד נובמבר 2023 בדק משרד מבקר המדינה את פעולותיהם של הרשויות המקומיות ושל גופי האסדרה השלטוניים לקידום השוויון המגדרי ולהטמעת החשיבה המגדרית </w:t>
      </w:r>
      <w:r w:rsidRPr="00E84EFD">
        <w:rPr>
          <w:rtl/>
        </w:rPr>
        <w:t>בשלטון</w:t>
      </w:r>
      <w:r w:rsidRPr="00F806C3">
        <w:rPr>
          <w:rtl/>
        </w:rPr>
        <w:t xml:space="preserve"> המקומי. ממצאי הביקורת מתבססים על בדיקת עומק שנעשתה בעיריות </w:t>
      </w:r>
      <w:r w:rsidRPr="00F806C3">
        <w:rPr>
          <w:b/>
          <w:bCs/>
          <w:rtl/>
        </w:rPr>
        <w:t>באר שבע</w:t>
      </w:r>
      <w:r w:rsidRPr="00F806C3">
        <w:rPr>
          <w:rtl/>
        </w:rPr>
        <w:t xml:space="preserve">, </w:t>
      </w:r>
      <w:r w:rsidRPr="00F806C3">
        <w:rPr>
          <w:b/>
          <w:bCs/>
          <w:rtl/>
        </w:rPr>
        <w:t>בית שמש</w:t>
      </w:r>
      <w:r w:rsidRPr="00F806C3">
        <w:rPr>
          <w:rtl/>
        </w:rPr>
        <w:t xml:space="preserve">, </w:t>
      </w:r>
      <w:r w:rsidRPr="00F806C3">
        <w:rPr>
          <w:b/>
          <w:bCs/>
          <w:rtl/>
        </w:rPr>
        <w:t>כפר סבא</w:t>
      </w:r>
      <w:r w:rsidRPr="00F806C3">
        <w:rPr>
          <w:rtl/>
        </w:rPr>
        <w:t xml:space="preserve">, </w:t>
      </w:r>
      <w:r w:rsidRPr="00F806C3">
        <w:rPr>
          <w:b/>
          <w:bCs/>
          <w:rtl/>
        </w:rPr>
        <w:t xml:space="preserve">נהרייה </w:t>
      </w:r>
      <w:r w:rsidRPr="00F806C3">
        <w:rPr>
          <w:rtl/>
        </w:rPr>
        <w:t>ו</w:t>
      </w:r>
      <w:r w:rsidRPr="00F806C3">
        <w:rPr>
          <w:b/>
          <w:bCs/>
          <w:rtl/>
        </w:rPr>
        <w:t>רהט</w:t>
      </w:r>
      <w:r w:rsidRPr="00F806C3">
        <w:rPr>
          <w:rtl/>
        </w:rPr>
        <w:t xml:space="preserve">, במועצה המקומית </w:t>
      </w:r>
      <w:r w:rsidRPr="00F806C3">
        <w:rPr>
          <w:b/>
          <w:bCs/>
          <w:rtl/>
        </w:rPr>
        <w:t>גן יבנה</w:t>
      </w:r>
      <w:r w:rsidRPr="00F806C3">
        <w:rPr>
          <w:rtl/>
        </w:rPr>
        <w:t xml:space="preserve"> ובמועצה האזורית </w:t>
      </w:r>
      <w:r w:rsidRPr="00F806C3">
        <w:rPr>
          <w:b/>
          <w:bCs/>
          <w:rtl/>
        </w:rPr>
        <w:t>גזר</w:t>
      </w:r>
      <w:r w:rsidRPr="00F806C3">
        <w:rPr>
          <w:rtl/>
        </w:rPr>
        <w:t xml:space="preserve"> (הרשויות שנבדקו) וכן על בדיקה שנעשתה </w:t>
      </w:r>
      <w:r w:rsidRPr="00F806C3">
        <w:rPr>
          <w:rtl/>
        </w:rPr>
        <w:t>במינהל</w:t>
      </w:r>
      <w:r w:rsidRPr="00F806C3">
        <w:rPr>
          <w:rtl/>
        </w:rPr>
        <w:t xml:space="preserve"> השלטון המקומי במשרד הפנים, ברשות לקידום מעמד האישה, בנציבות שוויון ההזדמנויות בעבודה ואצל הממונה על השכר והסכמי העבודה במשרד האוצר. בדיקת העומק כללה בחינה של יישום הוראות </w:t>
      </w:r>
      <w:r w:rsidRPr="00F806C3">
        <w:rPr>
          <w:rtl/>
        </w:rPr>
        <w:t>הדין על ידי הרשויות המקומיות הללו בכל הנוגע לפערי השכר המגדריים בקרב עובדיהן; ניתוח של פערי השכר המגדריים ושל הגורמים המשפיעים עליהם, שנעשה בסיוע של יועץ כלכלי חיצוני; בדיקת הייצוג של בני שני המינים בקרב נבחרי הציבור, דרג הניהול הבכיר וחברי הגופים המנהלים של התאגידים העירוניים; וכן בחינה של יישום הוראות הדין שנועדו לקדם שוויון מגדרי בהליכי הרכש וההתקשרויות של הרשויות המקומיות. כמו כן התייחסה בדיקת העומק להליכי המינוי, לתנאי ההעסקה ולתחומי הפעילות העיקריים של היועצות לקידום מעמד האישה המכהנות ברשויות הללו.</w:t>
      </w:r>
    </w:p>
    <w:p w:rsidR="00E84EFD" w:rsidP="00E84EFD" w14:paraId="299173C5" w14:textId="140328FC">
      <w:pPr>
        <w:pStyle w:val="7314"/>
        <w:rPr>
          <w:rtl/>
        </w:rPr>
      </w:pPr>
      <w:r w:rsidRPr="00F806C3">
        <w:rPr>
          <w:rtl/>
        </w:rPr>
        <w:t xml:space="preserve">ממצאי הביקורת מתבססים גם על תשובות שנתנו 194 רשויות מקומיות על שאלונים בנושא יישום </w:t>
      </w:r>
      <w:r w:rsidRPr="00E84EFD">
        <w:rPr>
          <w:rtl/>
        </w:rPr>
        <w:t>הוראות</w:t>
      </w:r>
      <w:r w:rsidRPr="00F806C3">
        <w:rPr>
          <w:rtl/>
        </w:rPr>
        <w:t xml:space="preserve"> חוק שכר שווה לעובדת ולעובד, התשנ"ו-1996, וכן בנושא מעמדה ותפקודה של היועצת </w:t>
      </w:r>
      <w:r w:rsidRPr="00E84EFD">
        <w:rPr>
          <w:rtl/>
        </w:rPr>
        <w:t>לקידום</w:t>
      </w:r>
      <w:r w:rsidRPr="00F806C3">
        <w:rPr>
          <w:rtl/>
        </w:rPr>
        <w:t xml:space="preserve"> מעמד האישה ברשויות המקומיות. כמו כן, בחלק מהנושאים ממצאי הביקורת מתבססים על נתונים שנאספו על כלל גופי השלטון המקומי. ניתוח הנתונים כלל גם בחינה של התפלגות ממצאי הביקורת לפי מאפייניהן השונים של הרשויות המקומיות על פי נתוני הלשכה המרכזית לסטטיסטיקה לסוף שנת 2022 וכן לפי סיווגן של הרשויות המקומיות על פי נתוני משרד הפנים.</w:t>
      </w:r>
    </w:p>
    <w:p w:rsidR="004227C9" w:rsidP="004227C9" w14:paraId="45FF0E5F" w14:textId="77777777">
      <w:pPr>
        <w:pStyle w:val="75"/>
        <w:spacing w:before="600"/>
        <w:rPr>
          <w:rtl/>
        </w:rPr>
      </w:pPr>
      <w:r w:rsidRPr="00275281">
        <w:rPr>
          <w:rFonts w:hint="cs"/>
          <w:rtl/>
        </w:rPr>
        <w:t>תמונת המצב העולה מן הביקורת</w:t>
      </w:r>
    </w:p>
    <w:p w:rsidR="00EB672B" w:rsidRPr="00CF6518" w:rsidP="00EB672B" w14:paraId="53F8FF0A"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AD39FB" w:rsidP="00144C3E" w14:paraId="48A50A22" w14:textId="09B0A0A4">
      <w:pPr>
        <w:pStyle w:val="7314"/>
        <w:rPr>
          <w:rtl/>
        </w:rPr>
      </w:pPr>
      <w:r w:rsidRPr="003F0A00">
        <w:rPr>
          <w:rStyle w:val="7371"/>
          <w:rFonts w:hint="cs"/>
          <w:noProof/>
          <w:rtl/>
        </w:rPr>
        <w:drawing>
          <wp:anchor distT="0" distB="0" distL="71755" distR="0" simplePos="0" relativeHeight="25168384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5"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806C3" w:rsidR="00144C3E">
        <w:rPr>
          <w:b/>
          <w:bCs/>
          <w:rtl/>
        </w:rPr>
        <w:t xml:space="preserve">ההיבט הנורמטיבי </w:t>
      </w:r>
      <w:r w:rsidRPr="009C0EA7" w:rsidR="00144C3E">
        <w:rPr>
          <w:rtl/>
        </w:rPr>
        <w:t>-</w:t>
      </w:r>
      <w:r w:rsidRPr="00F806C3" w:rsidR="00144C3E">
        <w:rPr>
          <w:b/>
          <w:bCs/>
          <w:rtl/>
        </w:rPr>
        <w:t xml:space="preserve"> </w:t>
      </w:r>
      <w:r w:rsidRPr="00F806C3" w:rsidR="00144C3E">
        <w:rPr>
          <w:rtl/>
        </w:rPr>
        <w:t xml:space="preserve">הועלה כי ההסדרים הכלליים והפרטניים לקידום השוויון המגדרי בגופי השלטון המקומי שהבשילו לכדי חקיקה או הוראות רגולטוריות הם מצומצמים בהיקפם, בין היתר בהשוואה להסדרים כאמור לקידום השוויון המגדרי במשרדי הממשלה, </w:t>
      </w:r>
      <w:r w:rsidRPr="00144C3E" w:rsidR="00144C3E">
        <w:rPr>
          <w:rtl/>
        </w:rPr>
        <w:t>ביחידות</w:t>
      </w:r>
      <w:r w:rsidRPr="00F806C3" w:rsidR="00144C3E">
        <w:rPr>
          <w:rtl/>
        </w:rPr>
        <w:t xml:space="preserve"> הסמך הממשלתיות ובחברות הממשלתיות. הדבר נכון בפרט בכל הנוגע למנגנוני הניטור, הפיקוח והאכיפה של ההסדרים שהוחלו על גופי השלטון המקומי וכן בכל הנוגע לאיסוף של מידע ונתונים סטטיסטיים בהתפלגות מגדרית ולניתוחם לצורך ניתוח מגדרי של תקציבי הגופים הללו</w:t>
      </w:r>
      <w:r w:rsidR="00144C3E">
        <w:rPr>
          <w:rFonts w:hint="cs"/>
          <w:rtl/>
        </w:rPr>
        <w:t>.</w:t>
      </w:r>
    </w:p>
    <w:p w:rsidR="001F2DE6" w:rsidP="00144C3E" w14:paraId="597E5E97" w14:textId="13F812CA">
      <w:pPr>
        <w:pStyle w:val="7314"/>
        <w:rPr>
          <w:rtl/>
        </w:rPr>
      </w:pPr>
      <w:r w:rsidRPr="003F0A00">
        <w:rPr>
          <w:rStyle w:val="7371"/>
          <w:rFonts w:hint="cs"/>
          <w:noProof/>
          <w:rtl/>
        </w:rPr>
        <w:drawing>
          <wp:anchor distT="0" distB="0" distL="71755" distR="0" simplePos="0" relativeHeight="25168486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1"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806C3" w:rsidR="00144C3E">
        <w:rPr>
          <w:b/>
          <w:bCs/>
          <w:rtl/>
        </w:rPr>
        <w:t xml:space="preserve">בחינה עצמית של פערי השכר המגדריים </w:t>
      </w:r>
      <w:r w:rsidRPr="00F806C3" w:rsidR="00144C3E">
        <w:rPr>
          <w:rtl/>
        </w:rPr>
        <w:t xml:space="preserve">- בשנת 2023 דורגה מדינת ישראל במדד הפער המגדרי העולמי במקום ה-83 מתוך 146 מדינות, </w:t>
      </w:r>
      <w:r w:rsidR="00711BC1">
        <w:rPr>
          <w:rFonts w:hint="cs"/>
          <w:rtl/>
        </w:rPr>
        <w:t>ירידה</w:t>
      </w:r>
      <w:r w:rsidRPr="00F806C3" w:rsidR="00144C3E">
        <w:rPr>
          <w:rtl/>
        </w:rPr>
        <w:t xml:space="preserve"> של 23 מקומות מהדירוג שלה בשנת 2022 (במקום ה-60) </w:t>
      </w:r>
      <w:r w:rsidRPr="007115B7" w:rsidR="007115B7">
        <w:rPr>
          <w:rtl/>
        </w:rPr>
        <w:t>(המדינה המדורגת במקום ה-1 היא הקרובה ביותר להשגת שוויון מגדרי)</w:t>
      </w:r>
      <w:r w:rsidRPr="00F806C3" w:rsidR="00144C3E">
        <w:rPr>
          <w:rtl/>
        </w:rPr>
        <w:t>. הדירוג ה</w:t>
      </w:r>
      <w:r w:rsidR="00036B8E">
        <w:rPr>
          <w:rFonts w:hint="cs"/>
          <w:rtl/>
        </w:rPr>
        <w:t>נמוך</w:t>
      </w:r>
      <w:r w:rsidRPr="00F806C3" w:rsidR="00144C3E">
        <w:rPr>
          <w:rtl/>
        </w:rPr>
        <w:t xml:space="preserve"> של ישראל במדד נבע בין היתר מדירוגה ה</w:t>
      </w:r>
      <w:r w:rsidR="00036B8E">
        <w:rPr>
          <w:rFonts w:hint="cs"/>
          <w:rtl/>
        </w:rPr>
        <w:t>נמוך</w:t>
      </w:r>
      <w:r w:rsidRPr="00F806C3" w:rsidR="00144C3E">
        <w:rPr>
          <w:rtl/>
        </w:rPr>
        <w:t xml:space="preserve"> בקטגוריה הבוחנת את מידת אי-השוויון המגדרי במדינה בתחומי הכלכלה, ובפרט בהיבטים של פערי השכר המגדריים. כך, בין היתר, בשנת 2022 עמד השכר הממוצע </w:t>
      </w:r>
      <w:r w:rsidRPr="00144C3E" w:rsidR="00144C3E">
        <w:rPr>
          <w:rtl/>
        </w:rPr>
        <w:t>לחודש</w:t>
      </w:r>
      <w:r w:rsidRPr="00F806C3" w:rsidR="00144C3E">
        <w:rPr>
          <w:rtl/>
        </w:rPr>
        <w:t xml:space="preserve"> של העובדות ביחס לעובדים (שכר ברוטו למס) בכלל גופי השלטון המקומי על כ-69%. על אף פערי השכר המגדריים הניכרים בקרב עובדי הרשויות המקומיות, מהתשובות על השאלונים עלה כי כ-48% מהרשויות המקומיות שהשיבו בעניין זה (92 מתוך 19</w:t>
      </w:r>
      <w:r w:rsidR="000A61B5">
        <w:rPr>
          <w:rFonts w:hint="cs"/>
          <w:rtl/>
        </w:rPr>
        <w:t>4</w:t>
      </w:r>
      <w:r w:rsidRPr="00F806C3" w:rsidR="00144C3E">
        <w:rPr>
          <w:rtl/>
        </w:rPr>
        <w:t xml:space="preserve">), ובהן עיריית </w:t>
      </w:r>
      <w:r w:rsidRPr="00F806C3" w:rsidR="00144C3E">
        <w:rPr>
          <w:b/>
          <w:bCs/>
          <w:rtl/>
        </w:rPr>
        <w:t>רהט</w:t>
      </w:r>
      <w:r w:rsidRPr="00F806C3" w:rsidR="00144C3E">
        <w:rPr>
          <w:rtl/>
        </w:rPr>
        <w:t xml:space="preserve">, לא ערכו דוחות פנימיים על פערי השכר המגדריים בהן לפי חוק שכר שווה לאף אחת מהשנים 2021 ו-2022. הביקורת העלתה עוד כי הרוב הגדול של הרשויות המקומיות שדוחותיהן הפנימיים נבדקו (49 מתוך 60), ובהן העיריות </w:t>
      </w:r>
      <w:r w:rsidRPr="00F806C3" w:rsidR="00144C3E">
        <w:rPr>
          <w:b/>
          <w:bCs/>
          <w:rtl/>
        </w:rPr>
        <w:t>באר שבע</w:t>
      </w:r>
      <w:r w:rsidRPr="00F806C3" w:rsidR="00144C3E">
        <w:rPr>
          <w:rtl/>
        </w:rPr>
        <w:t xml:space="preserve">, </w:t>
      </w:r>
      <w:r w:rsidRPr="00F806C3" w:rsidR="00144C3E">
        <w:rPr>
          <w:b/>
          <w:bCs/>
          <w:rtl/>
        </w:rPr>
        <w:t>בית שמש</w:t>
      </w:r>
      <w:r w:rsidRPr="00F806C3" w:rsidR="00144C3E">
        <w:rPr>
          <w:rtl/>
        </w:rPr>
        <w:t xml:space="preserve"> ו</w:t>
      </w:r>
      <w:r w:rsidRPr="00F806C3" w:rsidR="00144C3E">
        <w:rPr>
          <w:b/>
          <w:bCs/>
          <w:rtl/>
        </w:rPr>
        <w:t xml:space="preserve">נהרייה </w:t>
      </w:r>
      <w:r w:rsidRPr="00F806C3" w:rsidR="00144C3E">
        <w:rPr>
          <w:rtl/>
        </w:rPr>
        <w:t xml:space="preserve">והמועצה </w:t>
      </w:r>
      <w:r w:rsidRPr="00F806C3" w:rsidR="00144C3E">
        <w:rPr>
          <w:rtl/>
        </w:rPr>
        <w:t xml:space="preserve">המקומית </w:t>
      </w:r>
      <w:r w:rsidRPr="00F806C3" w:rsidR="00144C3E">
        <w:rPr>
          <w:b/>
          <w:bCs/>
          <w:rtl/>
        </w:rPr>
        <w:t>גן יבנה</w:t>
      </w:r>
      <w:r w:rsidRPr="00F806C3" w:rsidR="00144C3E">
        <w:rPr>
          <w:rtl/>
        </w:rPr>
        <w:t>, לא פעלו ליישום הוראות החוק והנחיות נציבות שוויון ההזדמנויות בעבודה לעניין עריכת הדוח הפנימי במלואן, וכי רובן המוחלט לא יישם את המלצות הנציבות בנוגע לאופן עריכתו של הדוח הפנימי ובנוגע לנתונים שיוצגו בו</w:t>
      </w:r>
      <w:r w:rsidRPr="00E4049C" w:rsidR="00890B51">
        <w:rPr>
          <w:rtl/>
        </w:rPr>
        <w:t>.</w:t>
      </w:r>
    </w:p>
    <w:p w:rsidR="00E3763A" w:rsidP="00144C3E" w14:paraId="2110C45A" w14:textId="291FF8BA">
      <w:pPr>
        <w:pStyle w:val="7314"/>
        <w:rPr>
          <w:rtl/>
        </w:rPr>
      </w:pPr>
      <w:r w:rsidRPr="003F0A00">
        <w:rPr>
          <w:rStyle w:val="7371"/>
          <w:rFonts w:hint="cs"/>
          <w:noProof/>
          <w:rtl/>
        </w:rPr>
        <w:drawing>
          <wp:anchor distT="0" distB="0" distL="71755" distR="0" simplePos="0" relativeHeight="25168691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806C3" w:rsidR="00144C3E">
        <w:rPr>
          <w:b/>
          <w:bCs/>
          <w:rtl/>
        </w:rPr>
        <w:t>בקרה על קיום חובותיהם של מעסיקים לפי חוק שכר שווה ואכיפתן</w:t>
      </w:r>
      <w:r w:rsidRPr="00F806C3" w:rsidR="00144C3E">
        <w:rPr>
          <w:rtl/>
        </w:rPr>
        <w:t xml:space="preserve"> - נמצא כי מאז הוחלה בחוק על מעסיקים מסוימים, ובהם גופי השלטון המקומי, החובה לערוך דוח פנימי על פערי השכר המגדריים ומאז פורסמו הנחיות הנציבות בנוגע לאופן </w:t>
      </w:r>
      <w:r w:rsidRPr="00144C3E" w:rsidR="00144C3E">
        <w:rPr>
          <w:rtl/>
        </w:rPr>
        <w:t>עריכתו</w:t>
      </w:r>
      <w:r w:rsidRPr="00F806C3" w:rsidR="00144C3E">
        <w:rPr>
          <w:rtl/>
        </w:rPr>
        <w:t xml:space="preserve"> של הדוח הפנימי, </w:t>
      </w:r>
      <w:r w:rsidRPr="00144C3E" w:rsidR="00144C3E">
        <w:rPr>
          <w:rtl/>
        </w:rPr>
        <w:t>למסירת</w:t>
      </w:r>
      <w:r w:rsidRPr="00F806C3" w:rsidR="00144C3E">
        <w:rPr>
          <w:rtl/>
        </w:rPr>
        <w:t xml:space="preserve"> ההודעה לעובדים ולפרסום הדוח הפומבי בהתבסס עליו, לא נעשתה בקרה שיטתית בידי נציבות שוויון ההזדמנויות בעבודה או בידי גוף מאסדר אחר על קיום הוראות החוק וההנחיות האמורות. עוד נמצא כי לא ננקטו באופן שיטתי וסדור פעולות אכיפה כלפי מעסיקים שלא קיימו את חובותיהם בנושאים אלו, זאת אף שממצאי הביקורת הצביעו על כך שכ-48% מהרשויות המקומיות שהשיבו על השאלונים (92 מתוך 19</w:t>
      </w:r>
      <w:r w:rsidR="000A61B5">
        <w:rPr>
          <w:rFonts w:hint="cs"/>
          <w:rtl/>
        </w:rPr>
        <w:t>4</w:t>
      </w:r>
      <w:r w:rsidRPr="00F806C3" w:rsidR="00144C3E">
        <w:rPr>
          <w:rtl/>
        </w:rPr>
        <w:t xml:space="preserve">) לא ערכו דוח פנימי על פערי השכר המגדריים בקרב עובדיהן לאף אחת מהשנים 2021 ו-2022 ואף שמבין הרשויות המקומיות שערכו דוח פנימי על פערי השכר המגדריים לשנת 2022 </w:t>
      </w:r>
      <w:r w:rsidR="00144C3E">
        <w:rPr>
          <w:rFonts w:hint="cs"/>
          <w:rtl/>
        </w:rPr>
        <w:t xml:space="preserve">     </w:t>
      </w:r>
      <w:r w:rsidRPr="00F806C3" w:rsidR="00144C3E">
        <w:rPr>
          <w:rtl/>
        </w:rPr>
        <w:t>כ-23% (22 מתוך 97) לא מסרו הודעה לעובדיהן בדבר הפערים שהעלה הניתוח לשנה זו</w:t>
      </w:r>
      <w:r w:rsidRPr="00E4049C" w:rsidR="00890B51">
        <w:rPr>
          <w:rtl/>
        </w:rPr>
        <w:t>.</w:t>
      </w:r>
    </w:p>
    <w:p w:rsidR="00FD5595" w:rsidP="00144C3E" w14:paraId="0D2B6367" w14:textId="789F1A94">
      <w:pPr>
        <w:pStyle w:val="7314"/>
        <w:rPr>
          <w:rtl/>
        </w:rPr>
      </w:pPr>
      <w:r w:rsidRPr="003F0A00">
        <w:rPr>
          <w:rStyle w:val="7371"/>
          <w:rFonts w:hint="cs"/>
          <w:noProof/>
          <w:rtl/>
        </w:rPr>
        <w:drawing>
          <wp:anchor distT="0" distB="0" distL="71755" distR="0" simplePos="0" relativeHeight="251687936" behindDoc="1" locked="0" layoutInCell="1" allowOverlap="1">
            <wp:simplePos x="0" y="0"/>
            <wp:positionH relativeFrom="column">
              <wp:posOffset>4563414</wp:posOffset>
            </wp:positionH>
            <wp:positionV relativeFrom="paragraph">
              <wp:posOffset>29845</wp:posOffset>
            </wp:positionV>
            <wp:extent cx="162000" cy="162000"/>
            <wp:effectExtent l="0" t="0" r="9525" b="9525"/>
            <wp:wrapTight wrapText="bothSides">
              <wp:wrapPolygon>
                <wp:start x="0" y="0"/>
                <wp:lineTo x="0" y="20329"/>
                <wp:lineTo x="20329" y="20329"/>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806C3" w:rsidR="00144C3E">
        <w:rPr>
          <w:b/>
          <w:bCs/>
          <w:rtl/>
        </w:rPr>
        <w:t xml:space="preserve">פערי השכר המגדריים ברשויות המקומיות שנבדקו </w:t>
      </w:r>
      <w:r w:rsidRPr="00F806C3" w:rsidR="00144C3E">
        <w:rPr>
          <w:rtl/>
        </w:rPr>
        <w:t xml:space="preserve">- ניתוח של פערי השכר המגדריים שעשה משרד מבקר המדינה בסיוע של יועץ כלכלי חיצוני העלה פער בין השכר הממוצע ברוטו לעובד ובין השכר הממוצע ברוטו לעובדת של כ-24% (18.7 ש"ח לשעה) בעיריית </w:t>
      </w:r>
      <w:r w:rsidRPr="00F806C3" w:rsidR="00144C3E">
        <w:rPr>
          <w:b/>
          <w:bCs/>
          <w:rtl/>
        </w:rPr>
        <w:t>באר</w:t>
      </w:r>
      <w:r w:rsidRPr="00F806C3" w:rsidR="00144C3E">
        <w:rPr>
          <w:rtl/>
        </w:rPr>
        <w:t xml:space="preserve"> </w:t>
      </w:r>
      <w:r w:rsidRPr="00F806C3" w:rsidR="00144C3E">
        <w:rPr>
          <w:b/>
          <w:bCs/>
          <w:rtl/>
        </w:rPr>
        <w:t>שבע</w:t>
      </w:r>
      <w:r w:rsidRPr="00F806C3" w:rsidR="00144C3E">
        <w:rPr>
          <w:rtl/>
        </w:rPr>
        <w:t xml:space="preserve">; של כ-20% (12 ש"ח לשעה) בעיריית </w:t>
      </w:r>
      <w:r w:rsidRPr="00F806C3" w:rsidR="00144C3E">
        <w:rPr>
          <w:b/>
          <w:bCs/>
          <w:rtl/>
        </w:rPr>
        <w:t>בית שמש</w:t>
      </w:r>
      <w:r w:rsidRPr="00F806C3" w:rsidR="00144C3E">
        <w:rPr>
          <w:rtl/>
        </w:rPr>
        <w:t xml:space="preserve">; של כ-22% (14.9 ש"ח לשעה) במועצה האזורית </w:t>
      </w:r>
      <w:r w:rsidRPr="00F806C3" w:rsidR="00144C3E">
        <w:rPr>
          <w:b/>
          <w:bCs/>
          <w:rtl/>
        </w:rPr>
        <w:t>גזר</w:t>
      </w:r>
      <w:r w:rsidRPr="00F806C3" w:rsidR="00144C3E">
        <w:rPr>
          <w:rtl/>
        </w:rPr>
        <w:t xml:space="preserve">; של כ-42% (כ-33.9 ש"ח לשעה) במועצה המקומית </w:t>
      </w:r>
      <w:r w:rsidRPr="00F806C3" w:rsidR="00144C3E">
        <w:rPr>
          <w:b/>
          <w:bCs/>
          <w:rtl/>
        </w:rPr>
        <w:t>גן</w:t>
      </w:r>
      <w:r w:rsidRPr="00F806C3" w:rsidR="00144C3E">
        <w:rPr>
          <w:rtl/>
        </w:rPr>
        <w:t xml:space="preserve"> </w:t>
      </w:r>
      <w:r w:rsidRPr="00F806C3" w:rsidR="00144C3E">
        <w:rPr>
          <w:b/>
          <w:bCs/>
          <w:rtl/>
        </w:rPr>
        <w:t>יבנה</w:t>
      </w:r>
      <w:r w:rsidRPr="00F806C3" w:rsidR="00144C3E">
        <w:rPr>
          <w:rtl/>
        </w:rPr>
        <w:t xml:space="preserve">; של כ-23% (כ-13.6 ש"ח לשעה) בעיריית </w:t>
      </w:r>
      <w:r w:rsidRPr="00F806C3" w:rsidR="00144C3E">
        <w:rPr>
          <w:b/>
          <w:bCs/>
          <w:rtl/>
        </w:rPr>
        <w:t>נהרייה</w:t>
      </w:r>
      <w:r w:rsidRPr="00F806C3" w:rsidR="00144C3E">
        <w:rPr>
          <w:rtl/>
        </w:rPr>
        <w:t xml:space="preserve">; של כ-14% (9.8 ש"ח לשעה) בעיריית </w:t>
      </w:r>
      <w:r w:rsidRPr="00F806C3" w:rsidR="00144C3E">
        <w:rPr>
          <w:b/>
          <w:bCs/>
          <w:rtl/>
        </w:rPr>
        <w:t>כפר</w:t>
      </w:r>
      <w:r w:rsidRPr="00F806C3" w:rsidR="00144C3E">
        <w:rPr>
          <w:rtl/>
        </w:rPr>
        <w:t xml:space="preserve"> </w:t>
      </w:r>
      <w:r w:rsidRPr="00F806C3" w:rsidR="00144C3E">
        <w:rPr>
          <w:b/>
          <w:bCs/>
          <w:rtl/>
        </w:rPr>
        <w:t>סבא</w:t>
      </w:r>
      <w:r w:rsidRPr="00F806C3" w:rsidR="00144C3E">
        <w:rPr>
          <w:rtl/>
        </w:rPr>
        <w:t xml:space="preserve">; ושל כ-38% (כ-26.3 ש"ח לשעה) בעיריית </w:t>
      </w:r>
      <w:r w:rsidRPr="00F806C3" w:rsidR="00144C3E">
        <w:rPr>
          <w:b/>
          <w:bCs/>
          <w:rtl/>
        </w:rPr>
        <w:t>רהט</w:t>
      </w:r>
      <w:r w:rsidRPr="00F806C3" w:rsidR="00144C3E">
        <w:rPr>
          <w:rtl/>
        </w:rPr>
        <w:t>. הניתוח העלה עוד כי את הפערים הללו אפשר להסביר בתופעות שאינן ייחודיות לשלטון המקומי, ובכללן ריכוזיות-היתר של נשים בענפים מסוימים שנלווים להם יוקרה ושכר נמוכים וכן שיעורן הנמוך מקרב בעלי התפקידים בדרג הניהול הבכיר (המרכיב של הדירוג המקצועי ורמת הבכירות של התפקיד). לצד זאת פערי השכר קשורים גם במאפיינים תעסוקתיים (תשלום עבור שעות כוננות, שעות נוספות, עבודה נוספת או החזקת רכב).</w:t>
      </w:r>
    </w:p>
    <w:p w:rsidR="00FD5595" w:rsidRPr="001A7BB9" w:rsidP="00375182" w14:paraId="32BFA4CD" w14:textId="211A359F">
      <w:pPr>
        <w:pStyle w:val="7314"/>
        <w:rPr>
          <w:rtl/>
        </w:rPr>
      </w:pPr>
      <w:r w:rsidRPr="003F0A00">
        <w:rPr>
          <w:rStyle w:val="7371"/>
          <w:rFonts w:hint="cs"/>
          <w:noProof/>
          <w:rtl/>
        </w:rPr>
        <w:drawing>
          <wp:anchor distT="0" distB="0" distL="71755" distR="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806C3" w:rsidR="00144C3E">
        <w:rPr>
          <w:b/>
          <w:bCs/>
          <w:rtl/>
        </w:rPr>
        <w:t xml:space="preserve">תוספת מימון לקידום הייצוג ההולם בקרב נבחרי הציבור </w:t>
      </w:r>
      <w:r w:rsidRPr="00F806C3" w:rsidR="00144C3E">
        <w:rPr>
          <w:rtl/>
        </w:rPr>
        <w:t xml:space="preserve">- מניתוח הנתונים על תוצאות הבחירות לרשויות המקומיות בשנת 2024 עלה כי בראש כ-6% מהרשויות המקומיות בלבד (15 מתוך 257) עמדו נשים. אף כי חלה עלייה מסוימת בשיעור הנשים העומדות בראש רשות מקומית, שיעורן נותר נמוך, וזאת גם בהשוואה למדינות דמוקרטיות אחרות. כמו כן, לפי הנתונים על תוצאות הבחירות לרשויות המקומיות בשנת 2024, שיעורן של הנשים מקרב חברי מועצת הרשות המקומית היה כ-19% בעיריות ובמועצות מקומיות (493 מתוך 2,655) וכ-23% במועצות אזוריות (231 מתוך 992). שיעורן של הנשים מקרב חברי המועצה בכלל סוגי הרשויות המקומיות היה כ-20% (724 מתוך 3,647), לעומת כ-18% בשנת 2018, כ-13% בשנת 2013 וכ-11% בשנת 2008. </w:t>
      </w:r>
      <w:r w:rsidRPr="00F806C3" w:rsidR="00144C3E">
        <w:rPr>
          <w:rtl/>
        </w:rPr>
        <w:t>בכשליש</w:t>
      </w:r>
      <w:r w:rsidRPr="00F806C3" w:rsidR="00144C3E">
        <w:rPr>
          <w:rtl/>
        </w:rPr>
        <w:t xml:space="preserve"> מהרשויות שנבדקו (83 מתוך 238) לא נבחרה אף אישה לכהן במועצת הרשות המקומית. על כך יש להוסיף כי מהנתונים על תוצאות הבחירות לרשויות המקומיות בשנת 2024 ועל רשימות או סיעות שנמצאו זכאיות לקבלת תוספת המימון לאחר הבחירות לרשויות המקומיות בשנת 2018 עלה כי ההסדר שנועד לקדם ייצוג הולם בקרב נבחרי הציבור בעיריות ובמועצות המקומיות השפיע בהיקף מוגבל (עד כ-23% מהסיעות היו זכאיות לקבל את תוספת המימון). נוסף על כך, ניכר כי ההסדר מומש באופן מזערי בעיריות ובמועצות המקומיות מהמגזר הלא-</w:t>
      </w:r>
      <w:r w:rsidRPr="00F806C3" w:rsidR="00144C3E">
        <w:rPr>
          <w:rtl/>
        </w:rPr>
        <w:t xml:space="preserve">יהודי (כ-2% מהסיעות) ובעיריות ובמועצות מקומיות במדד חברתי-כלכלי נמוך (עד כ-7% מהסיעות ברשויות המשתייכות לאשכול 3, עד כ-5% מהסיעות ברשויות המשתייכות לאשכול 2 ובאף אחת מהסיעות ברשויות המשתייכות לאשכול 1), וכי הוא לא מומש כלל בעיריות ובמועצות מקומיות חרדיות - שבהן שיעור הייצוג לנשים נמוך, וקיים צורך רב יותר לקדם בהן באופן יזום הסדרים להעלאת שיעור הייצוג לנשים. עוד הועלה כי </w:t>
      </w:r>
      <w:r w:rsidRPr="001A7BB9" w:rsidR="0040036F">
        <w:rPr>
          <w:rtl/>
        </w:rPr>
        <w:t>מידת המועילות של ההסדר בקידום השוויון המגדרי בקרב נבחרי הציבור עשויה להיות מוגבלת הן בהיבט של השפעתו לאורך זמן בתוך תקופת כהונתה של המועצה; הן בהיבט של הבטחת ייצוג משמעותי, ולא סמלי בלבד, בהרכב המועצה, בפרט כאשר המימון ניתן לרשימות או לסיעות שנבחרה לכהן מטעמן חברת מועצה אחת - והיא בלבד (סיעת יחיד); הן בהיבט של עצם מימוש ההסדר וקבלת תוספת המימון על פיו; והן בהיבט של סוגי הרשויות המקומיות שבהן הוא ממומש.</w:t>
      </w:r>
    </w:p>
    <w:p w:rsidR="00FD5595" w:rsidP="00144C3E" w14:paraId="2B3B84FF" w14:textId="0C33A876">
      <w:pPr>
        <w:pStyle w:val="7314"/>
        <w:rPr>
          <w:rtl/>
        </w:rPr>
      </w:pPr>
      <w:r w:rsidRPr="003F0A00">
        <w:rPr>
          <w:rStyle w:val="7371"/>
          <w:rFonts w:hint="cs"/>
          <w:noProof/>
          <w:rtl/>
        </w:rPr>
        <w:drawing>
          <wp:anchor distT="0" distB="0" distL="71755" distR="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806C3" w:rsidR="00144C3E">
        <w:rPr>
          <w:b/>
          <w:bCs/>
          <w:rtl/>
        </w:rPr>
        <w:t>שדרת הניהול של הרשות המקומית</w:t>
      </w:r>
      <w:r w:rsidRPr="00F806C3" w:rsidR="00144C3E">
        <w:rPr>
          <w:rtl/>
        </w:rPr>
        <w:t xml:space="preserve"> - אף ששיעורן של הנשים מקרב כלל עובדי הרשות </w:t>
      </w:r>
      <w:r w:rsidRPr="00144C3E" w:rsidR="00144C3E">
        <w:rPr>
          <w:rtl/>
        </w:rPr>
        <w:t>המקומית</w:t>
      </w:r>
      <w:r w:rsidRPr="00F806C3" w:rsidR="00144C3E">
        <w:rPr>
          <w:rtl/>
        </w:rPr>
        <w:t xml:space="preserve"> הוא</w:t>
      </w:r>
      <w:r w:rsidR="00144C3E">
        <w:rPr>
          <w:rFonts w:hint="cs"/>
          <w:rtl/>
        </w:rPr>
        <w:t xml:space="preserve"> </w:t>
      </w:r>
      <w:r w:rsidRPr="00F806C3" w:rsidR="00144C3E">
        <w:rPr>
          <w:rtl/>
        </w:rPr>
        <w:t xml:space="preserve">כ-74%, שיעורן מקרב בעלי התפקידים הבכירים הוא כ-26%. שיעור נמוך כאמור ניכר במיוחד ברשויות המשתייכות למדד חברתי-כלכלי נמוך (כ-10%), ברשויות פריפריאליות (כ-21%), ברשויות לא-יהודיות (כ-8%) או ברשויות שהן בתוכניות הבראה או התייעלות או שמונה להן חשב מלווה (כ-12%). בקרוב לשליש מהרשויות המקומיות (72 מתוך 252) לא מכהנות כלל נשים בדרג הניהול הבכיר, ובהן עיריית </w:t>
      </w:r>
      <w:r w:rsidRPr="00F806C3" w:rsidR="00144C3E">
        <w:rPr>
          <w:b/>
          <w:bCs/>
          <w:rtl/>
        </w:rPr>
        <w:t>רהט</w:t>
      </w:r>
      <w:r w:rsidRPr="00F806C3" w:rsidR="00144C3E">
        <w:rPr>
          <w:rtl/>
        </w:rPr>
        <w:t xml:space="preserve">, ובשיעור דומה של הרשויות המקומיות (67 מהן) מכהנת אישה אחת בדרג הניהול הבכיר, ובהן עיריית </w:t>
      </w:r>
      <w:r w:rsidRPr="00F806C3" w:rsidR="00144C3E">
        <w:rPr>
          <w:b/>
          <w:bCs/>
          <w:rtl/>
        </w:rPr>
        <w:t>נהרייה</w:t>
      </w:r>
      <w:r w:rsidRPr="00F806C3" w:rsidR="00144C3E">
        <w:rPr>
          <w:rtl/>
        </w:rPr>
        <w:t xml:space="preserve">. נוסף על כך העלתה הביקורת כי </w:t>
      </w:r>
      <w:r w:rsidRPr="00F806C3" w:rsidR="00144C3E">
        <w:rPr>
          <w:rtl/>
        </w:rPr>
        <w:t>בכשליש</w:t>
      </w:r>
      <w:r w:rsidRPr="00F806C3" w:rsidR="00144C3E">
        <w:rPr>
          <w:rtl/>
        </w:rPr>
        <w:t xml:space="preserve"> מהרשויות המקומיות (79 מתוך 240) לא ניתן כלל ייצוג לנשים בקרב בעלי התפקידים הבכירים ובקרב נבחרי הציבור או שניתן להן ייצוג סמלי בלבד (עד 10%)</w:t>
      </w:r>
      <w:r w:rsidR="00004AA2">
        <w:rPr>
          <w:rFonts w:hint="cs"/>
          <w:rtl/>
        </w:rPr>
        <w:t>.</w:t>
      </w:r>
    </w:p>
    <w:p w:rsidR="00BD561D" w:rsidP="001A7BB9" w14:paraId="3C5D0C42" w14:textId="7D4555F6">
      <w:pPr>
        <w:pStyle w:val="7314"/>
        <w:rPr>
          <w:rtl/>
        </w:rPr>
      </w:pPr>
      <w:r w:rsidRPr="003F0A00">
        <w:rPr>
          <w:rStyle w:val="7371"/>
          <w:rFonts w:hint="cs"/>
          <w:noProof/>
          <w:rtl/>
        </w:rPr>
        <w:drawing>
          <wp:anchor distT="0" distB="0" distL="71755" distR="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806C3" w:rsidR="0022145A">
        <w:rPr>
          <w:b/>
          <w:bCs/>
          <w:rtl/>
        </w:rPr>
        <w:t>פעולות משרד הפנים לקידום השוויון המגדרי בשדרת הניהול של הרשות המקומית</w:t>
      </w:r>
      <w:r w:rsidRPr="00F806C3" w:rsidR="0022145A">
        <w:rPr>
          <w:rtl/>
        </w:rPr>
        <w:t xml:space="preserve"> - הביקורת העלתה כי משרד הפנים לא פעל ליישום ההמלצות של הוועדה לקידום נשים בשלטון </w:t>
      </w:r>
      <w:r w:rsidR="00375182">
        <w:rPr>
          <w:rFonts w:hint="cs"/>
          <w:rtl/>
        </w:rPr>
        <w:t>המקומי</w:t>
      </w:r>
      <w:r w:rsidRPr="00F806C3" w:rsidR="0022145A">
        <w:rPr>
          <w:rtl/>
        </w:rPr>
        <w:t xml:space="preserve"> משנת 2018 ושל צוות המדיניות שהוא הקים בנושא "איתור, גיוס וקידום נשים לתפקידי ניהול בכירים ברשויות המקומיות" משנת 2021, ובכלל זה לא פרסם הנחיות לרשויות המקומיות בדבר הצורך לגבש מדיניות פנים-</w:t>
      </w:r>
      <w:r w:rsidRPr="00F806C3" w:rsidR="0022145A">
        <w:rPr>
          <w:rtl/>
        </w:rPr>
        <w:t>רשותית</w:t>
      </w:r>
      <w:r w:rsidRPr="00F806C3" w:rsidR="0022145A">
        <w:rPr>
          <w:rtl/>
        </w:rPr>
        <w:t xml:space="preserve"> לקידום הייצוג ההולם לבני שני המינים, </w:t>
      </w:r>
      <w:r w:rsidRPr="001A7BB9" w:rsidR="0022145A">
        <w:rPr>
          <w:rtl/>
        </w:rPr>
        <w:t>בפרט</w:t>
      </w:r>
      <w:r w:rsidRPr="00F806C3" w:rsidR="0022145A">
        <w:rPr>
          <w:rtl/>
        </w:rPr>
        <w:t xml:space="preserve"> בדרג ניהול הביניים ובדרג הניהול הבכיר, ולרבות איתור יזום של מועמדות לתפקידים או למשרות שבהם נמצא תת-ייצוג משמעותי. משרד הפנים גם לא קבע מתווה לפיקוח ולבקרה על קיום הוראות הדין, ובכלל זה לא קבע חובות דיווח שיאפשרו לו לקיים מעקב ובקרה מועילים על מידת קידום השוויון המגדרי בדרג ניהול הביניים ובדרג הניהול הבכיר ברשות המקומית</w:t>
      </w:r>
      <w:r w:rsidRPr="00BD561D">
        <w:rPr>
          <w:rtl/>
        </w:rPr>
        <w:t>.</w:t>
      </w:r>
    </w:p>
    <w:p w:rsidR="001F2DE6" w:rsidP="0022145A" w14:paraId="260F574F" w14:textId="44CE460A">
      <w:pPr>
        <w:pStyle w:val="7314"/>
        <w:rPr>
          <w:rtl/>
        </w:rPr>
      </w:pPr>
      <w:r w:rsidRPr="003F0A00">
        <w:rPr>
          <w:rStyle w:val="7371"/>
          <w:rFonts w:hint="cs"/>
          <w:noProof/>
          <w:rtl/>
        </w:rPr>
        <w:drawing>
          <wp:anchor distT="0" distB="0" distL="71755" distR="0" simplePos="0" relativeHeight="25169305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806C3" w:rsidR="0022145A">
        <w:rPr>
          <w:b/>
          <w:bCs/>
          <w:rtl/>
        </w:rPr>
        <w:t>הגופים המנהלים של התאגידים העירוניים</w:t>
      </w:r>
      <w:r w:rsidRPr="00F806C3" w:rsidR="0022145A">
        <w:rPr>
          <w:rtl/>
        </w:rPr>
        <w:t xml:space="preserve"> - </w:t>
      </w:r>
      <w:bookmarkStart w:id="1" w:name="_Hlk169198274"/>
      <w:r w:rsidRPr="00F806C3" w:rsidR="0022145A">
        <w:rPr>
          <w:rtl/>
        </w:rPr>
        <w:t xml:space="preserve">הביקורת העלתה כי חובת הייצוג ההולם בקרב נציגי הרשות המקומית שאינם חברי המועצה עוררה שאלת פרשנות באשר לאופן מימוש חובת הייצוג ההולם הקבועה בחוק במקרים שבהם מתבקש למנות נשים בשיעור הגבוה </w:t>
      </w:r>
      <w:r w:rsidRPr="0022145A" w:rsidR="0022145A">
        <w:rPr>
          <w:rtl/>
        </w:rPr>
        <w:t>ממחצית</w:t>
      </w:r>
      <w:r w:rsidRPr="00F806C3" w:rsidR="0022145A">
        <w:rPr>
          <w:rtl/>
        </w:rPr>
        <w:t xml:space="preserve"> מחברי הגוף המנהל, ללא נבחרי הציבור. אף כי הלשכה המשפטית במשרד הפנים פנתה לאגף ייעוץ וחקיקה במשרד המשפטים לקבלת עמדתו בעניין, במועד סיום הביקורת אגף ייעוץ וחקיקה טרם השלים את גיבוש עמדתו, מאחר </w:t>
      </w:r>
      <w:r w:rsidRPr="00F806C3" w:rsidR="0022145A">
        <w:rPr>
          <w:rtl/>
        </w:rPr>
        <w:t>שהסוגיה</w:t>
      </w:r>
      <w:r w:rsidRPr="00F806C3" w:rsidR="0022145A">
        <w:rPr>
          <w:rtl/>
        </w:rPr>
        <w:t xml:space="preserve"> מעלה שאלות רוחביות שנדרש לתת את הדעת גם עליהן.</w:t>
      </w:r>
      <w:bookmarkEnd w:id="1"/>
      <w:r w:rsidRPr="00F806C3" w:rsidR="0022145A">
        <w:rPr>
          <w:rtl/>
        </w:rPr>
        <w:t xml:space="preserve"> הביקורת העלתה עוד כי בבחינת חברי הגופים המנהלים שאינם באים מתוך חברי המועצה, ברוב התאגידים העירוניים (כ-65% מהם) ניתן ייצוג שוויוני לבני שני המינים. עם זאת, בהיות שליש מחברי הגופים המנהלים נבחרי ציבור ולנוכח שיעורן הנמוך של הנשים מקרב נבחרי הציבור, שיעורם של התאגידים </w:t>
      </w:r>
      <w:r w:rsidRPr="00F806C3" w:rsidR="0022145A">
        <w:rPr>
          <w:rtl/>
        </w:rPr>
        <w:t>שבהם ניתן ייצוג שוויוני מקרב כלל החברים הללו נותר נמוך (כ-45%). מניתוח הנתונים על ההתפלגות המגדרית בקרב חברי הגוף המנהל של תאגידים עירוניים המשויכים לרשויות שנבדקו, נמצא כי לרוב ניתן ייצוג הולם לבני שני המינים בקרב חברי הגוף המנהל שאינם מבין חברי המועצה. לצד האמור נמצא כי ב</w:t>
      </w:r>
      <w:r w:rsidRPr="00F806C3" w:rsidR="0022145A">
        <w:rPr>
          <w:b/>
          <w:bCs/>
          <w:rtl/>
        </w:rPr>
        <w:t>חברה הכלכלית לפיתוח כפר סבא בע"מ</w:t>
      </w:r>
      <w:r w:rsidRPr="00F806C3" w:rsidR="0022145A">
        <w:rPr>
          <w:rtl/>
        </w:rPr>
        <w:t xml:space="preserve"> וב</w:t>
      </w:r>
      <w:r w:rsidRPr="00F806C3" w:rsidR="0022145A">
        <w:rPr>
          <w:b/>
          <w:bCs/>
          <w:rtl/>
        </w:rPr>
        <w:t>חברה הכלכלית רהט בע"מ</w:t>
      </w:r>
      <w:r w:rsidRPr="00F806C3" w:rsidR="0022145A">
        <w:rPr>
          <w:rtl/>
        </w:rPr>
        <w:t xml:space="preserve"> ניתן ייצוג בחסר לנשים בקרב כל חברי הגוף המנהל, כולל חברי המועצה, ואילו ב</w:t>
      </w:r>
      <w:r w:rsidRPr="00F806C3" w:rsidR="0022145A">
        <w:rPr>
          <w:b/>
          <w:bCs/>
          <w:rtl/>
        </w:rPr>
        <w:t xml:space="preserve">חברת בית יציב ב.ש בע"מ (באר שבע) </w:t>
      </w:r>
      <w:r w:rsidRPr="00F806C3" w:rsidR="0022145A">
        <w:rPr>
          <w:rtl/>
        </w:rPr>
        <w:t>ניתן ייצוג ביתר לנשים בקרב כל חברי הגוף המנהל, כולל חברי המועצה.</w:t>
      </w:r>
    </w:p>
    <w:p w:rsidR="001F2DE6" w:rsidP="00C963CA" w14:paraId="297F55C0" w14:textId="1E745B66">
      <w:pPr>
        <w:pStyle w:val="7314"/>
        <w:rPr>
          <w:rtl/>
        </w:rPr>
      </w:pPr>
      <w:r w:rsidRPr="003F0A00">
        <w:rPr>
          <w:rStyle w:val="7371"/>
          <w:rFonts w:hint="cs"/>
          <w:noProof/>
          <w:rtl/>
        </w:rPr>
        <w:drawing>
          <wp:anchor distT="0" distB="0" distL="71755" distR="0" simplePos="0" relativeHeight="25169408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806C3" w:rsidR="002C07F5">
        <w:rPr>
          <w:b/>
          <w:bCs/>
          <w:rtl/>
        </w:rPr>
        <w:t>הליכי הרכש וההתקשרויות של הרשויות המקומיות</w:t>
      </w:r>
      <w:r w:rsidRPr="00F806C3" w:rsidR="002C07F5">
        <w:rPr>
          <w:rtl/>
        </w:rPr>
        <w:t xml:space="preserve"> - הביקורת העלתה כי בתקופה שבין ינואר 2022 ועד יוני 2023 בכלל הרשויות המקומיות שנבדקו לא נדרש שימוש בהסדר הקבוע בחוק המקנה עדיפות לעסק בשליטת אישה בהליכי הרכש וההתקשרויות של </w:t>
      </w:r>
      <w:r w:rsidRPr="002C07F5" w:rsidR="002C07F5">
        <w:rPr>
          <w:rtl/>
        </w:rPr>
        <w:t>הרשויות</w:t>
      </w:r>
      <w:r w:rsidRPr="00F806C3" w:rsidR="002C07F5">
        <w:rPr>
          <w:rtl/>
        </w:rPr>
        <w:t xml:space="preserve"> המקומיות. נוסף על כך עלה כי בעיריות </w:t>
      </w:r>
      <w:r w:rsidRPr="00F806C3" w:rsidR="002C07F5">
        <w:rPr>
          <w:b/>
          <w:bCs/>
          <w:rtl/>
        </w:rPr>
        <w:t>באר שבע</w:t>
      </w:r>
      <w:r w:rsidRPr="00F806C3" w:rsidR="002C07F5">
        <w:rPr>
          <w:rtl/>
        </w:rPr>
        <w:t xml:space="preserve">, </w:t>
      </w:r>
      <w:r w:rsidRPr="00F806C3" w:rsidR="002C07F5">
        <w:rPr>
          <w:b/>
          <w:bCs/>
          <w:rtl/>
        </w:rPr>
        <w:t>בית שמש</w:t>
      </w:r>
      <w:r w:rsidRPr="00F806C3" w:rsidR="002C07F5">
        <w:rPr>
          <w:rtl/>
        </w:rPr>
        <w:t xml:space="preserve">, </w:t>
      </w:r>
      <w:r w:rsidRPr="00F806C3" w:rsidR="002C07F5">
        <w:rPr>
          <w:b/>
          <w:bCs/>
          <w:rtl/>
        </w:rPr>
        <w:t xml:space="preserve">כפר סבא, נהרייה </w:t>
      </w:r>
      <w:r w:rsidRPr="00F806C3" w:rsidR="002C07F5">
        <w:rPr>
          <w:rtl/>
        </w:rPr>
        <w:t>ו</w:t>
      </w:r>
      <w:r w:rsidRPr="00F806C3" w:rsidR="002C07F5">
        <w:rPr>
          <w:b/>
          <w:bCs/>
          <w:rtl/>
        </w:rPr>
        <w:t xml:space="preserve">רהט </w:t>
      </w:r>
      <w:r w:rsidRPr="00F806C3" w:rsidR="002C07F5">
        <w:rPr>
          <w:rtl/>
        </w:rPr>
        <w:t xml:space="preserve">ובמועצה המקומית </w:t>
      </w:r>
      <w:r w:rsidRPr="00F806C3" w:rsidR="002C07F5">
        <w:rPr>
          <w:b/>
          <w:bCs/>
          <w:rtl/>
        </w:rPr>
        <w:t>גן יבנה</w:t>
      </w:r>
      <w:r w:rsidRPr="00F806C3" w:rsidR="002C07F5">
        <w:rPr>
          <w:rtl/>
        </w:rPr>
        <w:t xml:space="preserve"> לא הוגשו כלל בתקופה האמורה הצעות למכרז שצורפו </w:t>
      </w:r>
      <w:r w:rsidRPr="00C963CA" w:rsidR="002C07F5">
        <w:rPr>
          <w:rtl/>
        </w:rPr>
        <w:t>להן</w:t>
      </w:r>
      <w:r w:rsidRPr="00F806C3" w:rsidR="002C07F5">
        <w:rPr>
          <w:rtl/>
        </w:rPr>
        <w:t xml:space="preserve"> תצהיר ואישור בדבר עסק בשליטת אישה. עוד העלתה הביקורת כי הרשויות המקומיות אינן אוספות </w:t>
      </w:r>
      <w:r w:rsidRPr="002C07F5" w:rsidR="002C07F5">
        <w:rPr>
          <w:rtl/>
        </w:rPr>
        <w:t>ומנהלות</w:t>
      </w:r>
      <w:r w:rsidRPr="00F806C3" w:rsidR="002C07F5">
        <w:rPr>
          <w:rtl/>
        </w:rPr>
        <w:t xml:space="preserve"> באופן ממוחשב ושיטתי נתונים סטטיסטיים על מאפייני הבעלות של המתמודדים במכרזים שהן מפרסמות או של הזוכים בהם, וחלקן גם אינן אוספות נתונים על המקרים שבהם הוגשה הצהרה על עסק בשליטת אישה לצורך מתן עדיפות על פי ההסדר הקבוע בחוק. ממילא הרשויות המקומיות אינן מנהלות מעקב אחר ההשפעה של ההסדר על מספר ההצעות של עסק בשליטת אישה המתמודדות או הנבחרות כזוכות במכרזים או על היקף ההתקשרויות שלהן עם עסקים בשליטת אישה</w:t>
      </w:r>
      <w:r w:rsidRPr="00E4049C" w:rsidR="00A81BE9">
        <w:rPr>
          <w:rtl/>
        </w:rPr>
        <w:t>.</w:t>
      </w:r>
    </w:p>
    <w:p w:rsidR="001F2DE6" w:rsidP="002C07F5" w14:paraId="199738CD" w14:textId="444E3706">
      <w:pPr>
        <w:pStyle w:val="7314"/>
        <w:rPr>
          <w:rtl/>
        </w:rPr>
      </w:pPr>
      <w:r w:rsidRPr="003F0A00">
        <w:rPr>
          <w:rStyle w:val="7371"/>
          <w:rFonts w:hint="cs"/>
          <w:noProof/>
          <w:rtl/>
        </w:rPr>
        <w:drawing>
          <wp:anchor distT="0" distB="0" distL="71755" distR="0" simplePos="0" relativeHeight="25169510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806C3" w:rsidR="002C07F5">
        <w:rPr>
          <w:b/>
          <w:bCs/>
          <w:rtl/>
        </w:rPr>
        <w:t>איסוף ופרסום של נתונים סטטיסטיים בהתפלגות מגדרית</w:t>
      </w:r>
      <w:r w:rsidRPr="00F806C3" w:rsidR="002C07F5">
        <w:rPr>
          <w:rtl/>
        </w:rPr>
        <w:t xml:space="preserve"> - על אף החשיבות שבאיסוף ובניהול של נתונים בהתפלגות מגדרית - וזאת גם אם לא הוחלה בדין החובה לעשות כן - הרשויות המקומיות וגופי האסדרה השלטוניים אינם מקפידים על איסוף, איגום וניהול הנתונים בהתפלגות מגדרית וממילא על שמירת עדכניותם, וכן אינם נוהגים לפרסמם לציבור באתרי המרשתת שלהם. נוסף על כך הועלה כי הרשויות המקומיות שנבדקו מחזיקות במידע גולמי על הליכי הגיוס והאיוש של התפקידים הבכירים או על הליכי הרכש וההתקשרויות המקומיים, הכולל גם התייחסות למגדר. עם זאת, הן אינן עושות שימוש במידע, אינן מעבדות אותו וממילא אינן מנתחות אותו על מנת שניתן יהיה להפיק ממנו תובנות על הפערים המגדריים בתחומי הפעילות השונים של הרשות המקומית</w:t>
      </w:r>
      <w:r w:rsidRPr="0052721B" w:rsidR="002B6374">
        <w:rPr>
          <w:rtl/>
        </w:rPr>
        <w:t>.</w:t>
      </w:r>
    </w:p>
    <w:p w:rsidR="001F2DE6" w:rsidP="002C07F5" w14:paraId="6D2D3C54" w14:textId="365D2099">
      <w:pPr>
        <w:pStyle w:val="7314"/>
        <w:rPr>
          <w:rtl/>
        </w:rPr>
      </w:pPr>
      <w:r w:rsidRPr="003F0A00">
        <w:rPr>
          <w:rStyle w:val="7371"/>
          <w:rFonts w:hint="cs"/>
          <w:noProof/>
          <w:rtl/>
        </w:rPr>
        <w:drawing>
          <wp:anchor distT="0" distB="0" distL="71755" distR="0" simplePos="0" relativeHeight="25169612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806C3" w:rsidR="002C07F5">
        <w:rPr>
          <w:b/>
          <w:bCs/>
          <w:rtl/>
        </w:rPr>
        <w:t xml:space="preserve">ניתוח מגדרי של תקציב הרשות המקומית </w:t>
      </w:r>
      <w:r w:rsidRPr="00F806C3" w:rsidR="002C07F5">
        <w:rPr>
          <w:rtl/>
        </w:rPr>
        <w:t xml:space="preserve">- הניתוח המגדרי של התקציב או </w:t>
      </w:r>
      <w:r w:rsidRPr="002C07F5" w:rsidR="002C07F5">
        <w:rPr>
          <w:rtl/>
        </w:rPr>
        <w:t>התקצוב</w:t>
      </w:r>
      <w:r w:rsidRPr="00F806C3" w:rsidR="002C07F5">
        <w:rPr>
          <w:rtl/>
        </w:rPr>
        <w:t xml:space="preserve"> המגדרי (</w:t>
      </w:r>
      <w:r w:rsidRPr="00F806C3" w:rsidR="002C07F5">
        <w:t>Gender Budgeting</w:t>
      </w:r>
      <w:r w:rsidRPr="00F806C3" w:rsidR="002C07F5">
        <w:rPr>
          <w:rtl/>
        </w:rPr>
        <w:t>) הוא מקרה פרטי של איסוף וניתוח של נתונים סטטיסטיים בהתפלגות מגדרית. הוא מניח ביסודו כי התקציב הוא ביטוי של המדיניות וסדרי העדיפויות, וכי הכללתן של נקודות מבט מגדריות בהליך התקצוב תאפשר לקובעי המדיניות להקצות אותו באופן מושכל יותר ובהלימה לצורכיהם השונים של גברים ונשים</w:t>
      </w:r>
      <w:r w:rsidR="002C07F5">
        <w:rPr>
          <w:rFonts w:hint="cs"/>
          <w:rtl/>
        </w:rPr>
        <w:t>.</w:t>
      </w:r>
    </w:p>
    <w:p w:rsidR="00CA17C5" w:rsidRPr="00F806C3" w:rsidP="00E63F2C" w14:paraId="6550A7F5" w14:textId="77777777">
      <w:pPr>
        <w:pStyle w:val="75-"/>
      </w:pPr>
      <w:r w:rsidRPr="00F806C3">
        <w:rPr>
          <w:b/>
          <w:bCs/>
          <w:rtl/>
        </w:rPr>
        <w:t>החובה לעשות ניתוח מגדרי של התקציב והכלים העומדים לרשות הרשויות המקומיות לצורך כך</w:t>
      </w:r>
      <w:r w:rsidRPr="00F806C3">
        <w:rPr>
          <w:rtl/>
        </w:rPr>
        <w:t xml:space="preserve"> - החל משנת 2014 מחויבים כלל משרדי הממשלה ויחידות הסמך הממשלתיות מכוח החלטת ממשלה 2084 לעשות ניתוח מגדרי של </w:t>
      </w:r>
      <w:r w:rsidRPr="00E63F2C">
        <w:rPr>
          <w:rtl/>
        </w:rPr>
        <w:t>תקציביהן</w:t>
      </w:r>
      <w:r w:rsidRPr="00F806C3">
        <w:rPr>
          <w:rtl/>
        </w:rPr>
        <w:t xml:space="preserve">, באופן מדורג ולפי מדריך מקצועי שפורסם לצורך כך. עם זאת, נכון למועד סיום </w:t>
      </w:r>
      <w:r w:rsidRPr="00CA17C5">
        <w:rPr>
          <w:rtl/>
        </w:rPr>
        <w:t>הביקורת</w:t>
      </w:r>
      <w:r w:rsidRPr="00F806C3">
        <w:rPr>
          <w:rtl/>
        </w:rPr>
        <w:t xml:space="preserve"> בנובמבר 2023, החובה לעשות ניתוח מגדרי של התקציב לא הוחלה במישרין על הרשויות המקומיות הגם שיש לו משמעות יתרה במסגרת הניטור והבקרה שעליהם אמונות היועצות לקידום מעמד האישה. נמצא עוד כי אין בידי היועצות לקידום מעמד </w:t>
      </w:r>
      <w:r w:rsidRPr="00F806C3">
        <w:rPr>
          <w:rtl/>
        </w:rPr>
        <w:t xml:space="preserve">האישה כלים מספקים לצורך עריכת ניתוח מגדרי של התקציב, על אף חשיבותו הרבה של הנושא בכלל ועל אף החשיבות שרובן הגדול של היועצות שנשאלו על כך מייחסות לנושא בפרט. </w:t>
      </w:r>
    </w:p>
    <w:p w:rsidR="00CA17C5" w:rsidRPr="00F806C3" w:rsidP="00CA17C5" w14:paraId="6248480E" w14:textId="77777777">
      <w:pPr>
        <w:pStyle w:val="75-"/>
        <w:rPr>
          <w:rtl/>
        </w:rPr>
      </w:pPr>
      <w:r w:rsidRPr="00F806C3">
        <w:rPr>
          <w:b/>
          <w:bCs/>
          <w:rtl/>
        </w:rPr>
        <w:t>ניתוח מגדרי של תקציב הרשויות המקומיות בתחום הספורט</w:t>
      </w:r>
      <w:r w:rsidRPr="00F806C3">
        <w:rPr>
          <w:rtl/>
        </w:rPr>
        <w:t xml:space="preserve"> - לנוכח ההיקף הכספי הרב של התמיכות שמעניקות הרשויות המקומיות - בכסף ובשווה כסף </w:t>
      </w:r>
      <w:r w:rsidRPr="00CA17C5">
        <w:rPr>
          <w:rtl/>
        </w:rPr>
        <w:t>בתחום</w:t>
      </w:r>
      <w:r w:rsidRPr="00F806C3">
        <w:rPr>
          <w:rtl/>
        </w:rPr>
        <w:t xml:space="preserve"> הספורט (כ-38% מכלל כספי התמיכות שהעניקו הרשויות המקומיות בשנת 2022) - וכן לנוכח הפערים המגדריים המאפיינים את התחום (בשנת 2022 כ-23% מכלל הספורטאים הפעילים בישראל היו נשים</w:t>
      </w:r>
      <w:r>
        <w:rPr>
          <w:rStyle w:val="FootnoteReference1"/>
          <w:sz w:val="19"/>
          <w:szCs w:val="19"/>
          <w:rtl/>
        </w:rPr>
        <w:footnoteReference w:id="5"/>
      </w:r>
      <w:r w:rsidRPr="00F806C3">
        <w:rPr>
          <w:rtl/>
        </w:rPr>
        <w:t xml:space="preserve">), חשוב לבחון בבחינה מגדרית את הקצאת התקציב העירוני בתחום זה. הועלה כי מבין הרשויות </w:t>
      </w:r>
      <w:r w:rsidRPr="00CA17C5">
        <w:rPr>
          <w:rtl/>
        </w:rPr>
        <w:t>המקומיות</w:t>
      </w:r>
      <w:r w:rsidRPr="00F806C3">
        <w:rPr>
          <w:rtl/>
        </w:rPr>
        <w:t xml:space="preserve"> שנבדקו, העיריות </w:t>
      </w:r>
      <w:r w:rsidRPr="00F806C3">
        <w:rPr>
          <w:b/>
          <w:bCs/>
          <w:rtl/>
        </w:rPr>
        <w:t>באר שבע</w:t>
      </w:r>
      <w:r w:rsidRPr="00F806C3">
        <w:rPr>
          <w:rtl/>
        </w:rPr>
        <w:t xml:space="preserve"> ו</w:t>
      </w:r>
      <w:r w:rsidRPr="00F806C3">
        <w:rPr>
          <w:b/>
          <w:bCs/>
          <w:rtl/>
        </w:rPr>
        <w:t xml:space="preserve">כפר סבא </w:t>
      </w:r>
      <w:r w:rsidRPr="00F806C3">
        <w:rPr>
          <w:rtl/>
        </w:rPr>
        <w:t xml:space="preserve">והמועצה המקומית </w:t>
      </w:r>
      <w:r w:rsidRPr="00F806C3">
        <w:rPr>
          <w:b/>
          <w:bCs/>
          <w:rtl/>
        </w:rPr>
        <w:t>גן יבנה</w:t>
      </w:r>
      <w:r w:rsidRPr="00F806C3">
        <w:rPr>
          <w:rtl/>
        </w:rPr>
        <w:t xml:space="preserve"> קבעו בתבחינים להענקת תמיכות בתחום הספורט הסדר העדפה מתקנת לנשים. עם זאת, מעיון בפרוטוקולי הדיונים של ועדת התמיכות של הרשויות המקומיות הללו או מפרסום אופן הענקת התמיכות באתרי המרשתת שלהן לא נמצא כי נבחנה השפעתו של ההסדר שנקבע על ההתפלגות המגדרית של התמיכות. אשר לעיריות </w:t>
      </w:r>
      <w:r w:rsidRPr="00F806C3">
        <w:rPr>
          <w:b/>
          <w:bCs/>
          <w:rtl/>
        </w:rPr>
        <w:t>בית שמש</w:t>
      </w:r>
      <w:r w:rsidRPr="00F806C3">
        <w:rPr>
          <w:rtl/>
        </w:rPr>
        <w:t xml:space="preserve"> ו</w:t>
      </w:r>
      <w:r w:rsidRPr="00F806C3">
        <w:rPr>
          <w:b/>
          <w:bCs/>
          <w:rtl/>
        </w:rPr>
        <w:t>נהרייה</w:t>
      </w:r>
      <w:r w:rsidRPr="00F806C3">
        <w:rPr>
          <w:rtl/>
        </w:rPr>
        <w:t xml:space="preserve"> והמועצה האזורית </w:t>
      </w:r>
      <w:r w:rsidRPr="00F806C3">
        <w:rPr>
          <w:b/>
          <w:bCs/>
          <w:rtl/>
        </w:rPr>
        <w:t>גזר</w:t>
      </w:r>
      <w:r w:rsidRPr="00F806C3">
        <w:rPr>
          <w:rtl/>
        </w:rPr>
        <w:t xml:space="preserve"> נמצא כי הן לא קבעו כלל בתבחינים הסדר העדפה מתקנת או מנגנון אחר לקידום השוויון המגדרי בהענקת התמיכות. עיריית </w:t>
      </w:r>
      <w:r w:rsidRPr="00F806C3">
        <w:rPr>
          <w:b/>
          <w:bCs/>
          <w:rtl/>
        </w:rPr>
        <w:t>רהט</w:t>
      </w:r>
      <w:r w:rsidRPr="00F806C3">
        <w:rPr>
          <w:rtl/>
        </w:rPr>
        <w:t xml:space="preserve"> לא העניקה תמיכות בשנים 2021 - 2022 וממילא לא פרסמה תבחינים לצורך כך.</w:t>
      </w:r>
    </w:p>
    <w:p w:rsidR="00F14E80" w:rsidP="00EE7644" w14:paraId="7DB697DD" w14:textId="7965C1C4">
      <w:pPr>
        <w:pStyle w:val="7314"/>
        <w:rPr>
          <w:rtl/>
        </w:rPr>
      </w:pPr>
      <w:r w:rsidRPr="003F0A00">
        <w:rPr>
          <w:rStyle w:val="7371"/>
          <w:rFonts w:hint="cs"/>
          <w:noProof/>
          <w:rtl/>
        </w:rPr>
        <w:drawing>
          <wp:anchor distT="0" distB="0" distL="71755" distR="0" simplePos="0" relativeHeight="25170329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806C3" w:rsidR="00EE7644">
        <w:rPr>
          <w:b/>
          <w:bCs/>
          <w:rtl/>
        </w:rPr>
        <w:t>מינוי היועצת וכשירותה המקצועית</w:t>
      </w:r>
      <w:r w:rsidRPr="00F806C3" w:rsidR="00EE7644">
        <w:rPr>
          <w:rtl/>
        </w:rPr>
        <w:t xml:space="preserve"> - מניתוח הנתונים שנאספו בביקורת עלה כי בכל אחת מהשנים 2015 - 2023 בממוצע לא כיהנה יועצת ב-20 מתוך 257 מהרשויות המקומיות (כ-8% מהן). נוסף על כך, ב-13 רשויות מקומיות לא כיהנה יועצת במצטבר ארבע שנים בשנים הללו. נכון </w:t>
      </w:r>
      <w:r w:rsidRPr="00EE7644" w:rsidR="00EE7644">
        <w:rPr>
          <w:rtl/>
        </w:rPr>
        <w:t>לספטמבר</w:t>
      </w:r>
      <w:r w:rsidRPr="00F806C3" w:rsidR="00EE7644">
        <w:rPr>
          <w:rtl/>
        </w:rPr>
        <w:t xml:space="preserve"> 2023 נמצא כי 24 מתוך 257 רשויות מקומיות (כ-9% מהן) לא מינו יועצת, וב-12 מהן לא כיהנה יועצת לפחות שנתיים ברציפות. בעיריות </w:t>
      </w:r>
      <w:r w:rsidRPr="00F806C3" w:rsidR="00EE7644">
        <w:rPr>
          <w:b/>
          <w:bCs/>
          <w:rtl/>
        </w:rPr>
        <w:t>טמרה</w:t>
      </w:r>
      <w:r w:rsidRPr="00F806C3" w:rsidR="00EE7644">
        <w:rPr>
          <w:rtl/>
        </w:rPr>
        <w:t xml:space="preserve"> ו</w:t>
      </w:r>
      <w:r w:rsidRPr="00F806C3" w:rsidR="00EE7644">
        <w:rPr>
          <w:b/>
          <w:bCs/>
          <w:rtl/>
        </w:rPr>
        <w:t>נצרת</w:t>
      </w:r>
      <w:r w:rsidRPr="00F806C3" w:rsidR="00EE7644">
        <w:rPr>
          <w:rtl/>
        </w:rPr>
        <w:t xml:space="preserve">, במועצות המקומיות </w:t>
      </w:r>
      <w:r w:rsidRPr="00F806C3" w:rsidR="00EE7644">
        <w:rPr>
          <w:b/>
          <w:bCs/>
          <w:rtl/>
        </w:rPr>
        <w:t>אכסאל</w:t>
      </w:r>
      <w:r w:rsidRPr="00F806C3" w:rsidR="00EE7644">
        <w:rPr>
          <w:rtl/>
        </w:rPr>
        <w:t xml:space="preserve">, </w:t>
      </w:r>
      <w:r w:rsidRPr="00F806C3" w:rsidR="00EE7644">
        <w:rPr>
          <w:b/>
          <w:bCs/>
          <w:rtl/>
        </w:rPr>
        <w:t>בסמת</w:t>
      </w:r>
      <w:r w:rsidRPr="00F806C3" w:rsidR="00EE7644">
        <w:rPr>
          <w:b/>
          <w:bCs/>
          <w:rtl/>
        </w:rPr>
        <w:t xml:space="preserve"> טבעון</w:t>
      </w:r>
      <w:r w:rsidRPr="00F806C3" w:rsidR="00EE7644">
        <w:rPr>
          <w:rtl/>
        </w:rPr>
        <w:t xml:space="preserve">, </w:t>
      </w:r>
      <w:r w:rsidRPr="00F806C3" w:rsidR="00EE7644">
        <w:rPr>
          <w:b/>
          <w:bCs/>
          <w:rtl/>
        </w:rPr>
        <w:t>ג'דיידה</w:t>
      </w:r>
      <w:r w:rsidRPr="00F806C3" w:rsidR="00EE7644">
        <w:rPr>
          <w:b/>
          <w:bCs/>
          <w:rtl/>
        </w:rPr>
        <w:t>-מכר</w:t>
      </w:r>
      <w:r w:rsidRPr="00F806C3" w:rsidR="00EE7644">
        <w:rPr>
          <w:rtl/>
        </w:rPr>
        <w:t xml:space="preserve">, </w:t>
      </w:r>
      <w:r w:rsidRPr="00F806C3" w:rsidR="00EE7644">
        <w:rPr>
          <w:b/>
          <w:bCs/>
          <w:rtl/>
        </w:rPr>
        <w:t xml:space="preserve">דיר </w:t>
      </w:r>
      <w:r w:rsidRPr="00F806C3" w:rsidR="00EE7644">
        <w:rPr>
          <w:b/>
          <w:bCs/>
          <w:rtl/>
        </w:rPr>
        <w:t>חנא</w:t>
      </w:r>
      <w:r w:rsidRPr="00F806C3" w:rsidR="00EE7644">
        <w:rPr>
          <w:rtl/>
        </w:rPr>
        <w:t xml:space="preserve">, </w:t>
      </w:r>
      <w:r w:rsidRPr="00F806C3" w:rsidR="00EE7644">
        <w:rPr>
          <w:b/>
          <w:bCs/>
          <w:rtl/>
        </w:rPr>
        <w:t>טובא-זנגרייה</w:t>
      </w:r>
      <w:r w:rsidRPr="00F806C3" w:rsidR="00EE7644">
        <w:rPr>
          <w:rtl/>
        </w:rPr>
        <w:t xml:space="preserve">, </w:t>
      </w:r>
      <w:r w:rsidRPr="00F806C3" w:rsidR="00EE7644">
        <w:rPr>
          <w:b/>
          <w:bCs/>
          <w:rtl/>
        </w:rPr>
        <w:t>מסעדה</w:t>
      </w:r>
      <w:r w:rsidRPr="00F806C3" w:rsidR="00EE7644">
        <w:rPr>
          <w:rtl/>
        </w:rPr>
        <w:t xml:space="preserve">, </w:t>
      </w:r>
      <w:r w:rsidRPr="00F806C3" w:rsidR="00EE7644">
        <w:rPr>
          <w:b/>
          <w:bCs/>
          <w:rtl/>
        </w:rPr>
        <w:t>פסוטה</w:t>
      </w:r>
      <w:r w:rsidRPr="00F806C3" w:rsidR="00EE7644">
        <w:rPr>
          <w:rtl/>
        </w:rPr>
        <w:t xml:space="preserve"> ו</w:t>
      </w:r>
      <w:r w:rsidRPr="00F806C3" w:rsidR="00EE7644">
        <w:rPr>
          <w:b/>
          <w:bCs/>
          <w:rtl/>
        </w:rPr>
        <w:t>פקיעין (</w:t>
      </w:r>
      <w:r w:rsidRPr="00F806C3" w:rsidR="00EE7644">
        <w:rPr>
          <w:b/>
          <w:bCs/>
          <w:rtl/>
        </w:rPr>
        <w:t>בוקייעה</w:t>
      </w:r>
      <w:r w:rsidRPr="00F806C3" w:rsidR="00EE7644">
        <w:rPr>
          <w:b/>
          <w:bCs/>
          <w:rtl/>
        </w:rPr>
        <w:t xml:space="preserve">) </w:t>
      </w:r>
      <w:r w:rsidRPr="00F806C3" w:rsidR="00EE7644">
        <w:rPr>
          <w:rtl/>
        </w:rPr>
        <w:t xml:space="preserve">ובמועצה האזורית </w:t>
      </w:r>
      <w:r w:rsidRPr="00F806C3" w:rsidR="00EE7644">
        <w:rPr>
          <w:b/>
          <w:bCs/>
          <w:rtl/>
        </w:rPr>
        <w:t>זבולון</w:t>
      </w:r>
      <w:r w:rsidRPr="00F806C3" w:rsidR="00EE7644">
        <w:rPr>
          <w:rtl/>
        </w:rPr>
        <w:t xml:space="preserve"> לא כיהנה יועצת בספטמבר 2023 ובשנתיים שקדמו למועד זה. בעיריית </w:t>
      </w:r>
      <w:r w:rsidRPr="00F806C3" w:rsidR="00EE7644">
        <w:rPr>
          <w:b/>
          <w:bCs/>
          <w:rtl/>
        </w:rPr>
        <w:t xml:space="preserve">כפר קרע </w:t>
      </w:r>
      <w:r w:rsidRPr="00F806C3" w:rsidR="00EE7644">
        <w:rPr>
          <w:rtl/>
        </w:rPr>
        <w:t xml:space="preserve">לא כיהנה יועצת לקידום מעמד האישה נכון לספטמבר 2023, ובשנתיים שקדמו למועד זה כיהנו לסירוגין שתי יועצות. אף כי במועצות המקומיות </w:t>
      </w:r>
      <w:r w:rsidRPr="00F806C3" w:rsidR="00EE7644">
        <w:rPr>
          <w:b/>
          <w:bCs/>
          <w:rtl/>
        </w:rPr>
        <w:t>אכסאל</w:t>
      </w:r>
      <w:r w:rsidRPr="00F806C3" w:rsidR="00EE7644">
        <w:rPr>
          <w:rtl/>
        </w:rPr>
        <w:t xml:space="preserve"> ו</w:t>
      </w:r>
      <w:r w:rsidRPr="00F806C3" w:rsidR="00EE7644">
        <w:rPr>
          <w:b/>
          <w:bCs/>
          <w:rtl/>
        </w:rPr>
        <w:t xml:space="preserve">דיר </w:t>
      </w:r>
      <w:r w:rsidRPr="00F806C3" w:rsidR="00EE7644">
        <w:rPr>
          <w:b/>
          <w:bCs/>
          <w:rtl/>
        </w:rPr>
        <w:t>חנא</w:t>
      </w:r>
      <w:r w:rsidRPr="00F806C3" w:rsidR="00EE7644">
        <w:rPr>
          <w:b/>
          <w:bCs/>
          <w:rtl/>
        </w:rPr>
        <w:t xml:space="preserve"> </w:t>
      </w:r>
      <w:r w:rsidRPr="00F806C3" w:rsidR="00EE7644">
        <w:rPr>
          <w:rtl/>
        </w:rPr>
        <w:t xml:space="preserve">ובמועצה האזורית </w:t>
      </w:r>
      <w:r w:rsidRPr="00F806C3" w:rsidR="00EE7644">
        <w:rPr>
          <w:b/>
          <w:bCs/>
          <w:rtl/>
        </w:rPr>
        <w:t>זבולון</w:t>
      </w:r>
      <w:r w:rsidRPr="00F806C3" w:rsidR="00EE7644">
        <w:rPr>
          <w:rtl/>
        </w:rPr>
        <w:t xml:space="preserve"> לא מכהנת יועצת כמחויב בחוק לפחות ארבע שנים ועד תשע שנים, ואף כי חובה על משרד הפנים לפי החוק למנות יועצת לאחר שהורה לרשות המקומית למנותה והיא לא </w:t>
      </w:r>
      <w:r w:rsidRPr="00EE7644" w:rsidR="00EE7644">
        <w:rPr>
          <w:rtl/>
        </w:rPr>
        <w:t>עשתה</w:t>
      </w:r>
      <w:r w:rsidRPr="00F806C3" w:rsidR="00EE7644">
        <w:rPr>
          <w:rtl/>
        </w:rPr>
        <w:t xml:space="preserve"> כן, הביקורת העלתה כי משרד הפנים לא קיים חובה זו וגם לא עושה שימוש בכלים אחרים מתונים יותר לעודד רשויות מקומיות לאייש את משרת היועצת בסמוך ככל הניתן למועד שבו התפנתה המשרה. נוסף על האמור נמצא כי אף שברוב הגדול של הרשויות המקומיות משרת היועצת מאוישת, בהיעדר תפיסת הפעלה שלמה ומלאה לתפקיד, ההיקף וטיב פעילותן של היועצות משתנה בין הרשויות המקומיות, כתלות במשאבי התקציב והזמן העומדים לרשותן וכתלות במעמדן ובמידת התמיכה שהן מקבלות מצד הנהלת הרשות המקומית והעומד בראשה</w:t>
      </w:r>
      <w:r w:rsidRPr="00E4049C">
        <w:rPr>
          <w:rtl/>
        </w:rPr>
        <w:t>.</w:t>
      </w:r>
    </w:p>
    <w:p w:rsidR="00441920" w:rsidP="00F14E80" w14:paraId="194BFC00" w14:textId="77777777">
      <w:pPr>
        <w:pStyle w:val="7314"/>
        <w:rPr>
          <w:rtl/>
        </w:rPr>
      </w:pPr>
    </w:p>
    <w:p w:rsidR="00441920" w:rsidP="0043504C" w14:paraId="08692311" w14:textId="44EC0FDD">
      <w:pPr>
        <w:pStyle w:val="7314"/>
        <w:rPr>
          <w:rtl/>
        </w:rPr>
      </w:pPr>
      <w:r w:rsidRPr="003F0A00">
        <w:rPr>
          <w:rStyle w:val="7371"/>
          <w:rFonts w:hint="cs"/>
          <w:noProof/>
          <w:rtl/>
        </w:rPr>
        <w:drawing>
          <wp:anchor distT="0" distB="0" distL="71755" distR="0" simplePos="0" relativeHeight="25170432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806C3" w:rsidR="0043504C">
        <w:rPr>
          <w:b/>
          <w:bCs/>
          <w:rtl/>
        </w:rPr>
        <w:t>תגמול כספי ליועצת הממלאת תפקיד נוסף ברשות המקומית</w:t>
      </w:r>
      <w:r w:rsidRPr="00F806C3" w:rsidR="0043504C">
        <w:rPr>
          <w:rtl/>
        </w:rPr>
        <w:t xml:space="preserve"> - התגמול הכספי שניתן ליועצות הממלאות תפקיד נוסף ברשות המקומית אינו אחיד ותלוי באופן שבו הן מועסקות בתפקידן האחר. כך, בעוד שגובה התגמול הכספי החודשי (ברוטו) שתקבל יועצת המועסקת בדירוג חינוך, נוער, חברה וקהילה קבוע ועומד על 700 ש"ח, גובה התגמול שתקבל יועצת המועסקת בחוזה אישי יעמוד על כ-2.5% משכר הבכירים שבו היא מועסקת - בין 571 ועד 1,038 ש"ח (נכון לנובמבר 2023), כתלות במספר התושבים </w:t>
      </w:r>
      <w:r w:rsidRPr="0043504C" w:rsidR="0043504C">
        <w:rPr>
          <w:rtl/>
        </w:rPr>
        <w:t>המתגוררים</w:t>
      </w:r>
      <w:r w:rsidRPr="00F806C3" w:rsidR="0043504C">
        <w:rPr>
          <w:rtl/>
        </w:rPr>
        <w:t xml:space="preserve"> בתחומה של הרשות המקומית. נוסף על כך נמצא כי המנגנונים שנקבעו למתן תגמול כספי ליועצות אינם שלמים ואינם מאפשרים מתן תגמול כספי ליועצות המועסקות בדירוגים מסוימים או באופני העסקה מסוימים, כך שישנן יועצות שאינן מקבלות תגמול כספי עבור המשימות הנוספות המוטלות עליהן מתוקף תפקידן כיועצות. על כך יש להוסיף כי אף שהחובה למנות יועצת לקידום מעמד האישה חלה על כלל הרשויות המקומיות, ההסדר שנקבע לצורך מתן תגמול כספי ליועצת המשמשת בתפקיד זה נוסף על תפקיד אחר ברשות לא הוחל על רשויות מקומיות המצויות בתוכנית הבראה או בתוכנית התייעלות ושבהן מועסקת היועצת בתפקידה האחר בחוזה אישי</w:t>
      </w:r>
      <w:r w:rsidRPr="00E4049C">
        <w:rPr>
          <w:rtl/>
        </w:rPr>
        <w:t>.</w:t>
      </w:r>
    </w:p>
    <w:p w:rsidR="00CC6283" w:rsidP="0043504C" w14:paraId="19AF156B" w14:textId="634A524F">
      <w:pPr>
        <w:pStyle w:val="7314"/>
        <w:rPr>
          <w:rtl/>
        </w:rPr>
      </w:pPr>
      <w:r w:rsidRPr="003F0A00">
        <w:rPr>
          <w:rStyle w:val="7371"/>
          <w:rFonts w:hint="cs"/>
          <w:noProof/>
          <w:rtl/>
        </w:rPr>
        <w:drawing>
          <wp:anchor distT="0" distB="0" distL="71755" distR="0" simplePos="0" relativeHeight="25170534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806C3" w:rsidR="0043504C">
        <w:rPr>
          <w:b/>
          <w:bCs/>
          <w:rtl/>
        </w:rPr>
        <w:t>היקף משרתה של היועצת</w:t>
      </w:r>
      <w:r w:rsidRPr="00F806C3" w:rsidR="0043504C">
        <w:rPr>
          <w:rtl/>
        </w:rPr>
        <w:t xml:space="preserve"> - בחוק נקבע כי היקף משרתה של היועצת לקידום מעמד האישה ייקבע בהתחשב, בין היתר, במספר התושבים ובמספר היישובים שבתחום הרשות המקומית, שכן אלה המשתנים העיקריים המשפיעים על היקף העבודה של היועצת, אך היקף </w:t>
      </w:r>
      <w:r w:rsidRPr="0043504C" w:rsidR="0043504C">
        <w:rPr>
          <w:rtl/>
        </w:rPr>
        <w:t>משרה</w:t>
      </w:r>
      <w:r w:rsidRPr="00F806C3" w:rsidR="0043504C">
        <w:rPr>
          <w:rtl/>
        </w:rPr>
        <w:t xml:space="preserve"> מזערי </w:t>
      </w:r>
      <w:r w:rsidRPr="0043504C" w:rsidR="0043504C">
        <w:rPr>
          <w:rtl/>
        </w:rPr>
        <w:t>להעסקתה</w:t>
      </w:r>
      <w:r w:rsidRPr="00F806C3" w:rsidR="0043504C">
        <w:rPr>
          <w:rtl/>
        </w:rPr>
        <w:t xml:space="preserve"> לא נקבע, גם לא בחוזרי מנכ"ל משרד הפנים. מהתשובות על השאלונים עלה כי היקף המשרה של כ-80% מהיועצות שהשיבו (148 מתוך 184) לא הוגדר כלל. עוד עלה מהתשובות כי הרוב המוחלט של היועצות שהשיבו (169 מתוך 184) ממלאות תפקיד נוסף ברשות המקומית, מהן כ-36% (61 מתוך 169) משמשות בתפקידן הנוסף כמנהלות מחלקה או כמנהלות אגף ברשות המקומית. במצב דברים זה עולה חשש בנוגע ליכולתה של היועצת להקדיש זמן הולם למשימותיה ולממש את מלוא ההזדמנויות המגולמות בתפקיד</w:t>
      </w:r>
      <w:r w:rsidRPr="00E4049C">
        <w:rPr>
          <w:rtl/>
        </w:rPr>
        <w:t>.</w:t>
      </w:r>
    </w:p>
    <w:p w:rsidR="00BC2C45" w:rsidRPr="005A00F2" w:rsidP="00BC2C45" w14:paraId="3D437B69" w14:textId="031F4D09">
      <w:pPr>
        <w:pStyle w:val="7314"/>
        <w:rPr>
          <w:rtl/>
        </w:rPr>
      </w:pPr>
      <w:r w:rsidRPr="00362C00">
        <w:rPr>
          <w:rFonts w:hint="cs"/>
          <w:noProof/>
          <w:sz w:val="19"/>
          <w:szCs w:val="19"/>
          <w:rtl/>
        </w:rPr>
        <w:drawing>
          <wp:anchor distT="0" distB="0" distL="114300" distR="114300" simplePos="0" relativeHeight="251692032" behindDoc="1" locked="0" layoutInCell="1" allowOverlap="1">
            <wp:simplePos x="0" y="0"/>
            <wp:positionH relativeFrom="column">
              <wp:posOffset>2324735</wp:posOffset>
            </wp:positionH>
            <wp:positionV relativeFrom="paragraph">
              <wp:posOffset>0</wp:posOffset>
            </wp:positionV>
            <wp:extent cx="2355215" cy="180340"/>
            <wp:effectExtent l="0" t="0" r="6985" b="0"/>
            <wp:wrapNone/>
            <wp:docPr id="36"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like.png"/>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rsidR="0043504C" w:rsidRPr="00F806C3" w:rsidP="0043504C" w14:paraId="557F8094" w14:textId="77777777">
      <w:pPr>
        <w:pStyle w:val="7314"/>
        <w:rPr>
          <w:rtl/>
        </w:rPr>
      </w:pPr>
      <w:r w:rsidRPr="00F806C3">
        <w:rPr>
          <w:b/>
          <w:bCs/>
          <w:rtl/>
        </w:rPr>
        <w:t xml:space="preserve">פעולות חינוך והסברה לקידום השוויון המגדרי בקרב נבחרי הציבור </w:t>
      </w:r>
      <w:r w:rsidRPr="009C0EA7">
        <w:rPr>
          <w:rtl/>
        </w:rPr>
        <w:t>-</w:t>
      </w:r>
      <w:r w:rsidRPr="00F806C3">
        <w:rPr>
          <w:b/>
          <w:bCs/>
          <w:rtl/>
        </w:rPr>
        <w:t xml:space="preserve"> </w:t>
      </w:r>
      <w:r w:rsidRPr="00F806C3">
        <w:rPr>
          <w:rtl/>
        </w:rPr>
        <w:t xml:space="preserve">בשנים 2018 ו-2023, לקראת הבחירות לרשויות </w:t>
      </w:r>
      <w:r w:rsidRPr="0043504C">
        <w:rPr>
          <w:rtl/>
        </w:rPr>
        <w:t>המקומיות</w:t>
      </w:r>
      <w:r w:rsidRPr="00F806C3">
        <w:rPr>
          <w:rtl/>
        </w:rPr>
        <w:t>, הרשות לקידום מעמד האישה נקטה פעולות חינוך והסברה להעלאת המודעות לייצוגן החסר של נשים במוקדי קבלת ההחלטות וכן יזמה בשנת 2023 תוכנית לקידום ולהכשרה של נשים לתפקידי מנהיגות בזירה הציבורית.</w:t>
      </w:r>
    </w:p>
    <w:p w:rsidR="0043504C" w:rsidRPr="00F806C3" w:rsidP="0043504C" w14:paraId="17748EA7" w14:textId="51F58C5C">
      <w:pPr>
        <w:pStyle w:val="7314"/>
        <w:rPr>
          <w:rtl/>
        </w:rPr>
      </w:pPr>
      <w:r w:rsidRPr="00F806C3">
        <w:rPr>
          <w:b/>
          <w:bCs/>
          <w:rtl/>
        </w:rPr>
        <w:t>פעולות משרד הפנים לקידום השוויון המגדרי בשדרת הניהול</w:t>
      </w:r>
      <w:r w:rsidRPr="00F806C3">
        <w:rPr>
          <w:rtl/>
        </w:rPr>
        <w:t xml:space="preserve"> - משרד הפנים קבע מחוון המתייחס לשיעור הייצוג של </w:t>
      </w:r>
      <w:r w:rsidRPr="0043504C">
        <w:rPr>
          <w:rtl/>
        </w:rPr>
        <w:t>בני</w:t>
      </w:r>
      <w:r w:rsidRPr="00F806C3">
        <w:rPr>
          <w:rtl/>
        </w:rPr>
        <w:t xml:space="preserve"> שני המינים בקרב המשרות הסטטוטוריות כחלק ממדד ההון האנושי, המשמש לדירוג הרשויות המקומיות לפי רמת </w:t>
      </w:r>
      <w:r w:rsidRPr="0043504C">
        <w:rPr>
          <w:rtl/>
        </w:rPr>
        <w:t>תפקודן</w:t>
      </w:r>
      <w:r w:rsidRPr="00F806C3">
        <w:rPr>
          <w:rtl/>
        </w:rPr>
        <w:t xml:space="preserve"> בתחום ההון האנושי ועל בסיסו מואצלות להן סמכויות בתחום זה. כמו כן המשרד החל באיסוף נתונים על שיעורן של הנשים בקרב התפקידים הבכירים.</w:t>
      </w:r>
    </w:p>
    <w:p w:rsidR="00E63F2C" w14:paraId="1F39A3D1" w14:textId="77777777">
      <w:pPr>
        <w:bidi w:val="0"/>
        <w:spacing w:after="200" w:line="276" w:lineRule="auto"/>
        <w:rPr>
          <w:rFonts w:ascii="Tahoma" w:hAnsi="Tahoma" w:cs="Tahoma"/>
          <w:b/>
          <w:bCs/>
          <w:color w:val="0D0D0D" w:themeColor="text1" w:themeTint="F2"/>
          <w:sz w:val="18"/>
          <w:szCs w:val="18"/>
          <w:rtl/>
        </w:rPr>
      </w:pPr>
      <w:r>
        <w:rPr>
          <w:b/>
          <w:bCs/>
          <w:rtl/>
        </w:rPr>
        <w:br w:type="page"/>
      </w:r>
    </w:p>
    <w:p w:rsidR="0043504C" w:rsidP="0043504C" w14:paraId="6D914AD2" w14:textId="18F8E36E">
      <w:pPr>
        <w:pStyle w:val="7314"/>
        <w:rPr>
          <w:rtl/>
        </w:rPr>
      </w:pPr>
      <w:r w:rsidRPr="00F806C3">
        <w:rPr>
          <w:b/>
          <w:bCs/>
          <w:rtl/>
        </w:rPr>
        <w:t>מעקב ובקרה על קיום חובת הייצוג ההולם בגופים המנהלים של התאגידים העירוניים</w:t>
      </w:r>
      <w:r w:rsidRPr="00F806C3">
        <w:rPr>
          <w:rtl/>
        </w:rPr>
        <w:t xml:space="preserve"> - הוועדה לבדיקת </w:t>
      </w:r>
      <w:r w:rsidRPr="0043504C">
        <w:rPr>
          <w:rtl/>
        </w:rPr>
        <w:t>כשירותם</w:t>
      </w:r>
      <w:r w:rsidRPr="00F806C3">
        <w:rPr>
          <w:rtl/>
        </w:rPr>
        <w:t xml:space="preserve"> והתאמתם של מועמדים לכהונה מטעם רשות מקומית בגוף המנהל של תאגיד עירוני מנהלת רישום מפורט ומוקפד בהחלטותיה של הרכב הגוף המנהל בתאגיד העירוני, בהתפלגות מגדרית, המסייע בבקרה על קיום חובת הייצוג ההולם לבני שני המינים, נכון למועד ההחלטה.</w:t>
      </w:r>
    </w:p>
    <w:p w:rsidR="00E63F2C" w:rsidP="00E63F2C" w14:paraId="235B56E7" w14:textId="77777777">
      <w:pPr>
        <w:pStyle w:val="7314"/>
        <w:rPr>
          <w:b/>
          <w:bCs/>
          <w:rtl/>
        </w:rPr>
      </w:pPr>
      <w:r w:rsidRPr="00E63F2C">
        <w:rPr>
          <w:b/>
          <w:bCs/>
          <w:rtl/>
        </w:rPr>
        <w:t>מחוונים (אינדיקטורים) לבחינת השוויון המגדרי</w:t>
      </w:r>
    </w:p>
    <w:p w:rsidR="00E63F2C" w:rsidRPr="00F806C3" w:rsidP="00974614" w14:paraId="16AAE7B6" w14:textId="77777777">
      <w:pPr>
        <w:pStyle w:val="757"/>
        <w:numPr>
          <w:ilvl w:val="0"/>
          <w:numId w:val="32"/>
        </w:numPr>
        <w:ind w:left="754" w:hanging="357"/>
        <w:rPr>
          <w:rtl/>
        </w:rPr>
      </w:pPr>
      <w:r w:rsidRPr="00F806C3">
        <w:rPr>
          <w:rtl/>
        </w:rPr>
        <w:t xml:space="preserve">במהלך השנים האחרונות פעלה היועצת לקידום מעמד האישה בעיריית </w:t>
      </w:r>
      <w:r w:rsidRPr="00F806C3">
        <w:rPr>
          <w:b/>
          <w:bCs/>
          <w:rtl/>
        </w:rPr>
        <w:t>כפר סבא</w:t>
      </w:r>
      <w:r w:rsidRPr="00F806C3">
        <w:rPr>
          <w:rtl/>
        </w:rPr>
        <w:t xml:space="preserve"> לגיבוש מדד מגדר עירוני עבור העירייה. המדד נועד לתאר את הפערים המגדריים הן בהיבטים פנים-ארגוניים הנוגעים לעובדי הרשות המקומית, ובכלל זה ייצוג נשים במוקדי קבלת ההחלטות, והן בהיבטים חוץ-ארגוניים הנוגעים לתושבי הרשות המקומית - ובכלל זה בתחומי החינוך, הפנאי ושוק העבודה. </w:t>
      </w:r>
    </w:p>
    <w:p w:rsidR="00E63F2C" w:rsidRPr="00F806C3" w:rsidP="00974614" w14:paraId="3587F1DB" w14:textId="77777777">
      <w:pPr>
        <w:pStyle w:val="757"/>
        <w:numPr>
          <w:ilvl w:val="0"/>
          <w:numId w:val="32"/>
        </w:numPr>
        <w:ind w:left="754" w:hanging="357"/>
        <w:rPr>
          <w:sz w:val="19"/>
          <w:szCs w:val="19"/>
          <w:rtl/>
        </w:rPr>
      </w:pPr>
      <w:r w:rsidRPr="00974614">
        <w:rPr>
          <w:rtl/>
        </w:rPr>
        <w:t xml:space="preserve">במהלך הביקורת החלה </w:t>
      </w:r>
      <w:r w:rsidRPr="00974614">
        <w:rPr>
          <w:rtl/>
        </w:rPr>
        <w:t>הלמ"ס</w:t>
      </w:r>
      <w:r w:rsidRPr="00974614">
        <w:rPr>
          <w:rtl/>
        </w:rPr>
        <w:t xml:space="preserve">, בשיתוף הרשות לקידום מעמד האישה, לפעול לגיבוש של מערכת מחוונים שיוכלו לתאר בהתפלגות מגדרית וברמת הרשות המקומית, פערים מגדריים בתחומי החיים השונים, ובכלל זה בשוק העבודה; בתחומי החינוך, הרווחה, הבריאות והפנאי; בתחומי הדיור, הדמוגרפיה והתחבורה; וכן בהיבטים של חוסן ופעילות ציבורית. מחוונים אלו יוכלו גם להשתלב בפרסומים עיתיים של </w:t>
      </w:r>
      <w:r w:rsidRPr="00974614">
        <w:rPr>
          <w:rtl/>
        </w:rPr>
        <w:t>הלמ"ס</w:t>
      </w:r>
      <w:r w:rsidRPr="00974614">
        <w:rPr>
          <w:rtl/>
        </w:rPr>
        <w:t xml:space="preserve"> על הרשויות המקומיות, וכך יוכלו לשמש לצורך בחינת ההשלכות המגדריות של החלטותיהן של הרשויות בתחומי הפעילות השונים; ככלי השוואתי לבחינת תופעות ייחודיות של אי-שוויון מגדרי ברשויות או הצלחתן בצמצום פערים מגדריים; וכן ככלי תומך החלטה עבור גופי האסדרה השלטוניים, בין היתר לעניין החלטות בנושאים של ביזור סמכויות או תקצוב</w:t>
      </w:r>
      <w:r w:rsidRPr="00F806C3">
        <w:rPr>
          <w:sz w:val="19"/>
          <w:szCs w:val="19"/>
          <w:rtl/>
        </w:rPr>
        <w:t xml:space="preserve">. </w:t>
      </w:r>
    </w:p>
    <w:p w:rsidR="00E63F2C" w:rsidRPr="00F806C3" w:rsidP="00974614" w14:paraId="3B563600" w14:textId="77777777">
      <w:pPr>
        <w:pStyle w:val="7314"/>
        <w:rPr>
          <w:rtl/>
        </w:rPr>
      </w:pPr>
      <w:r w:rsidRPr="00F806C3">
        <w:rPr>
          <w:b/>
          <w:bCs/>
          <w:rtl/>
        </w:rPr>
        <w:t>ניתוח מגדרי של תקציב הרשויות המקומיות בתחום הספורט</w:t>
      </w:r>
      <w:r w:rsidRPr="00F806C3">
        <w:rPr>
          <w:rtl/>
        </w:rPr>
        <w:t xml:space="preserve"> - במהלך שנת 2015 יזמו </w:t>
      </w:r>
      <w:r w:rsidRPr="00974614">
        <w:rPr>
          <w:rtl/>
        </w:rPr>
        <w:t>וערכו</w:t>
      </w:r>
      <w:r w:rsidRPr="00F806C3">
        <w:rPr>
          <w:rtl/>
        </w:rPr>
        <w:t xml:space="preserve"> עיריית </w:t>
      </w:r>
      <w:r w:rsidRPr="00F806C3">
        <w:rPr>
          <w:b/>
          <w:bCs/>
          <w:rtl/>
        </w:rPr>
        <w:t>בת</w:t>
      </w:r>
      <w:r w:rsidRPr="00F806C3">
        <w:rPr>
          <w:rtl/>
        </w:rPr>
        <w:t xml:space="preserve"> </w:t>
      </w:r>
      <w:r w:rsidRPr="00F806C3">
        <w:rPr>
          <w:b/>
          <w:bCs/>
          <w:rtl/>
        </w:rPr>
        <w:t>ים</w:t>
      </w:r>
      <w:r w:rsidRPr="00F806C3">
        <w:rPr>
          <w:rtl/>
        </w:rPr>
        <w:t xml:space="preserve"> </w:t>
      </w:r>
      <w:r w:rsidRPr="00974614">
        <w:rPr>
          <w:rtl/>
        </w:rPr>
        <w:t>והמועצה</w:t>
      </w:r>
      <w:r w:rsidRPr="00F806C3">
        <w:rPr>
          <w:rtl/>
        </w:rPr>
        <w:t xml:space="preserve"> האזורית </w:t>
      </w:r>
      <w:r w:rsidRPr="00F806C3">
        <w:rPr>
          <w:b/>
          <w:bCs/>
          <w:rtl/>
        </w:rPr>
        <w:t>מטה אשר</w:t>
      </w:r>
      <w:r w:rsidRPr="00F806C3">
        <w:rPr>
          <w:rtl/>
        </w:rPr>
        <w:t xml:space="preserve">, בהובלתן של היועצות לקידום מעמד האישה שכיהנו בהן ובליווי מקצועי של עמותה פרטית, ניתוח מגדרי של תקציביהן בתחום הספורט. </w:t>
      </w:r>
    </w:p>
    <w:p w:rsidR="00EB672B" w:rsidRPr="006F49D3" w:rsidP="006F49D3" w14:paraId="1FC3C430" w14:textId="3ACB9C3A">
      <w:pPr>
        <w:pStyle w:val="752"/>
        <w:rPr>
          <w:rtl/>
        </w:rPr>
      </w:pPr>
      <w:r w:rsidRPr="006F49D3">
        <w:rPr>
          <w:rFonts w:hint="cs"/>
          <w:rtl/>
        </w:rPr>
        <w:t>עיקרי המלצות הביקורת</w:t>
      </w:r>
    </w:p>
    <w:p w:rsidR="00EB672B" w:rsidP="005F454B" w14:paraId="344A34B6" w14:textId="783642B4">
      <w:pPr>
        <w:pStyle w:val="755"/>
        <w:rPr>
          <w:rtl/>
        </w:rPr>
      </w:pPr>
      <w:r w:rsidRPr="0063556C">
        <w:rPr>
          <w:rStyle w:val="7372"/>
          <w:rFonts w:hint="cs"/>
          <w:noProof/>
          <w:rtl/>
        </w:rPr>
        <w:drawing>
          <wp:anchor distT="0" distB="1440180" distL="107950" distR="114300" simplePos="0" relativeHeight="25167974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F806C3" w:rsidR="005F454B">
        <w:rPr>
          <w:rtl/>
        </w:rPr>
        <w:t xml:space="preserve">על כלל הרשויות המקומיות, ובהן עיריית </w:t>
      </w:r>
      <w:r w:rsidRPr="00F806C3" w:rsidR="005F454B">
        <w:rPr>
          <w:b/>
          <w:bCs/>
          <w:rtl/>
        </w:rPr>
        <w:t>רהט</w:t>
      </w:r>
      <w:r w:rsidRPr="00F806C3" w:rsidR="005F454B">
        <w:rPr>
          <w:rtl/>
        </w:rPr>
        <w:t xml:space="preserve">, להקפיד על עריכת דוח פנימי בכל שנה בדבר פערי השכר המגדריים בקרב עובדיהן בהתאם לנדרש על פי החוק והנחיות הנציבות. על כלל הרשויות המקומיות, ובהן העיריות </w:t>
      </w:r>
      <w:r w:rsidRPr="00F806C3" w:rsidR="005F454B">
        <w:rPr>
          <w:b/>
          <w:bCs/>
          <w:rtl/>
        </w:rPr>
        <w:t>באר שבע</w:t>
      </w:r>
      <w:r w:rsidRPr="00F806C3" w:rsidR="005F454B">
        <w:rPr>
          <w:rtl/>
        </w:rPr>
        <w:t xml:space="preserve">, </w:t>
      </w:r>
      <w:r w:rsidRPr="00F806C3" w:rsidR="005F454B">
        <w:rPr>
          <w:b/>
          <w:bCs/>
          <w:rtl/>
        </w:rPr>
        <w:t>בית שמש</w:t>
      </w:r>
      <w:r w:rsidRPr="00F806C3" w:rsidR="005F454B">
        <w:rPr>
          <w:rtl/>
        </w:rPr>
        <w:t xml:space="preserve"> ו</w:t>
      </w:r>
      <w:r w:rsidRPr="00F806C3" w:rsidR="005F454B">
        <w:rPr>
          <w:b/>
          <w:bCs/>
          <w:rtl/>
        </w:rPr>
        <w:t xml:space="preserve">נהרייה </w:t>
      </w:r>
      <w:r w:rsidRPr="00F806C3" w:rsidR="005F454B">
        <w:rPr>
          <w:rtl/>
        </w:rPr>
        <w:t xml:space="preserve">והמועצה המקומית </w:t>
      </w:r>
      <w:r w:rsidRPr="00F806C3" w:rsidR="005F454B">
        <w:rPr>
          <w:b/>
          <w:bCs/>
          <w:rtl/>
        </w:rPr>
        <w:t>גן יבנה</w:t>
      </w:r>
      <w:r w:rsidRPr="00F806C3" w:rsidR="005F454B">
        <w:rPr>
          <w:rtl/>
        </w:rPr>
        <w:t>, להקפיד לערוך את הדוח הפנימי שלהן בהלימה להוראות החוק ולהנחיותיה המחייבות של הנציבות</w:t>
      </w:r>
      <w:r w:rsidRPr="007C7D40">
        <w:rPr>
          <w:rFonts w:hint="cs"/>
          <w:rtl/>
        </w:rPr>
        <w:t xml:space="preserve">. </w:t>
      </w:r>
    </w:p>
    <w:p w:rsidR="00EB672B" w:rsidP="005F454B" w14:paraId="1DD50AB4" w14:textId="0D70E889">
      <w:pPr>
        <w:pStyle w:val="755"/>
        <w:rPr>
          <w:rtl/>
        </w:rPr>
      </w:pPr>
      <w:r w:rsidRPr="0063556C">
        <w:rPr>
          <w:rStyle w:val="7372"/>
          <w:rFonts w:hint="cs"/>
          <w:noProof/>
          <w:rtl/>
        </w:rPr>
        <w:drawing>
          <wp:anchor distT="0" distB="1440180" distL="107950" distR="114300" simplePos="0" relativeHeight="251680768"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F806C3" w:rsidR="005F454B">
        <w:rPr>
          <w:rtl/>
        </w:rPr>
        <w:t xml:space="preserve">מומלץ לנציבות שוויון ההזדמנויות בעבודה, בהתייעצות עם גופי האסדרה האחרים - ובהם משרד הפנים והרשות לקידום מעמד האישה, וכן עם הממונה על השכר והסכמי העבודה </w:t>
      </w:r>
      <w:r w:rsidRPr="005F454B" w:rsidR="005F454B">
        <w:rPr>
          <w:rtl/>
        </w:rPr>
        <w:t>במשרד</w:t>
      </w:r>
      <w:r w:rsidRPr="00F806C3" w:rsidR="005F454B">
        <w:rPr>
          <w:rtl/>
        </w:rPr>
        <w:t xml:space="preserve"> האוצר, לגבש מתווה סדור לבקרה ולאכיפה של קיום החובות לפי חוק שכר שווה, ובתוך כך להבהיר בידי מי האחריות לנקוט פעולות בקרה ואכיפה בהתאם למתווה שיגובש. נוסף על כך, מומלץ לנציבות כי במתווה האמור תיכלל התייחסות לפעולות ההסברה </w:t>
      </w:r>
      <w:r w:rsidRPr="00F806C3" w:rsidR="005F454B">
        <w:rPr>
          <w:rtl/>
        </w:rPr>
        <w:t>וההדרכה שיינקטו בידי הנציבות ויתר גופי האסדרה, לפי העניין, להעלאת המודעות בקרב הרשויות המקומיות וגופי השלטון המקומי בכללותו לחובות החלות עליהם בדין</w:t>
      </w:r>
      <w:r w:rsidRPr="00C62F3F" w:rsidR="00DA0CCD">
        <w:rPr>
          <w:rtl/>
        </w:rPr>
        <w:t>.</w:t>
      </w:r>
      <w:r w:rsidRPr="007C7D40">
        <w:rPr>
          <w:rtl/>
        </w:rPr>
        <w:t xml:space="preserve"> </w:t>
      </w:r>
    </w:p>
    <w:p w:rsidR="00EB672B" w:rsidP="005F454B" w14:paraId="1108540A" w14:textId="7E9ABF70">
      <w:pPr>
        <w:pStyle w:val="755"/>
        <w:rPr>
          <w:rtl/>
        </w:rPr>
      </w:pPr>
      <w:r w:rsidRPr="0063556C">
        <w:rPr>
          <w:rStyle w:val="7372"/>
          <w:rFonts w:hint="cs"/>
          <w:noProof/>
          <w:rtl/>
        </w:rPr>
        <w:drawing>
          <wp:anchor distT="0" distB="1440180" distL="107950" distR="114300" simplePos="0" relativeHeight="25168179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F806C3" w:rsidR="005F454B">
        <w:rPr>
          <w:rtl/>
        </w:rPr>
        <w:t xml:space="preserve">לנוכח ממצאי הניתוח הראשוניים שעשה משרד מבקר המדינה, מומלץ לעיריות </w:t>
      </w:r>
      <w:r w:rsidRPr="00F806C3" w:rsidR="005F454B">
        <w:rPr>
          <w:b/>
          <w:bCs/>
          <w:rtl/>
        </w:rPr>
        <w:t>באר</w:t>
      </w:r>
      <w:r w:rsidRPr="00F806C3" w:rsidR="005F454B">
        <w:rPr>
          <w:rtl/>
        </w:rPr>
        <w:t xml:space="preserve"> </w:t>
      </w:r>
      <w:r w:rsidRPr="00F806C3" w:rsidR="005F454B">
        <w:rPr>
          <w:b/>
          <w:bCs/>
          <w:rtl/>
        </w:rPr>
        <w:t>שבע</w:t>
      </w:r>
      <w:r w:rsidRPr="00F806C3" w:rsidR="005F454B">
        <w:rPr>
          <w:rtl/>
        </w:rPr>
        <w:t xml:space="preserve">, </w:t>
      </w:r>
      <w:r w:rsidRPr="00F806C3" w:rsidR="005F454B">
        <w:rPr>
          <w:b/>
          <w:bCs/>
          <w:rtl/>
        </w:rPr>
        <w:t>בית שמש</w:t>
      </w:r>
      <w:r w:rsidRPr="00F806C3" w:rsidR="005F454B">
        <w:rPr>
          <w:rtl/>
        </w:rPr>
        <w:t xml:space="preserve">, </w:t>
      </w:r>
      <w:r w:rsidRPr="00F806C3" w:rsidR="005F454B">
        <w:rPr>
          <w:b/>
          <w:bCs/>
          <w:rtl/>
        </w:rPr>
        <w:t>כפר</w:t>
      </w:r>
      <w:r w:rsidRPr="00F806C3" w:rsidR="005F454B">
        <w:rPr>
          <w:rtl/>
        </w:rPr>
        <w:t xml:space="preserve"> </w:t>
      </w:r>
      <w:r w:rsidRPr="00F806C3" w:rsidR="005F454B">
        <w:rPr>
          <w:b/>
          <w:bCs/>
          <w:rtl/>
        </w:rPr>
        <w:t>סבא</w:t>
      </w:r>
      <w:r w:rsidRPr="00F806C3" w:rsidR="005F454B">
        <w:rPr>
          <w:rtl/>
        </w:rPr>
        <w:t xml:space="preserve">, </w:t>
      </w:r>
      <w:r w:rsidRPr="00F806C3" w:rsidR="005F454B">
        <w:rPr>
          <w:b/>
          <w:bCs/>
          <w:rtl/>
        </w:rPr>
        <w:t>נהרייה</w:t>
      </w:r>
      <w:r w:rsidRPr="00F806C3" w:rsidR="005F454B">
        <w:rPr>
          <w:rtl/>
        </w:rPr>
        <w:t xml:space="preserve"> ו</w:t>
      </w:r>
      <w:r w:rsidRPr="00F806C3" w:rsidR="005F454B">
        <w:rPr>
          <w:b/>
          <w:bCs/>
          <w:rtl/>
        </w:rPr>
        <w:t>רהט</w:t>
      </w:r>
      <w:r w:rsidRPr="00F806C3" w:rsidR="005F454B">
        <w:rPr>
          <w:rtl/>
        </w:rPr>
        <w:t xml:space="preserve">, למועצה המקומית </w:t>
      </w:r>
      <w:r w:rsidRPr="00F806C3" w:rsidR="005F454B">
        <w:rPr>
          <w:b/>
          <w:bCs/>
          <w:rtl/>
        </w:rPr>
        <w:t>גן</w:t>
      </w:r>
      <w:r w:rsidRPr="00F806C3" w:rsidR="005F454B">
        <w:rPr>
          <w:rtl/>
        </w:rPr>
        <w:t xml:space="preserve"> </w:t>
      </w:r>
      <w:r w:rsidRPr="00F806C3" w:rsidR="005F454B">
        <w:rPr>
          <w:b/>
          <w:bCs/>
          <w:rtl/>
        </w:rPr>
        <w:t>יבנה</w:t>
      </w:r>
      <w:r w:rsidRPr="00F806C3" w:rsidR="005F454B">
        <w:rPr>
          <w:rtl/>
        </w:rPr>
        <w:t xml:space="preserve"> ולמועצה האזורית </w:t>
      </w:r>
      <w:r w:rsidRPr="00F806C3" w:rsidR="005F454B">
        <w:rPr>
          <w:b/>
          <w:bCs/>
          <w:rtl/>
        </w:rPr>
        <w:t>גזר</w:t>
      </w:r>
      <w:r w:rsidRPr="00F806C3" w:rsidR="005F454B">
        <w:rPr>
          <w:rtl/>
        </w:rPr>
        <w:t xml:space="preserve"> להמשיך ולהעמיק בבחינת פערי השכר המגדריים בקרב עובדיהן ובבחינת הגורמים להם. עוד מומלץ כי בהתבסס על הממצאים שיועלו תיקבע בכל אחת מהרשויות הללו תוכנית פעולה רב-שנתית לצמצום פערי השכר בקרב עובדיה, וייושם תהליך של שינוי הדרגתי ומותאם לצמצומם</w:t>
      </w:r>
      <w:r w:rsidRPr="007D7F32" w:rsidR="002419DB">
        <w:rPr>
          <w:rtl/>
        </w:rPr>
        <w:t>.</w:t>
      </w:r>
    </w:p>
    <w:p w:rsidR="003F0A00" w:rsidP="005F454B" w14:paraId="078CC367" w14:textId="70B47694">
      <w:pPr>
        <w:pStyle w:val="755"/>
        <w:rPr>
          <w:rtl/>
        </w:rPr>
      </w:pPr>
      <w:r w:rsidRPr="002419DB">
        <w:rPr>
          <w:rStyle w:val="7372"/>
          <w:rFonts w:hint="cs"/>
          <w:bCs w:val="0"/>
          <w:noProof/>
          <w:rtl/>
        </w:rPr>
        <w:drawing>
          <wp:anchor distT="0" distB="1440180" distL="107950" distR="114300" simplePos="0" relativeHeight="25168281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F806C3" w:rsidR="005F454B">
        <w:rPr>
          <w:rtl/>
        </w:rPr>
        <w:t xml:space="preserve">מומלץ למשרד הפנים, בשיתוף עם הרשות לקידום מעמד האישה, לגבש מתווה עבודה לבחינת מועילות ההסדר המתְנה תוספת מימון לרשימות ולסיעות המתמודדות בבחירות לרשויות המקומיות בייצוג לנשים ולבחינת מידת תרומתו לקידום הייצוג ההולם בהרכב מליאותיהן של </w:t>
      </w:r>
      <w:r w:rsidRPr="005F454B" w:rsidR="005F454B">
        <w:rPr>
          <w:rtl/>
        </w:rPr>
        <w:t>הרשויות</w:t>
      </w:r>
      <w:r w:rsidRPr="00F806C3" w:rsidR="005F454B">
        <w:rPr>
          <w:rtl/>
        </w:rPr>
        <w:t xml:space="preserve"> המקומיות, זאת גם בהסתמך על תוצאות הבחירות לרשויות המקומיות בשנת 2024 ולקראת מערכת הבחירות הבאה. לנוכח הקשיים האפשריים בהבטחת </w:t>
      </w:r>
      <w:r w:rsidRPr="00F806C3" w:rsidR="005F454B">
        <w:rPr>
          <w:rtl/>
        </w:rPr>
        <w:t>מועילותו</w:t>
      </w:r>
      <w:r w:rsidRPr="00F806C3" w:rsidR="005F454B">
        <w:rPr>
          <w:rtl/>
        </w:rPr>
        <w:t xml:space="preserve"> של ההסדר הקיים והממצאים החלקיים המצביעים על שינוי מוגבל בשיעור הייצוג של נשים בקרב נבחרי הציבור בין תוצאות הבחירות לשנים 2013, 2018 ו-2024 (כ-13%, כ-18% וכ-20%, בהתאמה), מומלץ למשרד הפנים לבחון, בשיתוף הרשות לקידום מעמד האישה, את הצורך בעריכת שינויים והתאמות בהסדר הקיים או בקביעת הסדרים משלימים או חלופיים שאינם מותנים בזכאות הכללית למימון ממלכתי.</w:t>
      </w:r>
    </w:p>
    <w:p w:rsidR="00655F64" w:rsidP="005F454B" w14:paraId="0A07A9C9" w14:textId="72C5E240">
      <w:pPr>
        <w:pStyle w:val="755"/>
        <w:rPr>
          <w:rtl/>
        </w:rPr>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F806C3" w:rsidR="005F454B">
        <w:rPr>
          <w:rtl/>
        </w:rPr>
        <w:t xml:space="preserve">על כלל הרשויות המקומיות, ובהן העיריות </w:t>
      </w:r>
      <w:r w:rsidRPr="00F806C3" w:rsidR="005F454B">
        <w:rPr>
          <w:b/>
          <w:bCs/>
          <w:rtl/>
        </w:rPr>
        <w:t>באר שבע, בית שמש, נהרייה</w:t>
      </w:r>
      <w:r w:rsidRPr="00F806C3" w:rsidR="005F454B">
        <w:rPr>
          <w:rtl/>
        </w:rPr>
        <w:t xml:space="preserve"> ו</w:t>
      </w:r>
      <w:r w:rsidRPr="00F806C3" w:rsidR="005F454B">
        <w:rPr>
          <w:b/>
          <w:bCs/>
          <w:rtl/>
        </w:rPr>
        <w:t xml:space="preserve">רהט </w:t>
      </w:r>
      <w:r w:rsidRPr="00F806C3" w:rsidR="005F454B">
        <w:rPr>
          <w:rtl/>
        </w:rPr>
        <w:t>והמועצה המקומית</w:t>
      </w:r>
      <w:r w:rsidRPr="00F806C3" w:rsidR="005F454B">
        <w:rPr>
          <w:b/>
          <w:bCs/>
          <w:rtl/>
        </w:rPr>
        <w:t xml:space="preserve"> גן יבנה</w:t>
      </w:r>
      <w:r w:rsidRPr="00F806C3" w:rsidR="005F454B">
        <w:rPr>
          <w:rtl/>
        </w:rPr>
        <w:t xml:space="preserve">, לנקוט את כל האמצעים העומדים לרשותן לקידום גיוון מגדרי בקרב מקבלי ההחלטות </w:t>
      </w:r>
      <w:r w:rsidRPr="005F454B" w:rsidR="005F454B">
        <w:rPr>
          <w:rtl/>
        </w:rPr>
        <w:t>הבכירים</w:t>
      </w:r>
      <w:r w:rsidRPr="00F806C3" w:rsidR="005F454B">
        <w:rPr>
          <w:rtl/>
        </w:rPr>
        <w:t xml:space="preserve"> ולהגברת מעורבותן של נשים בהתוויית המדיניות ובתהליכי קבלת ההחלטות ברשות המקומית. מומלץ כי הפעולות שינקטו </w:t>
      </w:r>
      <w:r w:rsidRPr="005F454B" w:rsidR="005F454B">
        <w:rPr>
          <w:rtl/>
        </w:rPr>
        <w:t>הרשויות</w:t>
      </w:r>
      <w:r w:rsidRPr="00F806C3" w:rsidR="005F454B">
        <w:rPr>
          <w:rtl/>
        </w:rPr>
        <w:t xml:space="preserve"> המקומיות ייקבעו בהתבסס על מדיניות ברורה ובת יישום שהן יקבעו, על פי מאפייניהן הייחודיים ובהלימה להרכב המגדרי של עובדיהן, בהתייחס לשיעורן של הנשים מקרב כלל עובדי הרשות המקומית ולשיעורן של הנשים מקרב הדרג הבכיר</w:t>
      </w:r>
      <w:r w:rsidR="005F454B">
        <w:rPr>
          <w:rFonts w:hint="cs"/>
          <w:rtl/>
        </w:rPr>
        <w:t>.</w:t>
      </w:r>
    </w:p>
    <w:p w:rsidR="00EB5CDB" w:rsidP="00F43EA7" w14:paraId="189AD897" w14:textId="7C51CA73">
      <w:pPr>
        <w:pStyle w:val="755"/>
        <w:rPr>
          <w:rtl/>
        </w:rPr>
      </w:pPr>
      <w:r w:rsidRPr="0063556C">
        <w:rPr>
          <w:rStyle w:val="7372"/>
          <w:rFonts w:hint="cs"/>
          <w:noProof/>
          <w:rtl/>
        </w:rPr>
        <w:drawing>
          <wp:anchor distT="0" distB="1440180" distL="107950" distR="114300" simplePos="0" relativeHeight="251699200"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F806C3" w:rsidR="005F454B">
        <w:rPr>
          <w:rtl/>
        </w:rPr>
        <w:t xml:space="preserve">מומלץ למשרד הפנים לגבש, בשיתוף יתר גופי האסדרה השלטוניים, מתווה לנקיטת פעולות יזומות נוספות לקידום השוויון המגדרי ולצמצום הפערים המגדריים בשדרת הניהול של הרשות המקומית, </w:t>
      </w:r>
      <w:r w:rsidRPr="00F43EA7" w:rsidR="005F454B">
        <w:rPr>
          <w:rtl/>
        </w:rPr>
        <w:t>בפרט</w:t>
      </w:r>
      <w:r w:rsidRPr="00F806C3" w:rsidR="005F454B">
        <w:rPr>
          <w:rtl/>
        </w:rPr>
        <w:t xml:space="preserve"> ברשויות מקומיות שאינן מדורגות במדד ההון האנושי. מומלץ כי מתווה זה יכלול מנגנונים מפורטים לניטור, לפיקוח ולבקרה, לפי העניין, לצורך בחינת </w:t>
      </w:r>
      <w:r w:rsidRPr="00F806C3" w:rsidR="005F454B">
        <w:rPr>
          <w:rtl/>
        </w:rPr>
        <w:t>מועילותן</w:t>
      </w:r>
      <w:r w:rsidRPr="00F806C3" w:rsidR="005F454B">
        <w:rPr>
          <w:rtl/>
        </w:rPr>
        <w:t xml:space="preserve"> ומידת תרומתן של הפעולות שיינקטו - מצד משרד הפנים ומצד הרשויות המקומיות - לקידום השוויון המגדרי</w:t>
      </w:r>
      <w:r w:rsidRPr="007C7D40">
        <w:rPr>
          <w:rFonts w:hint="cs"/>
          <w:rtl/>
        </w:rPr>
        <w:t>.</w:t>
      </w:r>
    </w:p>
    <w:p w:rsidR="00EB5CDB" w:rsidP="00336E26" w14:paraId="29E3E418" w14:textId="6A32E0AE">
      <w:pPr>
        <w:pStyle w:val="755"/>
        <w:rPr>
          <w:rtl/>
        </w:rPr>
      </w:pPr>
      <w:r w:rsidRPr="0063556C">
        <w:rPr>
          <w:rStyle w:val="7372"/>
          <w:rFonts w:hint="cs"/>
          <w:noProof/>
          <w:rtl/>
        </w:rPr>
        <w:drawing>
          <wp:anchor distT="0" distB="1440180" distL="107950" distR="114300" simplePos="0" relativeHeight="25170022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5"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F806C3" w:rsidR="005F454B">
        <w:rPr>
          <w:rtl/>
        </w:rPr>
        <w:t xml:space="preserve">מומלץ כי אגף ייעוץ וחקיקה במשרד המשפטים ישלים את גיבוש עמדתו בנוגע לאופן מימוש חובת הייצוג ההולם הקבועה בחוק ובתוך כך יבחן, בשיתוף משרד הפנים, את הצורך </w:t>
      </w:r>
      <w:r w:rsidRPr="00336E26" w:rsidR="005F454B">
        <w:rPr>
          <w:rtl/>
        </w:rPr>
        <w:t>בתיקון</w:t>
      </w:r>
      <w:r w:rsidRPr="00F806C3" w:rsidR="005F454B">
        <w:rPr>
          <w:rtl/>
        </w:rPr>
        <w:t xml:space="preserve"> ההסדר הקיים בכדי להבטיח את קידום השוויון המגדרי בהרכב הגופים המנהלים של התאגידים העירוניים - ובכלל הגופים שהוחלה עליהם חובת הייצוג ההולם, באופן המיטבי. זאת גם לנוכח השיעור הגבוה יותר של תאגידים עירוניים שבהם לא ניתן ייצוג שוויוני בקרב כלל חברי הגופים המנהלים, כולל חברי המועצה (כ-45% מהם). במסגרת גיבוש העמדה ובחינת הצורך בתיקון ההסדר הקיים מומלץ כי אגף ייעוץ וחקיקה ומשרד הפנים ייתנו את דעתם גם לצורך להבהיר כי על בחינת הייצוג ההולם להיעשות </w:t>
      </w:r>
      <w:r w:rsidRPr="00F806C3" w:rsidR="005F454B">
        <w:rPr>
          <w:rtl/>
        </w:rPr>
        <w:t xml:space="preserve">תוך בחינת כל תאגיד עירוני בפני עצמו - ולא על כלל התאגידים העירוניים המשויכים לרשות המקומית שמטעמה מתבקש המינוי. על העיריות </w:t>
      </w:r>
      <w:r w:rsidRPr="00F806C3" w:rsidR="005F454B">
        <w:rPr>
          <w:b/>
          <w:bCs/>
          <w:rtl/>
        </w:rPr>
        <w:t>באר שבע</w:t>
      </w:r>
      <w:r w:rsidRPr="00F806C3" w:rsidR="005F454B">
        <w:rPr>
          <w:rtl/>
        </w:rPr>
        <w:t xml:space="preserve">, </w:t>
      </w:r>
      <w:r w:rsidRPr="00F806C3" w:rsidR="005F454B">
        <w:rPr>
          <w:b/>
          <w:bCs/>
          <w:rtl/>
        </w:rPr>
        <w:t>כפר</w:t>
      </w:r>
      <w:r w:rsidRPr="00F806C3" w:rsidR="005F454B">
        <w:rPr>
          <w:rtl/>
        </w:rPr>
        <w:t xml:space="preserve"> </w:t>
      </w:r>
      <w:r w:rsidRPr="00F806C3" w:rsidR="005F454B">
        <w:rPr>
          <w:b/>
          <w:bCs/>
          <w:rtl/>
        </w:rPr>
        <w:t>סבא</w:t>
      </w:r>
      <w:r w:rsidRPr="00F806C3" w:rsidR="005F454B">
        <w:rPr>
          <w:rtl/>
        </w:rPr>
        <w:t xml:space="preserve"> ו</w:t>
      </w:r>
      <w:r w:rsidRPr="00F806C3" w:rsidR="005F454B">
        <w:rPr>
          <w:b/>
          <w:bCs/>
          <w:rtl/>
        </w:rPr>
        <w:t>רהט</w:t>
      </w:r>
      <w:r w:rsidRPr="00F806C3" w:rsidR="005F454B">
        <w:rPr>
          <w:rtl/>
        </w:rPr>
        <w:t xml:space="preserve"> להקפיד על קיום חובת הייצוג ההולם של בני שני המינים בקרב חברי הגופים המנהלים של התאגידים העירוניים המשויכים אליהן</w:t>
      </w:r>
      <w:r w:rsidRPr="007C7D40">
        <w:rPr>
          <w:rFonts w:hint="cs"/>
          <w:rtl/>
        </w:rPr>
        <w:t>.</w:t>
      </w:r>
    </w:p>
    <w:p w:rsidR="001C6A90" w:rsidP="004A49C3" w14:paraId="61308C24" w14:textId="62DF948E">
      <w:pPr>
        <w:pStyle w:val="755"/>
        <w:rPr>
          <w:rtl/>
        </w:rPr>
      </w:pPr>
      <w:r w:rsidRPr="0063556C">
        <w:rPr>
          <w:rStyle w:val="7372"/>
          <w:rFonts w:hint="cs"/>
          <w:noProof/>
          <w:rtl/>
        </w:rPr>
        <w:drawing>
          <wp:anchor distT="0" distB="1440180" distL="107950" distR="114300" simplePos="0" relativeHeight="25170124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7887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7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F806C3" w:rsidR="004A49C3">
        <w:rPr>
          <w:rtl/>
        </w:rPr>
        <w:t xml:space="preserve">מומלץ למשרד הפנים לבחון, בשיתוף הסוכנות לעסקים קטנים ובינוניים והרשות לקידום מעמד האישה, את הצורך באימוץ של הסדרים משלימים לקידום השוויון המגדרי בהליכי ההתקשרויות והרכש המקומיים המתייחסים לאתגרים ולחסמים הייחודיים לעסקים בשליטת נשים. מומלץ כי </w:t>
      </w:r>
      <w:r w:rsidRPr="004A49C3" w:rsidR="004A49C3">
        <w:rPr>
          <w:rtl/>
        </w:rPr>
        <w:t>משרד</w:t>
      </w:r>
      <w:r w:rsidRPr="00F806C3" w:rsidR="004A49C3">
        <w:rPr>
          <w:rtl/>
        </w:rPr>
        <w:t xml:space="preserve"> הפנים יקבע יעד ברור להשתתפות וזכייה של עסקים בשליטת נשים בהליכי התקשרויות ורכש בשלטון המקומי, הן בהתייחס לשיעור העסקים והן בהתייחס להיקף הכספי של ההתקשרויות. נוסף על כך מומלץ כי משרד הפנים יסדיר מנגנוני בקרה ומעקב לבחינת מועילות ההסדרים בהשגת המטרות שלשמן נקבעו, ובכלל זה חובת איסוף וניהול של נתונים בנושא באופן שיטתי ופרסומם לציבור</w:t>
      </w:r>
      <w:r w:rsidRPr="007C7D40">
        <w:rPr>
          <w:rFonts w:hint="cs"/>
          <w:rtl/>
        </w:rPr>
        <w:t>.</w:t>
      </w:r>
    </w:p>
    <w:p w:rsidR="001C6A90" w:rsidP="004A49C3" w14:paraId="52D110E9" w14:textId="3F80EEC4">
      <w:pPr>
        <w:pStyle w:val="755"/>
        <w:rPr>
          <w:rtl/>
        </w:rPr>
      </w:pPr>
      <w:r w:rsidRPr="0063556C">
        <w:rPr>
          <w:rStyle w:val="7372"/>
          <w:rFonts w:hint="cs"/>
          <w:noProof/>
          <w:rtl/>
        </w:rPr>
        <w:drawing>
          <wp:anchor distT="0" distB="1440180" distL="107950" distR="114300" simplePos="0" relativeHeight="25170227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78873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73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F806C3" w:rsidR="004A49C3">
        <w:rPr>
          <w:rtl/>
        </w:rPr>
        <w:t xml:space="preserve">מומלץ לעיריות </w:t>
      </w:r>
      <w:r w:rsidRPr="00F806C3" w:rsidR="004A49C3">
        <w:rPr>
          <w:b/>
          <w:bCs/>
          <w:rtl/>
        </w:rPr>
        <w:t>באר שבע, בית שמש, כפר סבא, נהרייה</w:t>
      </w:r>
      <w:r w:rsidRPr="00F806C3" w:rsidR="004A49C3">
        <w:rPr>
          <w:rtl/>
        </w:rPr>
        <w:t xml:space="preserve"> ו</w:t>
      </w:r>
      <w:r w:rsidRPr="00F806C3" w:rsidR="004A49C3">
        <w:rPr>
          <w:b/>
          <w:bCs/>
          <w:rtl/>
        </w:rPr>
        <w:t>רהט</w:t>
      </w:r>
      <w:r w:rsidRPr="00F806C3" w:rsidR="004A49C3">
        <w:rPr>
          <w:rtl/>
        </w:rPr>
        <w:t xml:space="preserve">, למועצה המקומית </w:t>
      </w:r>
      <w:r w:rsidRPr="00F806C3" w:rsidR="004A49C3">
        <w:rPr>
          <w:b/>
          <w:bCs/>
          <w:rtl/>
        </w:rPr>
        <w:t>גן יבנה</w:t>
      </w:r>
      <w:r w:rsidRPr="00F806C3" w:rsidR="004A49C3">
        <w:rPr>
          <w:rtl/>
        </w:rPr>
        <w:t xml:space="preserve">, למועצה האזורית </w:t>
      </w:r>
      <w:r w:rsidRPr="00F806C3" w:rsidR="004A49C3">
        <w:rPr>
          <w:b/>
          <w:bCs/>
          <w:rtl/>
        </w:rPr>
        <w:t>גזר</w:t>
      </w:r>
      <w:r w:rsidRPr="00F806C3" w:rsidR="004A49C3">
        <w:rPr>
          <w:rtl/>
        </w:rPr>
        <w:t xml:space="preserve"> ולכלל גופי האסדרה השלטוניים להקפיד על איסוף וניהול של נתונים סטטיסטיים הנוגעים ליחידים בהתפלגות מגדרית, ובתוך כך לוודא כי מערכות המידע המשמשות אותם תומכות באיסוף ובניהול של הנתונים כאמור ובשמירה על עדכניותם. מומלץ כי הרשות לקידום מעמד האישה, בהיוועצות עם יתר גופי האסדרה השלטוניים, תעגן בהנחיות את היקף החובות החלות בעניין איסוף וניהול של הנתונים הסטטיסטיים בהתפלגות מגדרית - בזיקה לחובות החלות על הגופים השונים ולמחויבותם לקידום השוויון המגדרי וכן תעגן דרכים אחידות או חלופיות לעמידה בדרישה זו</w:t>
      </w:r>
      <w:r w:rsidRPr="007C7D40">
        <w:rPr>
          <w:rFonts w:hint="cs"/>
          <w:rtl/>
        </w:rPr>
        <w:t>.</w:t>
      </w:r>
    </w:p>
    <w:p w:rsidR="00A36FEA" w:rsidP="00F43EA7" w14:paraId="7B5F59AC" w14:textId="185F26EA">
      <w:pPr>
        <w:pStyle w:val="755"/>
        <w:rPr>
          <w:rtl/>
        </w:rPr>
      </w:pPr>
      <w:r w:rsidRPr="0063556C">
        <w:rPr>
          <w:rStyle w:val="7372"/>
          <w:rFonts w:hint="cs"/>
          <w:noProof/>
          <w:rtl/>
        </w:rPr>
        <w:drawing>
          <wp:anchor distT="0" distB="1440180" distL="107950" distR="114300" simplePos="0" relativeHeight="25170636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46"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F806C3" w:rsidR="00F43EA7">
        <w:rPr>
          <w:rtl/>
        </w:rPr>
        <w:t xml:space="preserve">מומלץ כי משרד הפנים יקדם, בשיתוף הרשות לקידום מעמד האישה, ביצוע פיילוט בכמה רשויות מקומיות לצורך ניתוח מגדרי של תקציביהן, וכי בהתאם לתוצאות הפיילוט יבחן את הצורך במתן הנחיות בנושא. עוד מומלץ לרשות לקידום מעמד האישה לבחון, בשיתוף משרד הפנים, כיצד ניתן להקנות לבעלי התפקידים הרלוונטיים ברשויות </w:t>
      </w:r>
      <w:r w:rsidRPr="00F43EA7" w:rsidR="00F43EA7">
        <w:rPr>
          <w:rtl/>
        </w:rPr>
        <w:t>המקומיות</w:t>
      </w:r>
      <w:r w:rsidRPr="00F806C3" w:rsidR="00F43EA7">
        <w:rPr>
          <w:rtl/>
        </w:rPr>
        <w:t xml:space="preserve">, ובכללם הגזברים, מנהלי יחידות ההון האנושי והיועצות לקידום מעמד האישה, כלים מקצועיים ומשאבים מספקים, לרבות תקציב ייעודי וגישה הולמת לנתונים ולמידע, לצורך עריכת ניתוח מגדרי של התקציב באופן מיטבי ומועיל. מומלץ לעיריות </w:t>
      </w:r>
      <w:r w:rsidRPr="00F806C3" w:rsidR="00F43EA7">
        <w:rPr>
          <w:b/>
          <w:bCs/>
          <w:rtl/>
        </w:rPr>
        <w:t>באר שבע</w:t>
      </w:r>
      <w:r w:rsidRPr="00F806C3" w:rsidR="00F43EA7">
        <w:rPr>
          <w:rtl/>
        </w:rPr>
        <w:t xml:space="preserve">, </w:t>
      </w:r>
      <w:r w:rsidRPr="00F806C3" w:rsidR="00F43EA7">
        <w:rPr>
          <w:b/>
          <w:bCs/>
          <w:rtl/>
        </w:rPr>
        <w:t>בית שמש</w:t>
      </w:r>
      <w:r w:rsidRPr="00F806C3" w:rsidR="00F43EA7">
        <w:rPr>
          <w:rtl/>
        </w:rPr>
        <w:t xml:space="preserve">, </w:t>
      </w:r>
      <w:r w:rsidRPr="00F806C3" w:rsidR="00F43EA7">
        <w:rPr>
          <w:b/>
          <w:bCs/>
          <w:rtl/>
        </w:rPr>
        <w:t>כפר סבא</w:t>
      </w:r>
      <w:r w:rsidRPr="00F806C3" w:rsidR="00F43EA7">
        <w:rPr>
          <w:rtl/>
        </w:rPr>
        <w:t xml:space="preserve"> ו</w:t>
      </w:r>
      <w:r w:rsidRPr="00F806C3" w:rsidR="00F43EA7">
        <w:rPr>
          <w:b/>
          <w:bCs/>
          <w:rtl/>
        </w:rPr>
        <w:t>נהרייה</w:t>
      </w:r>
      <w:r w:rsidRPr="00F806C3" w:rsidR="00F43EA7">
        <w:rPr>
          <w:rtl/>
        </w:rPr>
        <w:t xml:space="preserve">, למועצה המקומית </w:t>
      </w:r>
      <w:r w:rsidRPr="00F806C3" w:rsidR="00F43EA7">
        <w:rPr>
          <w:b/>
          <w:bCs/>
          <w:rtl/>
        </w:rPr>
        <w:t>גן יבנה</w:t>
      </w:r>
      <w:r w:rsidRPr="00F806C3" w:rsidR="00F43EA7">
        <w:rPr>
          <w:rtl/>
        </w:rPr>
        <w:t xml:space="preserve"> ולמועצה האזורית </w:t>
      </w:r>
      <w:r w:rsidRPr="00F806C3" w:rsidR="00F43EA7">
        <w:rPr>
          <w:b/>
          <w:bCs/>
          <w:rtl/>
        </w:rPr>
        <w:t>גזר</w:t>
      </w:r>
      <w:r w:rsidRPr="00F806C3" w:rsidR="00F43EA7">
        <w:rPr>
          <w:rtl/>
        </w:rPr>
        <w:t xml:space="preserve"> - וכן לעיריית </w:t>
      </w:r>
      <w:r w:rsidRPr="00F806C3" w:rsidR="00F43EA7">
        <w:rPr>
          <w:b/>
          <w:bCs/>
          <w:rtl/>
        </w:rPr>
        <w:t>רהט</w:t>
      </w:r>
      <w:r w:rsidRPr="00F806C3" w:rsidR="00F43EA7">
        <w:rPr>
          <w:rtl/>
        </w:rPr>
        <w:t xml:space="preserve">, אם היא תחל בעתיד להעניק תמיכות - כי יקפידו לבחון מדי שנה בשנה את השפעת התבחינים להענקת תמיכות בתחום הספורט על </w:t>
      </w:r>
      <w:r w:rsidRPr="00CA1551" w:rsidR="00CA1551">
        <w:rPr>
          <w:rtl/>
        </w:rPr>
        <w:t>ההתפלגות המגדרית של התמיכות</w:t>
      </w:r>
      <w:r w:rsidRPr="00CA1551" w:rsidR="00CA1551">
        <w:rPr>
          <w:rFonts w:hint="cs"/>
          <w:rtl/>
        </w:rPr>
        <w:t xml:space="preserve"> </w:t>
      </w:r>
      <w:r w:rsidRPr="00F806C3" w:rsidR="00F43EA7">
        <w:rPr>
          <w:rtl/>
        </w:rPr>
        <w:t>- בקרב מקבלי התמיכות בכלל ובקרב ענפי הספורט השונים בפרט - ובהתאם לכך את הצורך בקביעת הסדר לקידום השוויון המגדרי או עדכון ההסדר הקיים. מומלץ למשרד הפנים להנחות את כלל הרשויות המקומיות לבחון ולפרסם בסיומה של כל שנת תקציב את ההתפלגות המגדרית של התמיכות - בכסף ובשווה כסף - שהעניקו למוסדות הציבור הפועלים בתחומן</w:t>
      </w:r>
      <w:r w:rsidRPr="007C7D40">
        <w:rPr>
          <w:rFonts w:hint="cs"/>
          <w:rtl/>
        </w:rPr>
        <w:t>.</w:t>
      </w:r>
    </w:p>
    <w:p w:rsidR="00F43EA7" w:rsidP="00F43EA7" w14:paraId="2B66BE87" w14:textId="286C9023">
      <w:pPr>
        <w:pStyle w:val="755"/>
        <w:rPr>
          <w:rtl/>
        </w:rPr>
      </w:pPr>
      <w:r w:rsidRPr="0063556C">
        <w:rPr>
          <w:rStyle w:val="7372"/>
          <w:rFonts w:hint="cs"/>
          <w:noProof/>
          <w:rtl/>
        </w:rPr>
        <w:drawing>
          <wp:anchor distT="0" distB="1440180" distL="107950" distR="114300" simplePos="0" relativeHeight="25170739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4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F806C3">
        <w:rPr>
          <w:rtl/>
        </w:rPr>
        <w:t xml:space="preserve">על כלל הרשויות המקומיות להקפיד על רציפות באיוש משרת היועצת כנדרש בחוק, לנוכח חיוניות איוש המשרה לקידום הנושאים שבתחומי אחריותה. על העיריות </w:t>
      </w:r>
      <w:r w:rsidRPr="00F806C3">
        <w:rPr>
          <w:b/>
          <w:bCs/>
          <w:rtl/>
        </w:rPr>
        <w:t>טמרה</w:t>
      </w:r>
      <w:r w:rsidRPr="00F806C3">
        <w:rPr>
          <w:rtl/>
        </w:rPr>
        <w:t xml:space="preserve">, </w:t>
      </w:r>
      <w:r w:rsidRPr="00F806C3">
        <w:rPr>
          <w:b/>
          <w:bCs/>
          <w:rtl/>
        </w:rPr>
        <w:t>כפר</w:t>
      </w:r>
      <w:r w:rsidRPr="00F806C3">
        <w:rPr>
          <w:rtl/>
        </w:rPr>
        <w:t xml:space="preserve"> </w:t>
      </w:r>
      <w:r w:rsidRPr="00F806C3">
        <w:rPr>
          <w:b/>
          <w:bCs/>
          <w:rtl/>
        </w:rPr>
        <w:t>קרע</w:t>
      </w:r>
      <w:r w:rsidRPr="00F806C3">
        <w:rPr>
          <w:rtl/>
        </w:rPr>
        <w:t xml:space="preserve"> ו</w:t>
      </w:r>
      <w:r w:rsidRPr="00F806C3">
        <w:rPr>
          <w:b/>
          <w:bCs/>
          <w:rtl/>
        </w:rPr>
        <w:t>נצרת</w:t>
      </w:r>
      <w:r w:rsidRPr="00F806C3">
        <w:rPr>
          <w:rtl/>
        </w:rPr>
        <w:t xml:space="preserve">, המועצות המקומיות </w:t>
      </w:r>
      <w:r w:rsidRPr="00F806C3">
        <w:rPr>
          <w:b/>
          <w:bCs/>
          <w:rtl/>
        </w:rPr>
        <w:t>אכסאל</w:t>
      </w:r>
      <w:r w:rsidRPr="00F806C3">
        <w:rPr>
          <w:rtl/>
        </w:rPr>
        <w:t xml:space="preserve">, </w:t>
      </w:r>
      <w:r w:rsidRPr="00F806C3">
        <w:rPr>
          <w:b/>
          <w:bCs/>
          <w:rtl/>
        </w:rPr>
        <w:t>בסמת</w:t>
      </w:r>
      <w:r w:rsidRPr="00F806C3">
        <w:rPr>
          <w:rtl/>
        </w:rPr>
        <w:t xml:space="preserve"> </w:t>
      </w:r>
      <w:r w:rsidRPr="00F806C3">
        <w:rPr>
          <w:b/>
          <w:bCs/>
          <w:rtl/>
        </w:rPr>
        <w:t>טבעון</w:t>
      </w:r>
      <w:r w:rsidRPr="00F806C3">
        <w:rPr>
          <w:rtl/>
        </w:rPr>
        <w:t xml:space="preserve">, </w:t>
      </w:r>
      <w:r w:rsidRPr="00F806C3">
        <w:rPr>
          <w:b/>
          <w:bCs/>
          <w:rtl/>
        </w:rPr>
        <w:t>ג'דיידה</w:t>
      </w:r>
      <w:r w:rsidRPr="00F806C3">
        <w:rPr>
          <w:b/>
          <w:bCs/>
          <w:rtl/>
        </w:rPr>
        <w:t>-מכר</w:t>
      </w:r>
      <w:r w:rsidRPr="00F806C3">
        <w:rPr>
          <w:rtl/>
        </w:rPr>
        <w:t xml:space="preserve">, </w:t>
      </w:r>
      <w:r w:rsidRPr="00F806C3">
        <w:rPr>
          <w:b/>
          <w:bCs/>
          <w:rtl/>
        </w:rPr>
        <w:t>דיר</w:t>
      </w:r>
      <w:r w:rsidRPr="00F806C3">
        <w:rPr>
          <w:rtl/>
        </w:rPr>
        <w:t xml:space="preserve"> </w:t>
      </w:r>
      <w:r w:rsidRPr="00F806C3">
        <w:rPr>
          <w:b/>
          <w:bCs/>
          <w:rtl/>
        </w:rPr>
        <w:t>חנא</w:t>
      </w:r>
      <w:r w:rsidRPr="00F806C3">
        <w:rPr>
          <w:rtl/>
        </w:rPr>
        <w:t xml:space="preserve">, </w:t>
      </w:r>
      <w:r w:rsidRPr="00F806C3">
        <w:rPr>
          <w:b/>
          <w:bCs/>
          <w:rtl/>
        </w:rPr>
        <w:t>טובא-זנגרייה</w:t>
      </w:r>
      <w:r w:rsidRPr="00F806C3">
        <w:rPr>
          <w:rtl/>
        </w:rPr>
        <w:t xml:space="preserve">, </w:t>
      </w:r>
      <w:r w:rsidRPr="00F806C3">
        <w:rPr>
          <w:b/>
          <w:bCs/>
          <w:rtl/>
        </w:rPr>
        <w:t>מסעדה</w:t>
      </w:r>
      <w:r w:rsidRPr="00F806C3">
        <w:rPr>
          <w:rtl/>
        </w:rPr>
        <w:t xml:space="preserve">, </w:t>
      </w:r>
      <w:r w:rsidRPr="00F806C3">
        <w:rPr>
          <w:b/>
          <w:bCs/>
          <w:rtl/>
        </w:rPr>
        <w:t>פסוטה</w:t>
      </w:r>
      <w:r w:rsidRPr="00F806C3">
        <w:rPr>
          <w:rtl/>
        </w:rPr>
        <w:t xml:space="preserve"> ו</w:t>
      </w:r>
      <w:r w:rsidRPr="00F806C3">
        <w:rPr>
          <w:b/>
          <w:bCs/>
          <w:rtl/>
        </w:rPr>
        <w:t>פקיעין (</w:t>
      </w:r>
      <w:r w:rsidRPr="00F806C3">
        <w:rPr>
          <w:b/>
          <w:bCs/>
          <w:rtl/>
        </w:rPr>
        <w:t>בוקייעה</w:t>
      </w:r>
      <w:r w:rsidRPr="00F806C3">
        <w:rPr>
          <w:b/>
          <w:bCs/>
          <w:rtl/>
        </w:rPr>
        <w:t>)</w:t>
      </w:r>
      <w:r w:rsidRPr="00F806C3">
        <w:rPr>
          <w:rtl/>
        </w:rPr>
        <w:t xml:space="preserve"> והמועצה האזורית </w:t>
      </w:r>
      <w:r w:rsidRPr="00F806C3">
        <w:rPr>
          <w:b/>
          <w:bCs/>
          <w:rtl/>
        </w:rPr>
        <w:t>זבולון</w:t>
      </w:r>
      <w:r w:rsidRPr="00F806C3">
        <w:rPr>
          <w:rtl/>
        </w:rPr>
        <w:t xml:space="preserve"> לאייש את משרת היועצת כמחויב בחוק וכן להעמיד מקור תקציבי לתשלום השכר או הגמול הכספי </w:t>
      </w:r>
      <w:r w:rsidRPr="00F806C3">
        <w:rPr>
          <w:rtl/>
        </w:rPr>
        <w:t xml:space="preserve">בגין איוש המשרה. על שר הפנים לפעול בהתאם לחובתו בחוק ולהורות למועצות המקומיות </w:t>
      </w:r>
      <w:r w:rsidRPr="00F806C3">
        <w:rPr>
          <w:b/>
          <w:bCs/>
          <w:rtl/>
        </w:rPr>
        <w:t>אכסאל</w:t>
      </w:r>
      <w:r w:rsidRPr="00F806C3">
        <w:rPr>
          <w:rtl/>
        </w:rPr>
        <w:t xml:space="preserve"> ו</w:t>
      </w:r>
      <w:r w:rsidRPr="00F806C3">
        <w:rPr>
          <w:b/>
          <w:bCs/>
          <w:rtl/>
        </w:rPr>
        <w:t xml:space="preserve">דיר </w:t>
      </w:r>
      <w:r w:rsidRPr="00F806C3">
        <w:rPr>
          <w:b/>
          <w:bCs/>
          <w:rtl/>
        </w:rPr>
        <w:t>חנא</w:t>
      </w:r>
      <w:r w:rsidRPr="00F806C3">
        <w:rPr>
          <w:b/>
          <w:bCs/>
          <w:rtl/>
        </w:rPr>
        <w:t xml:space="preserve"> </w:t>
      </w:r>
      <w:r w:rsidRPr="00F806C3">
        <w:rPr>
          <w:rtl/>
        </w:rPr>
        <w:t xml:space="preserve">ולמועצה האזורית </w:t>
      </w:r>
      <w:r w:rsidRPr="00F806C3">
        <w:rPr>
          <w:b/>
          <w:bCs/>
          <w:rtl/>
        </w:rPr>
        <w:t>זבולון</w:t>
      </w:r>
      <w:r w:rsidRPr="00F806C3">
        <w:rPr>
          <w:rtl/>
        </w:rPr>
        <w:t xml:space="preserve">, שלא מינו יועצת כמחויב בחוק לפחות ארבע שנים ועד תשע שנים, למנות יועצת ללא דיחוי. במקום שלא מונתה יועצת על אף הוראתו של שר הפנים, עליו לפעול למינוי יועצת בהתאם למנגנון הקבוע בחוק. לצד האמור, מומלץ כי משרד הפנים יבחן שימוש בכלים </w:t>
      </w:r>
      <w:r w:rsidRPr="00F43EA7">
        <w:rPr>
          <w:rtl/>
        </w:rPr>
        <w:t>נוספים</w:t>
      </w:r>
      <w:r w:rsidRPr="00F806C3">
        <w:rPr>
          <w:rtl/>
        </w:rPr>
        <w:t>, מתונים יותר, לעודד רשויות מקומיות לאייש את משרת היועצת בסמוך ככל הניתן למועד שבו התפנתה המשרה. עוד מומלץ למשרד הפנים להשלים ולעדכן, בשיתוף הרשות לקידום מעמד האישה, את גיבוש תפיסת תפקיד היועצת לקידום מעמד האישה, כחלק מתיאור תפקיד היועצת שמפרסם משרד הפנים, כך שתכלול התייחסות למכלול ההיבטים הנוגעים למילוי התפקיד</w:t>
      </w:r>
      <w:r w:rsidRPr="007C7D40">
        <w:rPr>
          <w:rFonts w:hint="cs"/>
          <w:rtl/>
        </w:rPr>
        <w:t>.</w:t>
      </w:r>
    </w:p>
    <w:p w:rsidR="00F43EA7" w:rsidP="00D9054D" w14:paraId="50C0C300" w14:textId="79CD9A4B">
      <w:pPr>
        <w:pStyle w:val="755"/>
        <w:rPr>
          <w:rtl/>
        </w:rPr>
      </w:pPr>
      <w:r w:rsidRPr="0063556C">
        <w:rPr>
          <w:rStyle w:val="7372"/>
          <w:rFonts w:hint="cs"/>
          <w:noProof/>
          <w:rtl/>
        </w:rPr>
        <w:drawing>
          <wp:anchor distT="0" distB="1440180" distL="107950" distR="114300" simplePos="0" relativeHeight="25170841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51"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63556C">
        <w:rPr>
          <w:rStyle w:val="7372"/>
          <w:rFonts w:hint="cs"/>
          <w:noProof/>
          <w:rtl/>
        </w:rPr>
        <w:drawing>
          <wp:anchor distT="0" distB="1440180" distL="107950" distR="114300" simplePos="0" relativeHeight="251709440"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5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F806C3" w:rsidR="00F04FA5">
        <w:rPr>
          <w:rtl/>
        </w:rPr>
        <w:t>מומלץ כי משרד הפנים יקבע בהנחיות או בחוזר מנכ"ל את היקפי ההעסקה המזעריים המחייבים בהעסקתן של היועצות לקידום מעמד האישה, בהתחשב במספר התושבים ובמספר היישובים שבתחום הרשות המקומית. כמו כן, מומלץ למשרד הפנים לבחון את הצורך להנחות את הרשויות המקומיות בדבר השיקולים שעליהן לשקול, אם החליטו למנות את היועצת מקרב עובדות העירייה, ובכלל זה את היקף הזמן הדרוש לביצוע המשימות הכרוכות במילוי תפקיד היועצת לצד התפקיד האחר וכן את סוג התפקיד האחר והמחויבות הכרוכה בו כלפי עובדי הרשות המקומית ואם תפקיד זה עלול להעמיד את היועצת במצב של ניגוד עניינים שימנע ממנה למלא את שני התפקידים שהוטלו עליה באופן מלא ומיטבי. על משרד הפנים והרשות לקידום מעמד האישה להסדיר את חלוקת האחריות ביניהם בנוגע להנחיית הרשויות המקומיות בנושאים הנוגעים לתנאי העסקתה של היועצת וכן בנוגע לבקרה על קיום ההנחיות הללו</w:t>
      </w:r>
      <w:r w:rsidRPr="007C7D40">
        <w:rPr>
          <w:rFonts w:hint="cs"/>
          <w:rtl/>
        </w:rPr>
        <w:t>.</w:t>
      </w:r>
    </w:p>
    <w:p w:rsidR="00F43EA7" w:rsidP="00F43EA7" w14:paraId="76452CED" w14:textId="0BBDEA9E">
      <w:pPr>
        <w:pStyle w:val="755"/>
        <w:rPr>
          <w:rtl/>
        </w:rPr>
      </w:pPr>
      <w:r w:rsidRPr="0063556C">
        <w:rPr>
          <w:rStyle w:val="7372"/>
          <w:rFonts w:hint="cs"/>
          <w:noProof/>
          <w:rtl/>
        </w:rPr>
        <w:drawing>
          <wp:anchor distT="0" distB="1440180" distL="107950" distR="114300" simplePos="0" relativeHeight="25171046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5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63556C">
        <w:rPr>
          <w:rStyle w:val="7372"/>
          <w:rFonts w:hint="cs"/>
          <w:noProof/>
          <w:rtl/>
        </w:rPr>
        <w:drawing>
          <wp:anchor distT="0" distB="1440180" distL="107950" distR="114300" simplePos="0" relativeHeight="25171148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55"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F806C3">
        <w:rPr>
          <w:rtl/>
        </w:rPr>
        <w:t xml:space="preserve">מומלץ לממונה על השכר לבחון, בשיתוף משרד הפנים והרשות לקידום מעמד האישה, כיצד ניתן להבטיח את עצם מתן התגמול הכספי אשר לו זכאיות לפי החוק היועצות לקידום מעמד </w:t>
      </w:r>
      <w:r w:rsidRPr="00F43EA7">
        <w:rPr>
          <w:rtl/>
        </w:rPr>
        <w:t>האישה</w:t>
      </w:r>
      <w:r w:rsidRPr="00F806C3">
        <w:rPr>
          <w:rtl/>
        </w:rPr>
        <w:t>, ללא קשר לאופן העסקתן, וכן כי גובה התגמול ישקף באופן הולם וראוי את המשימות הנוספות המוטלות עליהן מתוקף תפקידן כיועצות. עוד מומלץ לו לבחון עד כמה המנגנונים שנקבעו להסדרת תשלום התגמול הכספי ליועצות מספקים מענה מלא ומיטבי לכלל צורות ואופני ההעסקה של היועצות ברשויות המקומיות</w:t>
      </w:r>
      <w:r w:rsidRPr="007C7D40">
        <w:rPr>
          <w:rFonts w:hint="cs"/>
          <w:rtl/>
        </w:rPr>
        <w:t>.</w:t>
      </w:r>
    </w:p>
    <w:p w:rsidR="00D9054D" w14:paraId="16A46F91" w14:textId="698CE9AD">
      <w:pPr>
        <w:bidi w:val="0"/>
        <w:spacing w:after="200" w:line="276" w:lineRule="auto"/>
        <w:rPr>
          <w:rFonts w:ascii="Tahoma" w:hAnsi="Tahoma" w:cs="Tahoma"/>
          <w:color w:val="0D0D0D" w:themeColor="text1" w:themeTint="F2"/>
          <w:sz w:val="18"/>
          <w:szCs w:val="18"/>
        </w:rPr>
      </w:pPr>
      <w:r>
        <w:rPr>
          <w:rFonts w:ascii="Tahoma" w:hAnsi="Tahoma" w:cs="Tahoma"/>
          <w:color w:val="0D0D0D" w:themeColor="text1" w:themeTint="F2"/>
          <w:sz w:val="18"/>
          <w:szCs w:val="18"/>
        </w:rPr>
        <w:br w:type="page"/>
      </w:r>
    </w:p>
    <w:p w:rsidR="005D0F8C" w:rsidP="00D9054D" w14:paraId="757FD3ED" w14:textId="0377F46F">
      <w:pPr>
        <w:pStyle w:val="755"/>
        <w:rPr>
          <w:rtl/>
        </w:rPr>
      </w:pPr>
      <w:r w:rsidRPr="00D527BD">
        <w:rPr>
          <w:noProof/>
          <w:szCs w:val="20"/>
          <w:rtl/>
        </w:rPr>
        <w:drawing>
          <wp:anchor distT="0" distB="0" distL="114300" distR="114300" simplePos="0" relativeHeight="251674624" behindDoc="0" locked="0" layoutInCell="1" allowOverlap="1">
            <wp:simplePos x="0" y="0"/>
            <wp:positionH relativeFrom="column">
              <wp:posOffset>-56515</wp:posOffset>
            </wp:positionH>
            <wp:positionV relativeFrom="paragraph">
              <wp:posOffset>26974</wp:posOffset>
            </wp:positionV>
            <wp:extent cx="4762376" cy="922351"/>
            <wp:effectExtent l="0" t="0" r="635"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62376" cy="922351"/>
                    </a:xfrm>
                    <a:prstGeom prst="rect">
                      <a:avLst/>
                    </a:prstGeom>
                  </pic:spPr>
                </pic:pic>
              </a:graphicData>
            </a:graphic>
            <wp14:sizeRelH relativeFrom="margin">
              <wp14:pctWidth>0</wp14:pctWidth>
            </wp14:sizeRelH>
            <wp14:sizeRelV relativeFrom="margin">
              <wp14:pctHeight>0</wp14:pctHeight>
            </wp14:sizeRelV>
          </wp:anchor>
        </w:drawing>
      </w:r>
      <w:r w:rsidRPr="00D527BD">
        <w:rPr>
          <w:noProof/>
          <w:szCs w:val="20"/>
          <w:rtl/>
        </w:rPr>
        <mc:AlternateContent>
          <mc:Choice Requires="wps">
            <w:drawing>
              <wp:anchor distT="0" distB="0" distL="114300" distR="114300" simplePos="0" relativeHeight="251675648" behindDoc="0" locked="0" layoutInCell="1" allowOverlap="1">
                <wp:simplePos x="0" y="0"/>
                <wp:positionH relativeFrom="column">
                  <wp:posOffset>78519</wp:posOffset>
                </wp:positionH>
                <wp:positionV relativeFrom="paragraph">
                  <wp:posOffset>99115</wp:posOffset>
                </wp:positionV>
                <wp:extent cx="4436745" cy="620202"/>
                <wp:effectExtent l="0" t="0" r="1905" b="889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620202"/>
                        </a:xfrm>
                        <a:prstGeom prst="rect">
                          <a:avLst/>
                        </a:prstGeom>
                        <a:solidFill>
                          <a:srgbClr val="F05260"/>
                        </a:solidFill>
                        <a:ln w="9525">
                          <a:noFill/>
                          <a:miter lim="800000"/>
                          <a:headEnd/>
                          <a:tailEnd/>
                        </a:ln>
                      </wps:spPr>
                      <wps:txbx>
                        <w:txbxContent>
                          <w:p w:rsidR="005D0F8C" w:rsidRPr="005C7ABF" w:rsidP="00172E36" w14:textId="567598EE">
                            <w:pPr>
                              <w:spacing w:line="240" w:lineRule="auto"/>
                              <w:jc w:val="left"/>
                              <w:rPr>
                                <w:rtl/>
                              </w:rPr>
                            </w:pPr>
                            <w:r w:rsidRPr="00E9702A">
                              <w:rPr>
                                <w:rFonts w:ascii="Tahoma" w:hAnsi="Tahoma" w:cs="Tahoma"/>
                                <w:b/>
                                <w:bCs/>
                                <w:color w:val="FFFFFF" w:themeColor="background1"/>
                                <w:sz w:val="18"/>
                                <w:szCs w:val="22"/>
                                <w:rtl/>
                              </w:rPr>
                              <w:t xml:space="preserve">הפערים בין גברים לנשים </w:t>
                            </w:r>
                            <w:r w:rsidRPr="00E9702A">
                              <w:rPr>
                                <w:rFonts w:ascii="Tahoma" w:hAnsi="Tahoma" w:cs="Tahoma" w:hint="cs"/>
                                <w:b/>
                                <w:bCs/>
                                <w:color w:val="FFFFFF" w:themeColor="background1"/>
                                <w:sz w:val="18"/>
                                <w:szCs w:val="22"/>
                                <w:rtl/>
                              </w:rPr>
                              <w:t>במחוונים</w:t>
                            </w:r>
                            <w:r w:rsidRPr="00E9702A">
                              <w:rPr>
                                <w:rFonts w:ascii="Tahoma" w:hAnsi="Tahoma" w:cs="Tahoma"/>
                                <w:b/>
                                <w:bCs/>
                                <w:color w:val="FFFFFF" w:themeColor="background1"/>
                                <w:sz w:val="18"/>
                                <w:szCs w:val="22"/>
                                <w:rtl/>
                              </w:rPr>
                              <w:t xml:space="preserve"> נבחרים בנושאי </w:t>
                            </w:r>
                            <w:r w:rsidRPr="00E9702A">
                              <w:rPr>
                                <w:rFonts w:ascii="Tahoma" w:hAnsi="Tahoma" w:cs="Tahoma" w:hint="cs"/>
                                <w:b/>
                                <w:bCs/>
                                <w:color w:val="FFFFFF" w:themeColor="background1"/>
                                <w:sz w:val="18"/>
                                <w:szCs w:val="22"/>
                                <w:rtl/>
                              </w:rPr>
                              <w:t>ה</w:t>
                            </w:r>
                            <w:r w:rsidRPr="00E9702A">
                              <w:rPr>
                                <w:rFonts w:ascii="Tahoma" w:hAnsi="Tahoma" w:cs="Tahoma"/>
                                <w:b/>
                                <w:bCs/>
                                <w:color w:val="FFFFFF" w:themeColor="background1"/>
                                <w:sz w:val="18"/>
                                <w:szCs w:val="22"/>
                                <w:rtl/>
                              </w:rPr>
                              <w:t xml:space="preserve">רווחה, </w:t>
                            </w:r>
                            <w:r w:rsidRPr="00E9702A">
                              <w:rPr>
                                <w:rFonts w:ascii="Tahoma" w:hAnsi="Tahoma" w:cs="Tahoma" w:hint="cs"/>
                                <w:b/>
                                <w:bCs/>
                                <w:color w:val="FFFFFF" w:themeColor="background1"/>
                                <w:sz w:val="18"/>
                                <w:szCs w:val="22"/>
                                <w:rtl/>
                              </w:rPr>
                              <w:t>ה</w:t>
                            </w:r>
                            <w:r w:rsidRPr="00E9702A">
                              <w:rPr>
                                <w:rFonts w:ascii="Tahoma" w:hAnsi="Tahoma" w:cs="Tahoma"/>
                                <w:b/>
                                <w:bCs/>
                                <w:color w:val="FFFFFF" w:themeColor="background1"/>
                                <w:sz w:val="18"/>
                                <w:szCs w:val="22"/>
                                <w:rtl/>
                              </w:rPr>
                              <w:t xml:space="preserve">השכלה, </w:t>
                            </w:r>
                            <w:r w:rsidRPr="00E9702A">
                              <w:rPr>
                                <w:rFonts w:ascii="Tahoma" w:hAnsi="Tahoma" w:cs="Tahoma" w:hint="cs"/>
                                <w:b/>
                                <w:bCs/>
                                <w:color w:val="FFFFFF" w:themeColor="background1"/>
                                <w:sz w:val="18"/>
                                <w:szCs w:val="22"/>
                                <w:rtl/>
                              </w:rPr>
                              <w:t>ה</w:t>
                            </w:r>
                            <w:r w:rsidRPr="00E9702A">
                              <w:rPr>
                                <w:rFonts w:ascii="Tahoma" w:hAnsi="Tahoma" w:cs="Tahoma"/>
                                <w:b/>
                                <w:bCs/>
                                <w:color w:val="FFFFFF" w:themeColor="background1"/>
                                <w:sz w:val="18"/>
                                <w:szCs w:val="22"/>
                                <w:rtl/>
                              </w:rPr>
                              <w:t>שכר ו</w:t>
                            </w:r>
                            <w:r w:rsidRPr="00E9702A">
                              <w:rPr>
                                <w:rFonts w:ascii="Tahoma" w:hAnsi="Tahoma" w:cs="Tahoma" w:hint="cs"/>
                                <w:b/>
                                <w:bCs/>
                                <w:color w:val="FFFFFF" w:themeColor="background1"/>
                                <w:sz w:val="18"/>
                                <w:szCs w:val="22"/>
                                <w:rtl/>
                              </w:rPr>
                              <w:t>ה</w:t>
                            </w:r>
                            <w:r w:rsidRPr="00E9702A">
                              <w:rPr>
                                <w:rFonts w:ascii="Tahoma" w:hAnsi="Tahoma" w:cs="Tahoma"/>
                                <w:b/>
                                <w:bCs/>
                                <w:color w:val="FFFFFF" w:themeColor="background1"/>
                                <w:sz w:val="18"/>
                                <w:szCs w:val="22"/>
                                <w:rtl/>
                              </w:rPr>
                              <w:t xml:space="preserve">תעסוקה ברשויות המקומיות </w:t>
                            </w:r>
                            <w:r w:rsidRPr="00E9702A">
                              <w:rPr>
                                <w:rFonts w:ascii="Tahoma" w:hAnsi="Tahoma" w:cs="Tahoma" w:hint="cs"/>
                                <w:b/>
                                <w:bCs/>
                                <w:color w:val="FFFFFF" w:themeColor="background1"/>
                                <w:sz w:val="18"/>
                                <w:szCs w:val="22"/>
                                <w:rtl/>
                              </w:rPr>
                              <w:t>שנבדקו</w:t>
                            </w:r>
                            <w:r w:rsidRPr="00E9702A">
                              <w:rPr>
                                <w:rFonts w:ascii="Tahoma" w:hAnsi="Tahoma" w:cs="Tahoma"/>
                                <w:b/>
                                <w:bCs/>
                                <w:color w:val="FFFFFF" w:themeColor="background1"/>
                                <w:sz w:val="18"/>
                                <w:szCs w:val="22"/>
                                <w:rtl/>
                              </w:rPr>
                              <w:t>, נכון למועד סיום הביקורת*</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49.35pt;height:48.85pt;margin-top:7.8pt;margin-left:6.2pt;mso-height-percent:0;mso-height-relative:margin;mso-width-percent:0;mso-width-relative:margin;mso-wrap-distance-bottom:0;mso-wrap-distance-left:9pt;mso-wrap-distance-right:9pt;mso-wrap-distance-top:0;mso-wrap-style:square;position:absolute;visibility:visible;v-text-anchor:middle;z-index:251676672" fillcolor="#f05260" stroked="f">
                <v:textbox>
                  <w:txbxContent>
                    <w:p w:rsidR="005D0F8C" w:rsidRPr="005C7ABF" w:rsidP="00172E36" w14:paraId="0FF11C30" w14:textId="567598EE">
                      <w:pPr>
                        <w:spacing w:line="240" w:lineRule="auto"/>
                        <w:jc w:val="left"/>
                        <w:rPr>
                          <w:rtl/>
                        </w:rPr>
                      </w:pPr>
                      <w:r w:rsidRPr="00E9702A">
                        <w:rPr>
                          <w:rFonts w:ascii="Tahoma" w:hAnsi="Tahoma" w:cs="Tahoma"/>
                          <w:b/>
                          <w:bCs/>
                          <w:color w:val="FFFFFF" w:themeColor="background1"/>
                          <w:sz w:val="18"/>
                          <w:szCs w:val="22"/>
                          <w:rtl/>
                        </w:rPr>
                        <w:t xml:space="preserve">הפערים בין גברים לנשים </w:t>
                      </w:r>
                      <w:r w:rsidRPr="00E9702A">
                        <w:rPr>
                          <w:rFonts w:ascii="Tahoma" w:hAnsi="Tahoma" w:cs="Tahoma" w:hint="cs"/>
                          <w:b/>
                          <w:bCs/>
                          <w:color w:val="FFFFFF" w:themeColor="background1"/>
                          <w:sz w:val="18"/>
                          <w:szCs w:val="22"/>
                          <w:rtl/>
                        </w:rPr>
                        <w:t>במחוונים</w:t>
                      </w:r>
                      <w:r w:rsidRPr="00E9702A">
                        <w:rPr>
                          <w:rFonts w:ascii="Tahoma" w:hAnsi="Tahoma" w:cs="Tahoma"/>
                          <w:b/>
                          <w:bCs/>
                          <w:color w:val="FFFFFF" w:themeColor="background1"/>
                          <w:sz w:val="18"/>
                          <w:szCs w:val="22"/>
                          <w:rtl/>
                        </w:rPr>
                        <w:t xml:space="preserve"> נבחרים בנושאי </w:t>
                      </w:r>
                      <w:r w:rsidRPr="00E9702A">
                        <w:rPr>
                          <w:rFonts w:ascii="Tahoma" w:hAnsi="Tahoma" w:cs="Tahoma" w:hint="cs"/>
                          <w:b/>
                          <w:bCs/>
                          <w:color w:val="FFFFFF" w:themeColor="background1"/>
                          <w:sz w:val="18"/>
                          <w:szCs w:val="22"/>
                          <w:rtl/>
                        </w:rPr>
                        <w:t>ה</w:t>
                      </w:r>
                      <w:r w:rsidRPr="00E9702A">
                        <w:rPr>
                          <w:rFonts w:ascii="Tahoma" w:hAnsi="Tahoma" w:cs="Tahoma"/>
                          <w:b/>
                          <w:bCs/>
                          <w:color w:val="FFFFFF" w:themeColor="background1"/>
                          <w:sz w:val="18"/>
                          <w:szCs w:val="22"/>
                          <w:rtl/>
                        </w:rPr>
                        <w:t xml:space="preserve">רווחה, </w:t>
                      </w:r>
                      <w:r w:rsidRPr="00E9702A">
                        <w:rPr>
                          <w:rFonts w:ascii="Tahoma" w:hAnsi="Tahoma" w:cs="Tahoma" w:hint="cs"/>
                          <w:b/>
                          <w:bCs/>
                          <w:color w:val="FFFFFF" w:themeColor="background1"/>
                          <w:sz w:val="18"/>
                          <w:szCs w:val="22"/>
                          <w:rtl/>
                        </w:rPr>
                        <w:t>ה</w:t>
                      </w:r>
                      <w:r w:rsidRPr="00E9702A">
                        <w:rPr>
                          <w:rFonts w:ascii="Tahoma" w:hAnsi="Tahoma" w:cs="Tahoma"/>
                          <w:b/>
                          <w:bCs/>
                          <w:color w:val="FFFFFF" w:themeColor="background1"/>
                          <w:sz w:val="18"/>
                          <w:szCs w:val="22"/>
                          <w:rtl/>
                        </w:rPr>
                        <w:t xml:space="preserve">השכלה, </w:t>
                      </w:r>
                      <w:r w:rsidRPr="00E9702A">
                        <w:rPr>
                          <w:rFonts w:ascii="Tahoma" w:hAnsi="Tahoma" w:cs="Tahoma" w:hint="cs"/>
                          <w:b/>
                          <w:bCs/>
                          <w:color w:val="FFFFFF" w:themeColor="background1"/>
                          <w:sz w:val="18"/>
                          <w:szCs w:val="22"/>
                          <w:rtl/>
                        </w:rPr>
                        <w:t>ה</w:t>
                      </w:r>
                      <w:r w:rsidRPr="00E9702A">
                        <w:rPr>
                          <w:rFonts w:ascii="Tahoma" w:hAnsi="Tahoma" w:cs="Tahoma"/>
                          <w:b/>
                          <w:bCs/>
                          <w:color w:val="FFFFFF" w:themeColor="background1"/>
                          <w:sz w:val="18"/>
                          <w:szCs w:val="22"/>
                          <w:rtl/>
                        </w:rPr>
                        <w:t>שכר ו</w:t>
                      </w:r>
                      <w:r w:rsidRPr="00E9702A">
                        <w:rPr>
                          <w:rFonts w:ascii="Tahoma" w:hAnsi="Tahoma" w:cs="Tahoma" w:hint="cs"/>
                          <w:b/>
                          <w:bCs/>
                          <w:color w:val="FFFFFF" w:themeColor="background1"/>
                          <w:sz w:val="18"/>
                          <w:szCs w:val="22"/>
                          <w:rtl/>
                        </w:rPr>
                        <w:t>ה</w:t>
                      </w:r>
                      <w:r w:rsidRPr="00E9702A">
                        <w:rPr>
                          <w:rFonts w:ascii="Tahoma" w:hAnsi="Tahoma" w:cs="Tahoma"/>
                          <w:b/>
                          <w:bCs/>
                          <w:color w:val="FFFFFF" w:themeColor="background1"/>
                          <w:sz w:val="18"/>
                          <w:szCs w:val="22"/>
                          <w:rtl/>
                        </w:rPr>
                        <w:t xml:space="preserve">תעסוקה ברשויות המקומיות </w:t>
                      </w:r>
                      <w:r w:rsidRPr="00E9702A">
                        <w:rPr>
                          <w:rFonts w:ascii="Tahoma" w:hAnsi="Tahoma" w:cs="Tahoma" w:hint="cs"/>
                          <w:b/>
                          <w:bCs/>
                          <w:color w:val="FFFFFF" w:themeColor="background1"/>
                          <w:sz w:val="18"/>
                          <w:szCs w:val="22"/>
                          <w:rtl/>
                        </w:rPr>
                        <w:t>שנבדקו</w:t>
                      </w:r>
                      <w:r w:rsidRPr="00E9702A">
                        <w:rPr>
                          <w:rFonts w:ascii="Tahoma" w:hAnsi="Tahoma" w:cs="Tahoma"/>
                          <w:b/>
                          <w:bCs/>
                          <w:color w:val="FFFFFF" w:themeColor="background1"/>
                          <w:sz w:val="18"/>
                          <w:szCs w:val="22"/>
                          <w:rtl/>
                        </w:rPr>
                        <w:t>, נכון למועד סיום הביקורת*</w:t>
                      </w:r>
                    </w:p>
                  </w:txbxContent>
                </v:textbox>
              </v:shape>
            </w:pict>
          </mc:Fallback>
        </mc:AlternateContent>
      </w:r>
      <w:r w:rsidR="00235CF1">
        <w:rPr>
          <w:rtl/>
        </w:rPr>
        <w:t xml:space="preserve"> </w:t>
      </w:r>
    </w:p>
    <w:p w:rsidR="005D0F8C" w:rsidP="005D0F8C" w14:paraId="43F21067" w14:textId="1CEAD7DE">
      <w:pPr>
        <w:pStyle w:val="7314"/>
        <w:rPr>
          <w:rFonts w:eastAsia="Calibri"/>
          <w:noProof/>
          <w:sz w:val="19"/>
          <w:szCs w:val="19"/>
          <w:rtl/>
        </w:rPr>
      </w:pPr>
    </w:p>
    <w:p w:rsidR="00D9054D" w:rsidP="005D0F8C" w14:paraId="078C8FA2" w14:textId="73210585">
      <w:pPr>
        <w:pStyle w:val="7314"/>
        <w:rPr>
          <w:rFonts w:eastAsia="Calibri"/>
          <w:noProof/>
          <w:sz w:val="19"/>
          <w:szCs w:val="19"/>
          <w:rtl/>
        </w:rPr>
      </w:pPr>
      <w:r>
        <w:rPr>
          <w:noProof/>
        </w:rPr>
        <w:drawing>
          <wp:anchor distT="0" distB="0" distL="114300" distR="114300" simplePos="0" relativeHeight="251721728" behindDoc="0" locked="0" layoutInCell="1" allowOverlap="1">
            <wp:simplePos x="0" y="0"/>
            <wp:positionH relativeFrom="column">
              <wp:posOffset>191770</wp:posOffset>
            </wp:positionH>
            <wp:positionV relativeFrom="paragraph">
              <wp:posOffset>303530</wp:posOffset>
            </wp:positionV>
            <wp:extent cx="4319270" cy="3519805"/>
            <wp:effectExtent l="0" t="0" r="5080" b="4445"/>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rcRect t="1365" b="4095"/>
                    <a:stretch>
                      <a:fillRect/>
                    </a:stretch>
                  </pic:blipFill>
                  <pic:spPr bwMode="auto">
                    <a:xfrm>
                      <a:off x="0" y="0"/>
                      <a:ext cx="4319270" cy="351980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353DB" w:rsidRPr="006C75D4" w:rsidP="00593C04" w14:paraId="19673691" w14:textId="2239C006">
      <w:pPr>
        <w:pStyle w:val="751"/>
        <w:spacing w:before="240" w:after="120" w:line="200" w:lineRule="exact"/>
        <w:rPr>
          <w:rtl/>
        </w:rPr>
      </w:pPr>
      <w:r w:rsidRPr="006C75D4">
        <w:rPr>
          <w:rtl/>
        </w:rPr>
        <w:t xml:space="preserve">על פי נתוני </w:t>
      </w:r>
      <w:r w:rsidRPr="006C75D4">
        <w:rPr>
          <w:rtl/>
        </w:rPr>
        <w:t>הלמ"ס</w:t>
      </w:r>
      <w:r w:rsidRPr="006C75D4">
        <w:rPr>
          <w:rtl/>
        </w:rPr>
        <w:t>, בעיבוד משרד מבקר המדינה.</w:t>
      </w:r>
    </w:p>
    <w:p w:rsidR="003353DB" w:rsidRPr="006C75D4" w:rsidP="00593C04" w14:paraId="27A50E2D" w14:textId="3AC5360C">
      <w:pPr>
        <w:pStyle w:val="751"/>
        <w:spacing w:before="0" w:after="0" w:line="200" w:lineRule="exact"/>
        <w:ind w:left="357" w:hanging="357"/>
        <w:rPr>
          <w:rtl/>
        </w:rPr>
      </w:pPr>
      <w:r w:rsidRPr="006C75D4">
        <w:rPr>
          <w:rtl/>
        </w:rPr>
        <w:t xml:space="preserve">* </w:t>
      </w:r>
      <w:r w:rsidRPr="006C75D4">
        <w:rPr>
          <w:rtl/>
        </w:rPr>
        <w:tab/>
        <w:t xml:space="preserve">המחוונים מתייחסים לנושאים שלהם השפעה ברורה על השוויון המגדרי. הפער מחושב כהפרש (בסוגריים - הפרש שלילי) בין גברים לנשים בהיקף התופעה בנושא שנבדק כשיעור מהיקף התופעה בקרב הגברים. </w:t>
      </w:r>
    </w:p>
    <w:p w:rsidR="003353DB" w:rsidRPr="006C75D4" w:rsidP="00593C04" w14:paraId="5BFFE32F" w14:textId="77777777">
      <w:pPr>
        <w:pStyle w:val="ListParagraph"/>
        <w:numPr>
          <w:ilvl w:val="0"/>
          <w:numId w:val="35"/>
        </w:numPr>
        <w:spacing w:after="120" w:line="200" w:lineRule="exact"/>
        <w:ind w:left="357" w:hanging="357"/>
        <w:rPr>
          <w:rFonts w:ascii="Tahoma" w:hAnsi="Tahoma" w:cs="Tahoma"/>
          <w:sz w:val="16"/>
          <w:szCs w:val="16"/>
          <w:rtl/>
        </w:rPr>
      </w:pPr>
      <w:r w:rsidRPr="006C75D4">
        <w:rPr>
          <w:rFonts w:ascii="Tahoma" w:hAnsi="Tahoma" w:cs="Tahoma"/>
          <w:sz w:val="16"/>
          <w:szCs w:val="16"/>
          <w:rtl/>
        </w:rPr>
        <w:t>פניות על רקע התמכרות או אלימות - מי שרשומים במחלקה לשירותים חברתיים ברשות המקומית כזקוקים לטיפול בתחום ההתמכרות או בתחום האלימות.</w:t>
      </w:r>
    </w:p>
    <w:p w:rsidR="003353DB" w:rsidRPr="006C75D4" w:rsidP="00593C04" w14:paraId="45EA0D8B" w14:textId="77777777">
      <w:pPr>
        <w:pStyle w:val="ListParagraph"/>
        <w:numPr>
          <w:ilvl w:val="0"/>
          <w:numId w:val="35"/>
        </w:numPr>
        <w:spacing w:before="120" w:after="120" w:line="200" w:lineRule="exact"/>
        <w:ind w:left="357" w:hanging="357"/>
        <w:rPr>
          <w:rFonts w:ascii="Tahoma" w:hAnsi="Tahoma" w:cs="Tahoma"/>
          <w:sz w:val="16"/>
          <w:szCs w:val="16"/>
          <w:rtl/>
        </w:rPr>
      </w:pPr>
      <w:r w:rsidRPr="006C75D4">
        <w:rPr>
          <w:rFonts w:ascii="Tahoma" w:hAnsi="Tahoma" w:cs="Tahoma"/>
          <w:sz w:val="16"/>
          <w:szCs w:val="16"/>
          <w:rtl/>
        </w:rPr>
        <w:t xml:space="preserve">תלמידים נושרים - שיעור תלמידי כיתות ז' עד י"ב שנשרו מהלימודים לפי הרשות המקומית שהם מתגוררים בה. </w:t>
      </w:r>
    </w:p>
    <w:p w:rsidR="003353DB" w:rsidRPr="006C75D4" w:rsidP="00593C04" w14:paraId="3F1665D7" w14:textId="77777777">
      <w:pPr>
        <w:pStyle w:val="ListParagraph"/>
        <w:numPr>
          <w:ilvl w:val="0"/>
          <w:numId w:val="35"/>
        </w:numPr>
        <w:spacing w:before="120" w:after="120" w:line="200" w:lineRule="exact"/>
        <w:ind w:left="357" w:hanging="357"/>
        <w:rPr>
          <w:rFonts w:ascii="Tahoma" w:hAnsi="Tahoma" w:cs="Tahoma"/>
          <w:sz w:val="16"/>
          <w:szCs w:val="16"/>
          <w:rtl/>
        </w:rPr>
      </w:pPr>
      <w:r w:rsidRPr="006C75D4">
        <w:rPr>
          <w:rFonts w:ascii="Tahoma" w:hAnsi="Tahoma" w:cs="Tahoma"/>
          <w:sz w:val="16"/>
          <w:szCs w:val="16"/>
          <w:rtl/>
        </w:rPr>
        <w:t xml:space="preserve">זכאים לתעודת בגרות - תלמידים שעמדו בבחינות בגרות </w:t>
      </w:r>
      <w:r w:rsidRPr="006C75D4">
        <w:rPr>
          <w:rFonts w:ascii="Tahoma" w:hAnsi="Tahoma" w:cs="Tahoma"/>
          <w:sz w:val="16"/>
          <w:szCs w:val="16"/>
          <w:rtl/>
        </w:rPr>
        <w:t>אינטרניות</w:t>
      </w:r>
      <w:r w:rsidRPr="006C75D4">
        <w:rPr>
          <w:rFonts w:ascii="Tahoma" w:hAnsi="Tahoma" w:cs="Tahoma"/>
          <w:sz w:val="16"/>
          <w:szCs w:val="16"/>
          <w:rtl/>
        </w:rPr>
        <w:t xml:space="preserve"> וצברו לפחות 20 יחידות לימוד במקצועות הנדרשים. שיעור זה מחושב מכלל תלמידי כיתות י"ב. </w:t>
      </w:r>
    </w:p>
    <w:p w:rsidR="003353DB" w:rsidRPr="006C75D4" w:rsidP="00593C04" w14:paraId="594DB981" w14:textId="77777777">
      <w:pPr>
        <w:pStyle w:val="ListParagraph"/>
        <w:numPr>
          <w:ilvl w:val="0"/>
          <w:numId w:val="35"/>
        </w:numPr>
        <w:spacing w:before="120" w:after="120" w:line="200" w:lineRule="exact"/>
        <w:ind w:left="357" w:hanging="357"/>
        <w:rPr>
          <w:rFonts w:ascii="Tahoma" w:hAnsi="Tahoma" w:cs="Tahoma"/>
          <w:sz w:val="16"/>
          <w:szCs w:val="16"/>
          <w:rtl/>
        </w:rPr>
      </w:pPr>
      <w:r w:rsidRPr="006C75D4">
        <w:rPr>
          <w:rFonts w:ascii="Tahoma" w:hAnsi="Tahoma" w:cs="Tahoma"/>
          <w:sz w:val="16"/>
          <w:szCs w:val="16"/>
          <w:rtl/>
        </w:rPr>
        <w:t xml:space="preserve">זכאים לתעודת בגרות שעומדים בדרישות סף - שיעור הזכאים לתעודת בגרות שעמדו בדרישות הסף של האוניברסיטאות מסך כל תלמידי כיתות י"ב. </w:t>
      </w:r>
    </w:p>
    <w:p w:rsidR="003353DB" w:rsidRPr="006C75D4" w:rsidP="00593C04" w14:paraId="15D25FE2" w14:textId="77777777">
      <w:pPr>
        <w:pStyle w:val="ListParagraph"/>
        <w:numPr>
          <w:ilvl w:val="0"/>
          <w:numId w:val="35"/>
        </w:numPr>
        <w:spacing w:before="120" w:after="120" w:line="200" w:lineRule="exact"/>
        <w:ind w:left="357" w:hanging="357"/>
        <w:rPr>
          <w:rFonts w:ascii="Tahoma" w:hAnsi="Tahoma" w:cs="Tahoma"/>
          <w:sz w:val="16"/>
          <w:szCs w:val="16"/>
          <w:rtl/>
        </w:rPr>
      </w:pPr>
      <w:r w:rsidRPr="006C75D4">
        <w:rPr>
          <w:rFonts w:ascii="Tahoma" w:hAnsi="Tahoma" w:cs="Tahoma"/>
          <w:sz w:val="16"/>
          <w:szCs w:val="16"/>
          <w:rtl/>
        </w:rPr>
        <w:t>תעודת בגרות מוגברת במקצועות ה-</w:t>
      </w:r>
      <w:r w:rsidRPr="006C75D4">
        <w:rPr>
          <w:rFonts w:ascii="Tahoma" w:hAnsi="Tahoma" w:cs="Tahoma"/>
          <w:sz w:val="16"/>
          <w:szCs w:val="16"/>
        </w:rPr>
        <w:t>STEM</w:t>
      </w:r>
      <w:r w:rsidRPr="006C75D4">
        <w:rPr>
          <w:rFonts w:ascii="Tahoma" w:hAnsi="Tahoma" w:cs="Tahoma"/>
          <w:sz w:val="16"/>
          <w:szCs w:val="16"/>
          <w:rtl/>
        </w:rPr>
        <w:t xml:space="preserve"> - מקצועות ה-</w:t>
      </w:r>
      <w:r w:rsidRPr="006C75D4">
        <w:rPr>
          <w:rFonts w:ascii="Tahoma" w:hAnsi="Tahoma" w:cs="Tahoma"/>
          <w:sz w:val="16"/>
          <w:szCs w:val="16"/>
        </w:rPr>
        <w:t>STEM</w:t>
      </w:r>
      <w:r w:rsidRPr="006C75D4">
        <w:rPr>
          <w:rFonts w:ascii="Tahoma" w:hAnsi="Tahoma" w:cs="Tahoma"/>
          <w:sz w:val="16"/>
          <w:szCs w:val="16"/>
          <w:rtl/>
        </w:rPr>
        <w:t xml:space="preserve"> כוללים מתמטיקה, פיזיקה, כימיה, לימודי המחשב, ביולוגיה, אלקטרוניקה, מערכות אלקטרוניות וביוטכנולוגיה. </w:t>
      </w:r>
    </w:p>
    <w:p w:rsidR="003353DB" w:rsidRPr="006C75D4" w:rsidP="00593C04" w14:paraId="42B528A9" w14:textId="77777777">
      <w:pPr>
        <w:pStyle w:val="ListParagraph"/>
        <w:numPr>
          <w:ilvl w:val="0"/>
          <w:numId w:val="35"/>
        </w:numPr>
        <w:spacing w:before="120" w:after="120" w:line="200" w:lineRule="exact"/>
        <w:ind w:left="357" w:hanging="357"/>
        <w:rPr>
          <w:rFonts w:ascii="Tahoma" w:hAnsi="Tahoma" w:cs="Tahoma"/>
          <w:sz w:val="16"/>
          <w:szCs w:val="16"/>
          <w:rtl/>
        </w:rPr>
      </w:pPr>
      <w:r w:rsidRPr="006C75D4">
        <w:rPr>
          <w:rFonts w:ascii="Tahoma" w:hAnsi="Tahoma" w:cs="Tahoma"/>
          <w:sz w:val="16"/>
          <w:szCs w:val="16"/>
          <w:rtl/>
        </w:rPr>
        <w:t xml:space="preserve">בעלי תואר ראשון, שני או שלישי - תואר אקדמי הוא תואר שמוסד להשכלה גבוהה מעניק. תואר ראשון ניתן בלימודים המיועדים לפתח מיומנויות אקדמיות בסיסיות; תואר שני ניתן בלימודים המיועדים לפתח מיומנויות אקדמיות מתקדמות; תואר שלישי ניתן בלימודים שעיקרם מחקר. </w:t>
      </w:r>
    </w:p>
    <w:p w:rsidR="003353DB" w:rsidRPr="006C75D4" w:rsidP="00593C04" w14:paraId="3AE5A0C7" w14:textId="76E26C3F">
      <w:pPr>
        <w:pStyle w:val="ListParagraph"/>
        <w:numPr>
          <w:ilvl w:val="0"/>
          <w:numId w:val="35"/>
        </w:numPr>
        <w:spacing w:before="120" w:after="120" w:line="200" w:lineRule="exact"/>
        <w:ind w:left="357" w:hanging="357"/>
        <w:rPr>
          <w:rFonts w:ascii="Tahoma" w:hAnsi="Tahoma" w:cs="Tahoma"/>
          <w:sz w:val="16"/>
          <w:szCs w:val="16"/>
        </w:rPr>
      </w:pPr>
      <w:r w:rsidRPr="006C75D4">
        <w:rPr>
          <w:rFonts w:ascii="Tahoma" w:hAnsi="Tahoma" w:cs="Tahoma"/>
          <w:sz w:val="16"/>
          <w:szCs w:val="16"/>
          <w:rtl/>
        </w:rPr>
        <w:t>פערי השכר המגדריים - פערים המתייחסים להבדלים בשכר בין גברים לנשים, כלומר להכנסה הממוצעת של נשים מעבודה יחסית להכנסה הממוצעת של גברים מעבודה. הפער מחושב כשיעור ההפרש בין ההכנסות הממוצעות של גברים ובין ההכנסות הממוצעות של נשים.</w:t>
      </w:r>
    </w:p>
    <w:p w:rsidR="00FF66D4" w:rsidP="00FF66D4" w14:paraId="3FAD0C70" w14:textId="1694ED3F">
      <w:pPr>
        <w:pStyle w:val="755"/>
        <w:rPr>
          <w:rtl/>
        </w:rPr>
      </w:pPr>
      <w:r w:rsidRPr="00D527BD">
        <w:rPr>
          <w:noProof/>
          <w:szCs w:val="20"/>
          <w:rtl/>
        </w:rPr>
        <mc:AlternateContent>
          <mc:Choice Requires="wps">
            <w:drawing>
              <wp:anchor distT="0" distB="0" distL="114300" distR="114300" simplePos="0" relativeHeight="251713536" behindDoc="0" locked="0" layoutInCell="1" allowOverlap="1">
                <wp:simplePos x="0" y="0"/>
                <wp:positionH relativeFrom="column">
                  <wp:posOffset>78519</wp:posOffset>
                </wp:positionH>
                <wp:positionV relativeFrom="paragraph">
                  <wp:posOffset>99116</wp:posOffset>
                </wp:positionV>
                <wp:extent cx="4436745" cy="437322"/>
                <wp:effectExtent l="0" t="0" r="1905" b="1270"/>
                <wp:wrapNone/>
                <wp:docPr id="5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7322"/>
                        </a:xfrm>
                        <a:prstGeom prst="rect">
                          <a:avLst/>
                        </a:prstGeom>
                        <a:solidFill>
                          <a:srgbClr val="F05260"/>
                        </a:solidFill>
                        <a:ln w="9525">
                          <a:noFill/>
                          <a:miter lim="800000"/>
                          <a:headEnd/>
                          <a:tailEnd/>
                        </a:ln>
                      </wps:spPr>
                      <wps:txbx>
                        <w:txbxContent>
                          <w:p w:rsidR="00FF66D4" w:rsidRPr="005C7ABF" w:rsidP="008A68BC" w14:textId="3B2B222E">
                            <w:pPr>
                              <w:spacing w:line="240" w:lineRule="auto"/>
                              <w:jc w:val="left"/>
                              <w:rPr>
                                <w:rtl/>
                              </w:rPr>
                            </w:pPr>
                            <w:r w:rsidRPr="00E9702A">
                              <w:rPr>
                                <w:rFonts w:ascii="Tahoma" w:hAnsi="Tahoma" w:cs="Tahoma"/>
                                <w:b/>
                                <w:bCs/>
                                <w:color w:val="FFFFFF" w:themeColor="background1"/>
                                <w:sz w:val="18"/>
                                <w:szCs w:val="22"/>
                                <w:rtl/>
                              </w:rPr>
                              <w:t xml:space="preserve">שיעור הנשים </w:t>
                            </w:r>
                            <w:r w:rsidRPr="00E9702A">
                              <w:rPr>
                                <w:rFonts w:ascii="Tahoma" w:hAnsi="Tahoma" w:cs="Tahoma" w:hint="cs"/>
                                <w:b/>
                                <w:bCs/>
                                <w:color w:val="FFFFFF" w:themeColor="background1"/>
                                <w:sz w:val="18"/>
                                <w:szCs w:val="22"/>
                                <w:rtl/>
                              </w:rPr>
                              <w:t>מ</w:t>
                            </w:r>
                            <w:r w:rsidRPr="00E9702A">
                              <w:rPr>
                                <w:rFonts w:ascii="Tahoma" w:hAnsi="Tahoma" w:cs="Tahoma"/>
                                <w:b/>
                                <w:bCs/>
                                <w:color w:val="FFFFFF" w:themeColor="background1"/>
                                <w:sz w:val="18"/>
                                <w:szCs w:val="22"/>
                                <w:rtl/>
                              </w:rPr>
                              <w:t>קרב בעלי התפקידים הבכירים ברשויות המקומיות,</w:t>
                            </w:r>
                            <w:r>
                              <w:rPr>
                                <w:rFonts w:ascii="Tahoma" w:hAnsi="Tahoma" w:cs="Tahoma" w:hint="cs"/>
                                <w:b/>
                                <w:bCs/>
                                <w:color w:val="FFFFFF" w:themeColor="background1"/>
                                <w:sz w:val="18"/>
                                <w:szCs w:val="22"/>
                                <w:rtl/>
                              </w:rPr>
                              <w:t xml:space="preserve"> </w:t>
                            </w:r>
                            <w:r w:rsidRPr="00E9702A">
                              <w:rPr>
                                <w:rFonts w:ascii="Tahoma" w:hAnsi="Tahoma" w:cs="Tahoma"/>
                                <w:b/>
                                <w:bCs/>
                                <w:color w:val="FFFFFF" w:themeColor="background1"/>
                                <w:sz w:val="18"/>
                                <w:szCs w:val="22"/>
                                <w:rtl/>
                              </w:rPr>
                              <w:t>לפי מאפיינים מסוימים*</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5" type="#_x0000_t202" style="width:349.35pt;height:34.45pt;margin-top:7.8pt;margin-left:6.2pt;mso-height-percent:0;mso-height-relative:margin;mso-width-percent:0;mso-width-relative:margin;mso-wrap-distance-bottom:0;mso-wrap-distance-left:9pt;mso-wrap-distance-right:9pt;mso-wrap-distance-top:0;mso-wrap-style:square;position:absolute;visibility:visible;v-text-anchor:middle;z-index:251714560" fillcolor="#f05260" stroked="f">
                <v:textbox>
                  <w:txbxContent>
                    <w:p w:rsidR="00FF66D4" w:rsidRPr="005C7ABF" w:rsidP="008A68BC" w14:paraId="73621615" w14:textId="3B2B222E">
                      <w:pPr>
                        <w:spacing w:line="240" w:lineRule="auto"/>
                        <w:jc w:val="left"/>
                        <w:rPr>
                          <w:rtl/>
                        </w:rPr>
                      </w:pPr>
                      <w:r w:rsidRPr="00E9702A">
                        <w:rPr>
                          <w:rFonts w:ascii="Tahoma" w:hAnsi="Tahoma" w:cs="Tahoma"/>
                          <w:b/>
                          <w:bCs/>
                          <w:color w:val="FFFFFF" w:themeColor="background1"/>
                          <w:sz w:val="18"/>
                          <w:szCs w:val="22"/>
                          <w:rtl/>
                        </w:rPr>
                        <w:t xml:space="preserve">שיעור הנשים </w:t>
                      </w:r>
                      <w:r w:rsidRPr="00E9702A">
                        <w:rPr>
                          <w:rFonts w:ascii="Tahoma" w:hAnsi="Tahoma" w:cs="Tahoma" w:hint="cs"/>
                          <w:b/>
                          <w:bCs/>
                          <w:color w:val="FFFFFF" w:themeColor="background1"/>
                          <w:sz w:val="18"/>
                          <w:szCs w:val="22"/>
                          <w:rtl/>
                        </w:rPr>
                        <w:t>מ</w:t>
                      </w:r>
                      <w:r w:rsidRPr="00E9702A">
                        <w:rPr>
                          <w:rFonts w:ascii="Tahoma" w:hAnsi="Tahoma" w:cs="Tahoma"/>
                          <w:b/>
                          <w:bCs/>
                          <w:color w:val="FFFFFF" w:themeColor="background1"/>
                          <w:sz w:val="18"/>
                          <w:szCs w:val="22"/>
                          <w:rtl/>
                        </w:rPr>
                        <w:t>קרב בעלי התפקידים הבכירים ברשויות המקומיות,</w:t>
                      </w:r>
                      <w:r>
                        <w:rPr>
                          <w:rFonts w:ascii="Tahoma" w:hAnsi="Tahoma" w:cs="Tahoma" w:hint="cs"/>
                          <w:b/>
                          <w:bCs/>
                          <w:color w:val="FFFFFF" w:themeColor="background1"/>
                          <w:sz w:val="18"/>
                          <w:szCs w:val="22"/>
                          <w:rtl/>
                        </w:rPr>
                        <w:t xml:space="preserve"> </w:t>
                      </w:r>
                      <w:r w:rsidRPr="00E9702A">
                        <w:rPr>
                          <w:rFonts w:ascii="Tahoma" w:hAnsi="Tahoma" w:cs="Tahoma"/>
                          <w:b/>
                          <w:bCs/>
                          <w:color w:val="FFFFFF" w:themeColor="background1"/>
                          <w:sz w:val="18"/>
                          <w:szCs w:val="22"/>
                          <w:rtl/>
                        </w:rPr>
                        <w:t>לפי מאפיינים מסוימים*</w:t>
                      </w:r>
                    </w:p>
                  </w:txbxContent>
                </v:textbox>
              </v:shape>
            </w:pict>
          </mc:Fallback>
        </mc:AlternateContent>
      </w:r>
      <w:r w:rsidRPr="00D527BD">
        <w:rPr>
          <w:noProof/>
          <w:szCs w:val="20"/>
          <w:rtl/>
        </w:rPr>
        <w:drawing>
          <wp:anchor distT="0" distB="0" distL="114300" distR="114300" simplePos="0" relativeHeight="251712512" behindDoc="0" locked="0" layoutInCell="1" allowOverlap="1">
            <wp:simplePos x="0" y="0"/>
            <wp:positionH relativeFrom="column">
              <wp:posOffset>-56515</wp:posOffset>
            </wp:positionH>
            <wp:positionV relativeFrom="paragraph">
              <wp:posOffset>41579</wp:posOffset>
            </wp:positionV>
            <wp:extent cx="4762957" cy="675833"/>
            <wp:effectExtent l="0" t="0" r="0" b="0"/>
            <wp:wrapNone/>
            <wp:docPr id="63"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62957" cy="675833"/>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FF66D4" w:rsidP="00FF66D4" w14:paraId="6CC30C89" w14:textId="55AC6B0D">
      <w:pPr>
        <w:pStyle w:val="7314"/>
        <w:rPr>
          <w:rFonts w:eastAsia="Calibri"/>
          <w:noProof/>
          <w:sz w:val="19"/>
          <w:szCs w:val="19"/>
          <w:rtl/>
        </w:rPr>
      </w:pPr>
    </w:p>
    <w:p w:rsidR="00210C3A" w:rsidP="00210C3A" w14:paraId="4CFB4CAC" w14:textId="77B5DD62">
      <w:pPr>
        <w:bidi w:val="0"/>
        <w:spacing w:after="200" w:line="276" w:lineRule="auto"/>
        <w:rPr>
          <w:rFonts w:ascii="Tahoma" w:hAnsi="Tahoma" w:cs="Tahoma"/>
          <w:sz w:val="16"/>
          <w:szCs w:val="16"/>
          <w:rtl/>
        </w:rPr>
      </w:pPr>
      <w:r>
        <w:rPr>
          <w:noProof/>
          <w:rtl/>
          <w:lang w:val="he-IL"/>
        </w:rPr>
        <w:drawing>
          <wp:anchor distT="0" distB="0" distL="114300" distR="114300" simplePos="0" relativeHeight="251722752" behindDoc="0" locked="0" layoutInCell="1" allowOverlap="1">
            <wp:simplePos x="0" y="0"/>
            <wp:positionH relativeFrom="column">
              <wp:posOffset>-55880</wp:posOffset>
            </wp:positionH>
            <wp:positionV relativeFrom="paragraph">
              <wp:posOffset>310515</wp:posOffset>
            </wp:positionV>
            <wp:extent cx="4678680" cy="4139184"/>
            <wp:effectExtent l="0" t="0" r="7620"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8680" cy="4139184"/>
                    </a:xfrm>
                    <a:prstGeom prst="rect">
                      <a:avLst/>
                    </a:prstGeom>
                  </pic:spPr>
                </pic:pic>
              </a:graphicData>
            </a:graphic>
          </wp:anchor>
        </w:drawing>
      </w:r>
    </w:p>
    <w:p w:rsidR="00210C3A" w:rsidRPr="00CF2905" w:rsidP="00CF2905" w14:paraId="607B2636" w14:textId="4AC16112">
      <w:pPr>
        <w:pStyle w:val="751"/>
        <w:spacing w:after="0"/>
        <w:rPr>
          <w:rtl/>
        </w:rPr>
      </w:pPr>
      <w:r w:rsidRPr="00CF2905">
        <w:rPr>
          <w:rtl/>
        </w:rPr>
        <w:t xml:space="preserve">על פי נתונים שהעבירו הרשויות המקומיות למשרד הפנים לצורך דירוגן במדד ההון האנושי לשנת 2023, נתוני משרד הפנים על סיווג הרשויות כפי הידוע נכון למועד סיום הביקורת, ונתוני </w:t>
      </w:r>
      <w:r w:rsidRPr="00CF2905">
        <w:rPr>
          <w:rtl/>
        </w:rPr>
        <w:t>הלמ"ס</w:t>
      </w:r>
      <w:r w:rsidRPr="00CF2905">
        <w:rPr>
          <w:rtl/>
        </w:rPr>
        <w:t xml:space="preserve"> לשנת 2022, בעיבוד משרד מבקר המדינה.</w:t>
      </w:r>
    </w:p>
    <w:p w:rsidR="00210C3A" w:rsidRPr="00F806C3" w:rsidP="00210C3A" w14:paraId="6F75DCD3" w14:textId="54C676DE">
      <w:pPr>
        <w:pStyle w:val="751"/>
        <w:spacing w:before="0" w:after="0"/>
        <w:ind w:left="284" w:hanging="284"/>
        <w:rPr>
          <w:rtl/>
        </w:rPr>
      </w:pPr>
      <w:r w:rsidRPr="00F806C3">
        <w:rPr>
          <w:rtl/>
        </w:rPr>
        <w:t xml:space="preserve">* </w:t>
      </w:r>
      <w:r>
        <w:rPr>
          <w:rtl/>
        </w:rPr>
        <w:tab/>
      </w:r>
      <w:r w:rsidRPr="00F806C3">
        <w:rPr>
          <w:rtl/>
        </w:rPr>
        <w:t>גון הצבע מייצג את שיעורן של הנשים מקרב בעלי התפקידים הבכירים. התאים הצבועים באדום מייצגים שיעור ייצוג של עד 33%</w:t>
      </w:r>
      <w:r w:rsidR="001B78CD">
        <w:rPr>
          <w:rFonts w:hint="cs"/>
          <w:rtl/>
        </w:rPr>
        <w:t xml:space="preserve"> (כולל),</w:t>
      </w:r>
      <w:r w:rsidRPr="00F806C3">
        <w:rPr>
          <w:rtl/>
        </w:rPr>
        <w:t xml:space="preserve"> והתאים בירוק מייצגים שיעור ייצוג של מעל ל-33%.</w:t>
      </w:r>
    </w:p>
    <w:p w:rsidR="00210C3A" w14:paraId="278D054A" w14:textId="10BA1854">
      <w:pPr>
        <w:bidi w:val="0"/>
        <w:spacing w:after="200" w:line="276" w:lineRule="auto"/>
        <w:rPr>
          <w:rFonts w:ascii="Tahoma" w:hAnsi="Tahoma" w:eastAsiaTheme="minorEastAsia" w:cs="Tahoma"/>
          <w:b/>
          <w:bCs/>
          <w:noProof/>
          <w:color w:val="00305F"/>
          <w:sz w:val="31"/>
          <w:szCs w:val="31"/>
          <w:lang w:val="he-IL"/>
        </w:rPr>
      </w:pPr>
      <w:r>
        <w:rPr>
          <w:rFonts w:ascii="Tahoma" w:hAnsi="Tahoma" w:eastAsiaTheme="minorEastAsia" w:cs="Tahoma"/>
          <w:b/>
          <w:bCs/>
          <w:noProof/>
          <w:color w:val="00305F"/>
          <w:sz w:val="31"/>
          <w:szCs w:val="31"/>
          <w:lang w:val="he-IL"/>
        </w:rPr>
        <w:br w:type="page"/>
      </w:r>
    </w:p>
    <w:p w:rsidR="00210C3A" w:rsidP="00210C3A" w14:paraId="67055ADC" w14:textId="1EAEE805">
      <w:pPr>
        <w:pStyle w:val="755"/>
        <w:rPr>
          <w:rtl/>
        </w:rPr>
      </w:pPr>
      <w:r w:rsidRPr="00D527BD">
        <w:rPr>
          <w:noProof/>
          <w:szCs w:val="20"/>
          <w:rtl/>
        </w:rPr>
        <mc:AlternateContent>
          <mc:Choice Requires="wps">
            <w:drawing>
              <wp:anchor distT="0" distB="0" distL="114300" distR="114300" simplePos="0" relativeHeight="251716608" behindDoc="0" locked="0" layoutInCell="1" allowOverlap="1">
                <wp:simplePos x="0" y="0"/>
                <wp:positionH relativeFrom="column">
                  <wp:posOffset>78519</wp:posOffset>
                </wp:positionH>
                <wp:positionV relativeFrom="paragraph">
                  <wp:posOffset>99115</wp:posOffset>
                </wp:positionV>
                <wp:extent cx="4436745" cy="445273"/>
                <wp:effectExtent l="0" t="0" r="1905" b="0"/>
                <wp:wrapNone/>
                <wp:docPr id="378874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45273"/>
                        </a:xfrm>
                        <a:prstGeom prst="rect">
                          <a:avLst/>
                        </a:prstGeom>
                        <a:solidFill>
                          <a:srgbClr val="F05260"/>
                        </a:solidFill>
                        <a:ln w="9525">
                          <a:noFill/>
                          <a:miter lim="800000"/>
                          <a:headEnd/>
                          <a:tailEnd/>
                        </a:ln>
                      </wps:spPr>
                      <wps:txbx>
                        <w:txbxContent>
                          <w:p w:rsidR="00210C3A" w:rsidRPr="005C7ABF" w:rsidP="00AF15D9" w14:textId="2131B003">
                            <w:pPr>
                              <w:spacing w:line="240" w:lineRule="auto"/>
                              <w:jc w:val="left"/>
                              <w:rPr>
                                <w:rtl/>
                              </w:rPr>
                            </w:pPr>
                            <w:r w:rsidRPr="004822A7">
                              <w:rPr>
                                <w:rFonts w:ascii="Tahoma" w:hAnsi="Tahoma" w:cs="Tahoma"/>
                                <w:b/>
                                <w:bCs/>
                                <w:color w:val="FFFFFF" w:themeColor="background1"/>
                                <w:sz w:val="18"/>
                                <w:szCs w:val="22"/>
                                <w:rtl/>
                              </w:rPr>
                              <w:t>ציטוטים מתוך התשובות על השאלונים של היועצות לקידום מעמד האישה בנושא תנאי העסקתן ותחומי האחריות שלהן</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6" type="#_x0000_t202" style="width:349.35pt;height:35.05pt;margin-top:7.8pt;margin-left:6.2pt;mso-height-percent:0;mso-height-relative:margin;mso-width-percent:0;mso-width-relative:margin;mso-wrap-distance-bottom:0;mso-wrap-distance-left:9pt;mso-wrap-distance-right:9pt;mso-wrap-distance-top:0;mso-wrap-style:square;position:absolute;visibility:visible;v-text-anchor:middle;z-index:251717632" fillcolor="#f05260" stroked="f">
                <v:textbox>
                  <w:txbxContent>
                    <w:p w:rsidR="00210C3A" w:rsidRPr="005C7ABF" w:rsidP="00AF15D9" w14:paraId="6DD3A64C" w14:textId="2131B003">
                      <w:pPr>
                        <w:spacing w:line="240" w:lineRule="auto"/>
                        <w:jc w:val="left"/>
                        <w:rPr>
                          <w:rtl/>
                        </w:rPr>
                      </w:pPr>
                      <w:r w:rsidRPr="004822A7">
                        <w:rPr>
                          <w:rFonts w:ascii="Tahoma" w:hAnsi="Tahoma" w:cs="Tahoma"/>
                          <w:b/>
                          <w:bCs/>
                          <w:color w:val="FFFFFF" w:themeColor="background1"/>
                          <w:sz w:val="18"/>
                          <w:szCs w:val="22"/>
                          <w:rtl/>
                        </w:rPr>
                        <w:t>ציטוטים מתוך התשובות על השאלונים של היועצות לקידום מעמד האישה בנושא תנאי העסקתן ותחומי האחריות שלהן</w:t>
                      </w:r>
                    </w:p>
                  </w:txbxContent>
                </v:textbox>
              </v:shape>
            </w:pict>
          </mc:Fallback>
        </mc:AlternateContent>
      </w:r>
      <w:r w:rsidRPr="00D527BD">
        <w:rPr>
          <w:noProof/>
          <w:szCs w:val="20"/>
          <w:rtl/>
        </w:rPr>
        <w:drawing>
          <wp:anchor distT="0" distB="0" distL="114300" distR="114300" simplePos="0" relativeHeight="251715584" behindDoc="0" locked="0" layoutInCell="1" allowOverlap="1">
            <wp:simplePos x="0" y="0"/>
            <wp:positionH relativeFrom="column">
              <wp:posOffset>-56515</wp:posOffset>
            </wp:positionH>
            <wp:positionV relativeFrom="paragraph">
              <wp:posOffset>46024</wp:posOffset>
            </wp:positionV>
            <wp:extent cx="4762957" cy="675833"/>
            <wp:effectExtent l="0" t="0" r="0" b="0"/>
            <wp:wrapNone/>
            <wp:docPr id="3788741"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741"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62957" cy="675833"/>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210C3A" w14:paraId="305CA932" w14:textId="2ADBA1CF">
      <w:pPr>
        <w:bidi w:val="0"/>
        <w:spacing w:after="200" w:line="276" w:lineRule="auto"/>
        <w:rPr>
          <w:rFonts w:ascii="Tahoma" w:hAnsi="Tahoma" w:eastAsiaTheme="minorEastAsia" w:cs="Tahoma"/>
          <w:b/>
          <w:bCs/>
          <w:noProof/>
          <w:color w:val="00305F"/>
          <w:sz w:val="31"/>
          <w:szCs w:val="31"/>
          <w:rtl/>
          <w:lang w:val="he-IL"/>
        </w:rPr>
      </w:pPr>
      <w:r w:rsidRPr="00F806C3">
        <w:rPr>
          <w:rFonts w:ascii="Tahoma" w:hAnsi="Tahoma" w:cs="Tahoma"/>
          <w:noProof/>
        </w:rPr>
        <w:drawing>
          <wp:anchor distT="0" distB="0" distL="114300" distR="114300" simplePos="0" relativeHeight="251719680" behindDoc="0" locked="0" layoutInCell="1" allowOverlap="1">
            <wp:simplePos x="0" y="0"/>
            <wp:positionH relativeFrom="column">
              <wp:posOffset>-46355</wp:posOffset>
            </wp:positionH>
            <wp:positionV relativeFrom="paragraph">
              <wp:posOffset>4038904</wp:posOffset>
            </wp:positionV>
            <wp:extent cx="4679950" cy="2045335"/>
            <wp:effectExtent l="0" t="0" r="6350" b="0"/>
            <wp:wrapSquare wrapText="bothSides"/>
            <wp:docPr id="3788745" name="תמונה 26" descr="&quot;למרבה הציניות, תפקידה של היועצת לקידום מעמד האישה נטול מעמד... היועצת פועלת באפס אחוזי משרה, ומעמדה אינו נלקח ברצינות הראויה לתפקיד רוחב סטטוטורי, כפי שהוא מוגדר בחוק... בתהליכים אסטרטגיים שונים ... היועצת אינה מוזמנת להשתתף ... כי היא אינה נחשבת ... פונקציה מקצועית בעיני הנהלת המועצה. על אותו משקל, היועצת אינה מוזמנת למפגשי הכשרה [...] המיועדים למנהלי מחלקות, שכן אינה נחשבת באמת כמנהלת מחלקה, אלא רק כמקבילה לכזו... מאוד מאתגר להטמיע חשיבה מגדרית כשאת אינך נוכחת בשולחנות קבלת ההחלטות&quot;&#10;&quot;ככל שהיועצת אינה מועסקת במשרה המיועדת רק לכך היא אינה מצליחה להגיע לכלל הדברים, ומראש ברגע שתפקיד היועצת אינו נחשב לתפקיד &quot;מטה&quot; ואין מתייחסים אליו כך אלא כאל שולי, הדברים נראים בשטח [בהתאם]&quot;&#10;&quot;הציפייה לשלב תחום כ&quot;כ משמעותי... בנוסף למשרה מלאה בתחום אחר... הינה בלתי ריאלית, פוגענית והתגלמות הפרדוקס של קידום מעמד האישה&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745" name=""/>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a:xfrm>
                      <a:off x="0" y="0"/>
                      <a:ext cx="4679950" cy="2045335"/>
                    </a:xfrm>
                    <a:prstGeom prst="rect">
                      <a:avLst/>
                    </a:prstGeom>
                  </pic:spPr>
                </pic:pic>
              </a:graphicData>
            </a:graphic>
          </wp:anchor>
        </w:drawing>
      </w:r>
      <w:r w:rsidRPr="00F806C3">
        <w:rPr>
          <w:rFonts w:ascii="Tahoma" w:hAnsi="Tahoma" w:cs="Tahoma"/>
          <w:noProof/>
        </w:rPr>
        <w:drawing>
          <wp:anchor distT="0" distB="0" distL="114300" distR="114300" simplePos="0" relativeHeight="251720704" behindDoc="0" locked="0" layoutInCell="1" allowOverlap="1">
            <wp:simplePos x="0" y="0"/>
            <wp:positionH relativeFrom="column">
              <wp:posOffset>-40005</wp:posOffset>
            </wp:positionH>
            <wp:positionV relativeFrom="paragraph">
              <wp:posOffset>2759379</wp:posOffset>
            </wp:positionV>
            <wp:extent cx="4679950" cy="1224280"/>
            <wp:effectExtent l="0" t="0" r="6350" b="0"/>
            <wp:wrapSquare wrapText="bothSides"/>
            <wp:docPr id="3788744" name="תמונה 15" descr="&quot;יש צורך בתמיכה ממשלתית תקציבית ומקצועית סדורה ולאורך זמן&quot;&#10;&quot;יש הרבה יוזמות שאפשר עוד להוציאן לפועל אך צריך סיוע כלכלי&quot;&#10;&quot;אנו עובדות מול תקציבי רשות דלים.&#10;מן הסתם המועצה לא ממומנת בנושא זה על ידי הגופים הממשלתיים והתוצאה היא&#10; שלא כל רשות מסוגלת ויכולה לממן את פעולות היועצת&quot;&#10;&quot;היועצת מתמודדת עם קשיים תקציביים וזה מעכב ואף משתק &#10;את הפעילות שלשמה הינה נמצאת בתפקיד זה&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744" name=""/>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a:xfrm>
                      <a:off x="0" y="0"/>
                      <a:ext cx="4679950" cy="1224280"/>
                    </a:xfrm>
                    <a:prstGeom prst="rect">
                      <a:avLst/>
                    </a:prstGeom>
                  </pic:spPr>
                </pic:pic>
              </a:graphicData>
            </a:graphic>
          </wp:anchor>
        </w:drawing>
      </w:r>
      <w:r w:rsidRPr="00F806C3">
        <w:rPr>
          <w:rFonts w:ascii="Tahoma" w:hAnsi="Tahoma" w:cs="Tahoma"/>
          <w:noProof/>
        </w:rPr>
        <w:drawing>
          <wp:anchor distT="0" distB="0" distL="114300" distR="114300" simplePos="0" relativeHeight="251718656" behindDoc="0" locked="0" layoutInCell="1" allowOverlap="1">
            <wp:simplePos x="0" y="0"/>
            <wp:positionH relativeFrom="column">
              <wp:posOffset>-57150</wp:posOffset>
            </wp:positionH>
            <wp:positionV relativeFrom="paragraph">
              <wp:posOffset>538784</wp:posOffset>
            </wp:positionV>
            <wp:extent cx="4679950" cy="2176780"/>
            <wp:effectExtent l="0" t="0" r="6350" b="0"/>
            <wp:wrapSquare wrapText="bothSides"/>
            <wp:docPr id="3788743" name="תמונה 7" descr="&quot;כמי שמבצעת שני תפקידים, הקושי הינו מתן זמן ראוי לשני התפקידים ועבודת העומק אשר נפגעת עקב חוסר בזמן&quot;&#10;(יועצת המשמשת בתפקידה האחר כמנהלת מדור)&#10;&quot;תפקיד היועצת לא אמור לשמש כתעסוקה חלקית/צדדית&quot; &#10;(יועצת המשמשת בתפקידה האחר כמנהלת משאבי אנוש ומינהל)&#10;&quot;העומס של עבודתי העיקרית מונע ממני למלא את תפקיד היועצת כראוי&quot;&#10;&quot;מנהלת משאבי אנוש לא יכולה להיות גם יועצת, זה פשוט יותר מידי. &#10;אין פניות לביצוע התפקיד&quot; &#10;(יועצת המשמשת בתפקידה האחר כמנהלת משאבי אנוש)&#10;התפקיד אינו בעל אחוזי משרה מחייבים וברוב המקרים מוסיפים למשרה קיימת &#10;ולכן מקשה בטיפול היומיומי בעבודת היועצת&quot;&#10;&quot;חייבים בעיניי תקן מסודר לתפקיד. באופן אישי, אין לי מספיק זמן&quot; &#10;(יועצת המשמשת בתפקידה האחר כמנהלת האגף לשירותים חברת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743" name=""/>
                    <pic:cNvPicPr/>
                  </pic:nvPicPr>
                  <pic:blipFill>
                    <a:blip xmlns:r="http://schemas.openxmlformats.org/officeDocument/2006/relationships" r:embed="rId30">
                      <a:extLst>
                        <a:ext xmlns:a="http://schemas.openxmlformats.org/drawingml/2006/main" uri="{28A0092B-C50C-407E-A947-70E740481C1C}">
                          <a14:useLocalDpi xmlns:a14="http://schemas.microsoft.com/office/drawing/2010/main" val="0"/>
                        </a:ext>
                      </a:extLst>
                    </a:blip>
                    <a:stretch>
                      <a:fillRect/>
                    </a:stretch>
                  </pic:blipFill>
                  <pic:spPr>
                    <a:xfrm>
                      <a:off x="0" y="0"/>
                      <a:ext cx="4679950" cy="2176780"/>
                    </a:xfrm>
                    <a:prstGeom prst="rect">
                      <a:avLst/>
                    </a:prstGeom>
                  </pic:spPr>
                </pic:pic>
              </a:graphicData>
            </a:graphic>
          </wp:anchor>
        </w:drawing>
      </w:r>
      <w:r>
        <w:rPr>
          <w:rtl/>
        </w:rPr>
        <w:br w:type="page"/>
      </w:r>
    </w:p>
    <w:p w:rsidR="004E71DD" w:rsidRPr="00C733DA" w:rsidP="00C733DA" w14:paraId="60AEFE54" w14:textId="65956BFD">
      <w:pPr>
        <w:pStyle w:val="756"/>
        <w:rPr>
          <w:rtl/>
        </w:rPr>
      </w:pPr>
      <w:r w:rsidRPr="00C733DA">
        <w:rPr>
          <w:rFonts w:hint="cs"/>
          <w:rtl/>
        </w:rPr>
        <w:t>סיכום</w:t>
      </w:r>
    </w:p>
    <w:p w:rsidR="00512902" w:rsidRPr="00F806C3" w:rsidP="00512902" w14:paraId="7C863509" w14:textId="5A3B1C1B">
      <w:pPr>
        <w:pStyle w:val="759"/>
        <w:rPr>
          <w:rtl/>
        </w:rPr>
      </w:pPr>
      <w:r w:rsidRPr="00F806C3">
        <w:rPr>
          <w:rtl/>
        </w:rPr>
        <w:t xml:space="preserve">ממצאי הביקורת מצביעים על עומקם של הפערים המגדריים שעודם קיימים בשכרם של עובדי ועובדות השלטון </w:t>
      </w:r>
      <w:r w:rsidRPr="00512902">
        <w:rPr>
          <w:rtl/>
        </w:rPr>
        <w:t>המקומי</w:t>
      </w:r>
      <w:r w:rsidRPr="00F806C3">
        <w:rPr>
          <w:rtl/>
        </w:rPr>
        <w:t xml:space="preserve"> (השכר הממוצע לחודש של העובדות ביחס לעובדים עמד על כ-69%), בשיעורן של הנשים מקרב נבחרי הציבור</w:t>
      </w:r>
      <w:r>
        <w:rPr>
          <w:rFonts w:hint="cs"/>
          <w:rtl/>
        </w:rPr>
        <w:t xml:space="preserve"> </w:t>
      </w:r>
      <w:r w:rsidRPr="00F806C3">
        <w:rPr>
          <w:rtl/>
        </w:rPr>
        <w:t>(כ-20%) ומקרב בעלי התפקידים הבכירים ברשויות המקומיות (כ-26%). ניכר כי פערים אלו עמוקים אף יותר לנוכח שיעורן של הנשים מקרב עובדי השלטון המקומי (כ-74%) - ולא רק מקרב כלל האוכלוסייה (כ-5</w:t>
      </w:r>
      <w:r w:rsidR="001C346A">
        <w:rPr>
          <w:rFonts w:hint="cs"/>
          <w:rtl/>
        </w:rPr>
        <w:t>0</w:t>
      </w:r>
      <w:r w:rsidRPr="00F806C3">
        <w:rPr>
          <w:rtl/>
        </w:rPr>
        <w:t xml:space="preserve">%), והם עמוקים יותר גם ברשויות מקומיות המשתייכות למדד חברתי-כלכלי נמוך, פריפריאליות, לא-יהודיות, חרדיות ורשויות שאינן איתנות או יציבות. על רקע דברים אלה, ועל רקע דירוגה של ישראל במדד הפער המגדרי העולמי (במקום ה-83 מתוך 146 מדינות; </w:t>
      </w:r>
      <w:r w:rsidRPr="001553DD" w:rsidR="001553DD">
        <w:rPr>
          <w:rtl/>
        </w:rPr>
        <w:t>המדינה המדורגת במקום ה-1 היא הקרובה ביותר להשגת שוויון מגדרי)</w:t>
      </w:r>
      <w:r w:rsidRPr="00F806C3">
        <w:rPr>
          <w:rtl/>
        </w:rPr>
        <w:t>, גוברת החשיבות בנקיטת פעולות יזומות לקידום השוויון המגדרי ולצמצום הפערים המגדריים בגופים אלו.</w:t>
      </w:r>
    </w:p>
    <w:p w:rsidR="00512902" w:rsidRPr="00F806C3" w:rsidP="00512902" w14:paraId="43ADA6E9" w14:textId="77777777">
      <w:pPr>
        <w:pStyle w:val="759"/>
        <w:rPr>
          <w:rtl/>
        </w:rPr>
      </w:pPr>
      <w:r w:rsidRPr="00F806C3">
        <w:rPr>
          <w:rtl/>
        </w:rPr>
        <w:t xml:space="preserve">מומלץ כי גופי השלטון המקומי, ובהם הרשויות המקומיות, יפעלו לגיבוש תוכנית אסטרטגית לצמצום הפערים המגדריים בקרב עובדיהן, שממנה ייגזרו תוכניות עבודה, הכוללות יעדים מדידים וכן </w:t>
      </w:r>
      <w:r w:rsidRPr="00512902">
        <w:rPr>
          <w:rtl/>
        </w:rPr>
        <w:t>לוחות</w:t>
      </w:r>
      <w:r w:rsidRPr="00F806C3">
        <w:rPr>
          <w:rtl/>
        </w:rPr>
        <w:t xml:space="preserve"> זמנים מוגדרים לביצוע, והכול תוך מעורבותן והובלתן של היועצות לקידום מעמד האישה המכהנות בהן. על מנת להבטיח את תפקודן המועיל והמיטבי של </w:t>
      </w:r>
      <w:r w:rsidRPr="00512902">
        <w:rPr>
          <w:rtl/>
        </w:rPr>
        <w:t>היועצות</w:t>
      </w:r>
      <w:r w:rsidRPr="00F806C3">
        <w:rPr>
          <w:rtl/>
        </w:rPr>
        <w:t>, מן הראוי כי משרד הפנים, בשיתוף הרשות לקידום מעמד האישה ואיגוד היועצות, ישלימו את גיבוש תפיסת התפקיד של היועצות ויבחנו את הדרכים שבהן ניתן יהיה להבטיח את התקיימם של התנאים המוקדמים למילוי תפקידן באופן המיטבי.</w:t>
      </w:r>
    </w:p>
    <w:p w:rsidR="00512902" w:rsidRPr="00F806C3" w:rsidP="00512902" w14:paraId="77E9103C" w14:textId="77777777">
      <w:pPr>
        <w:pStyle w:val="759"/>
        <w:rPr>
          <w:sz w:val="22"/>
          <w:szCs w:val="22"/>
        </w:rPr>
      </w:pPr>
      <w:r w:rsidRPr="00F806C3">
        <w:rPr>
          <w:rtl/>
        </w:rPr>
        <w:t xml:space="preserve">כמו כן, על מנת להבטיח את </w:t>
      </w:r>
      <w:r w:rsidRPr="00512902">
        <w:rPr>
          <w:rtl/>
        </w:rPr>
        <w:t>מחויבותן</w:t>
      </w:r>
      <w:r w:rsidRPr="00F806C3">
        <w:rPr>
          <w:rtl/>
        </w:rPr>
        <w:t xml:space="preserve"> של הרשויות המקומיות לקידום השוויון המגדרי, ולנוכח הקשר ההדוק בין הבטחת הייצוג השוויוני במוקדי קבלת ההחלטות ובין חוסנה הדמוקרטי של הרשות המקומית ואיכות תהליכי קבלת ההחלטות שלה, מומלץ כי גופי האסדרה השלטוניים יפעלו במשותף לקביעת יעדים לאומיים לצמצום הפערים המגדריים ולגיבוש מתווה פעולה סדור ושיטתי לבקרה ולאכיפה על עמידה ביעדים אלו. </w:t>
      </w:r>
    </w:p>
    <w:sectPr w:rsidSect="00F35B8C">
      <w:headerReference w:type="default" r:id="rId31"/>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A10601" w14:paraId="242ADCB3" w14:textId="77777777">
      <w:pPr>
        <w:spacing w:line="240" w:lineRule="auto"/>
      </w:pPr>
      <w:r>
        <w:separator/>
      </w:r>
    </w:p>
    <w:p w:rsidR="00A10601" w14:paraId="1B618C5C" w14:textId="77777777"/>
    <w:p w:rsidR="00A10601" w14:paraId="08525AED" w14:textId="77777777"/>
    <w:p w:rsidR="00A10601" w14:paraId="5A76DDBC" w14:textId="77777777"/>
  </w:endnote>
  <w:endnote w:type="continuationSeparator" w:id="1">
    <w:p w:rsidR="00A10601" w14:paraId="3BDB1D91" w14:textId="77777777">
      <w:pPr>
        <w:spacing w:line="240" w:lineRule="auto"/>
      </w:pPr>
      <w:r>
        <w:continuationSeparator/>
      </w:r>
    </w:p>
    <w:p w:rsidR="00A10601" w14:paraId="600A236F" w14:textId="77777777"/>
    <w:p w:rsidR="00A10601" w14:paraId="7FFE3868" w14:textId="77777777"/>
    <w:p w:rsidR="00A10601" w14:paraId="56C6DAE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auto"/>
    <w:pitch w:val="variable"/>
    <w:sig w:usb0="00000801" w:usb1="00000000" w:usb2="00000000" w:usb3="00000000" w:csb0="00000020" w:csb1="00000000"/>
  </w:font>
  <w:font w:name="TypoUpright BT">
    <w:panose1 w:val="03020702030807050705"/>
    <w:charset w:val="00"/>
    <w:family w:val="script"/>
    <w:pitch w:val="variable"/>
    <w:sig w:usb0="00000087" w:usb1="00000000" w:usb2="00000000" w:usb3="00000000" w:csb0="0000001B" w:csb1="00000000"/>
  </w:font>
  <w:font w:name="Tw Cen MT">
    <w:altName w:val="Calibri"/>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Levenim MT">
    <w:panose1 w:val="00000000000000000000"/>
    <w:charset w:val="B1"/>
    <w:family w:val="auto"/>
    <w:pitch w:val="variable"/>
    <w:sig w:usb0="00000803" w:usb1="00000000" w:usb2="00000000" w:usb3="00000000" w:csb0="00000021" w:csb1="00000000"/>
  </w:font>
  <w:font w:name="Almoni ML Regular AAA">
    <w:altName w:val="Arial"/>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auto"/>
    <w:pitch w:val="variable"/>
    <w:sig w:usb0="00000803" w:usb1="00000000" w:usb2="00000000" w:usb3="00000000" w:csb0="00000021" w:csb1="00000000"/>
  </w:font>
  <w:font w:name="Gotham Narrow Light">
    <w:altName w:val="Tahoma"/>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7314E402" w14:textId="7F8DACF1">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037C10C0" w14:textId="77777777">
    <w:pPr>
      <w:pStyle w:val="Footer"/>
      <w:spacing w:after="120" w:line="312" w:lineRule="auto"/>
      <w:ind w:right="-737"/>
      <w:jc w:val="right"/>
      <w:rPr>
        <w:rFonts w:ascii="Tahoma" w:hAnsi="Tahoma" w:cs="Tahom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7761496C" w14:textId="3FF32544">
    <w:pPr>
      <w:pStyle w:val="Footer"/>
      <w:spacing w:after="120" w:line="312" w:lineRule="auto"/>
      <w:ind w:left="-510"/>
      <w:jc w:val="left"/>
      <w:rPr>
        <w:rFonts w:ascii="Tahoma" w:hAnsi="Tahoma" w:cs="Tahoma"/>
        <w:sz w:val="18"/>
        <w:szCs w:val="18"/>
        <w:rtl/>
      </w:rPr>
    </w:pPr>
  </w:p>
  <w:p w:rsidR="004E71DD" w:rsidP="00A853B1" w14:paraId="6A4AA1EE" w14:textId="54CEC1F7">
    <w:pPr>
      <w:pStyle w:val="Footer"/>
      <w:tabs>
        <w:tab w:val="left" w:pos="488"/>
        <w:tab w:val="left" w:pos="522"/>
        <w:tab w:val="clear" w:pos="4153"/>
        <w:tab w:val="clear" w:pos="8306"/>
      </w:tabs>
      <w:spacing w:after="30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P="004E71DD" w14:paraId="4C3309D7" w14:textId="69E500C3">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10601" w:rsidP="00E7235E" w14:paraId="1DC4B056" w14:textId="77777777">
      <w:pPr>
        <w:spacing w:line="240" w:lineRule="auto"/>
      </w:pPr>
      <w:r>
        <w:separator/>
      </w:r>
    </w:p>
  </w:footnote>
  <w:footnote w:type="continuationSeparator" w:id="1">
    <w:p w:rsidR="00A10601" w:rsidP="00C23CC9" w14:paraId="2851ED46" w14:textId="77777777">
      <w:pPr>
        <w:spacing w:line="240" w:lineRule="auto"/>
      </w:pPr>
      <w:r>
        <w:continuationSeparator/>
      </w:r>
    </w:p>
    <w:p w:rsidR="00A10601" w14:paraId="6A084BDA" w14:textId="77777777"/>
    <w:p w:rsidR="00A10601" w14:paraId="5B52D797" w14:textId="77777777"/>
    <w:p w:rsidR="00A10601" w14:paraId="14259D31" w14:textId="77777777"/>
  </w:footnote>
  <w:footnote w:id="2">
    <w:p w:rsidR="00BD02E8" w:rsidRPr="00BD02E8" w:rsidP="00BD02E8" w14:paraId="0363D104" w14:textId="77777777">
      <w:pPr>
        <w:pStyle w:val="753"/>
      </w:pPr>
      <w:r w:rsidRPr="00BD02E8">
        <w:rPr>
          <w:rStyle w:val="FootnoteReference1"/>
          <w:vertAlign w:val="baseline"/>
        </w:rPr>
        <w:footnoteRef/>
      </w:r>
      <w:r w:rsidRPr="00BD02E8">
        <w:rPr>
          <w:rtl/>
        </w:rPr>
        <w:t xml:space="preserve"> </w:t>
      </w:r>
      <w:r w:rsidRPr="00BD02E8">
        <w:rPr>
          <w:rtl/>
        </w:rPr>
        <w:tab/>
        <w:t>המשרד לקידום מעמד האישה הוקם במהלך הביקורת מכוח החלטת ממשלה מס' 433 (2.4.23), שבה הוחלט גם להעביר אליו מהמשרד לשוויון חברתי את שטח הפעולה: קידום מעמד האישה ובכלל זה את האחריות על הרשות לקידום מעמד האישה. בהחלטת ממשלה מס' 1316 (21.1.24) הוחלט על ביטול החלטה מס' 433 תוך החזרת שטח הפעולה: קידום מעמד האישה ובכלל זה את האחריות על הרשות לקידום מעמד האישה למשרד לשוויון חברתי ושינוי שמו ל"משרד לשוויון חברתי וקידום מעמד האישה".</w:t>
      </w:r>
    </w:p>
  </w:footnote>
  <w:footnote w:id="3">
    <w:p w:rsidR="00A24806" w:rsidRPr="00E84EFD" w:rsidP="00E84EFD" w14:paraId="144C7052" w14:textId="77777777">
      <w:pPr>
        <w:pStyle w:val="753"/>
      </w:pPr>
      <w:r w:rsidRPr="00E84EFD">
        <w:rPr>
          <w:rStyle w:val="FootnoteReference1"/>
          <w:vertAlign w:val="baseline"/>
        </w:rPr>
        <w:footnoteRef/>
      </w:r>
      <w:r w:rsidRPr="00E84EFD">
        <w:rPr>
          <w:rtl/>
        </w:rPr>
        <w:t xml:space="preserve"> </w:t>
      </w:r>
      <w:r w:rsidRPr="00E84EFD">
        <w:rPr>
          <w:rtl/>
        </w:rPr>
        <w:tab/>
        <w:t xml:space="preserve">המדד מדרג את המדינות לפי מידת הקרבה שלהן להשגת שוויון מגדרי ולא לפי מידת קיומו של שוויון מגדרי. </w:t>
      </w:r>
    </w:p>
  </w:footnote>
  <w:footnote w:id="4">
    <w:p w:rsidR="00197D94" w:rsidRPr="00197D94" w:rsidP="00197D94" w14:paraId="1C378B15" w14:textId="24A42FB6">
      <w:pPr>
        <w:pStyle w:val="753"/>
        <w:rPr>
          <w:rStyle w:val="FootnoteReference1"/>
          <w:vertAlign w:val="baseline"/>
        </w:rPr>
      </w:pPr>
      <w:r w:rsidRPr="00197D94">
        <w:rPr>
          <w:rStyle w:val="FootnoteReference1"/>
          <w:vertAlign w:val="baseline"/>
        </w:rPr>
        <w:footnoteRef/>
      </w:r>
      <w:r w:rsidRPr="00197D94">
        <w:rPr>
          <w:rStyle w:val="FootnoteReference1"/>
          <w:vertAlign w:val="baseline"/>
          <w:rtl/>
        </w:rPr>
        <w:t xml:space="preserve"> </w:t>
      </w:r>
      <w:r>
        <w:rPr>
          <w:rtl/>
        </w:rPr>
        <w:tab/>
      </w:r>
      <w:r w:rsidRPr="00197D94">
        <w:rPr>
          <w:rStyle w:val="FootnoteReference1"/>
          <w:vertAlign w:val="baseline"/>
          <w:rtl/>
        </w:rPr>
        <w:t>בבדיקה לא נכללו המועצות המקומיות שער שומרון וצור הדסה.</w:t>
      </w:r>
    </w:p>
  </w:footnote>
  <w:footnote w:id="5">
    <w:p w:rsidR="00CA17C5" w:rsidRPr="00EE7644" w:rsidP="00EE7644" w14:paraId="0A012A10" w14:textId="77777777">
      <w:pPr>
        <w:pStyle w:val="753"/>
        <w:rPr>
          <w:rtl/>
        </w:rPr>
      </w:pPr>
      <w:r w:rsidRPr="00EE7644">
        <w:rPr>
          <w:rStyle w:val="FootnoteReference1"/>
          <w:vertAlign w:val="baseline"/>
        </w:rPr>
        <w:footnoteRef/>
      </w:r>
      <w:r w:rsidRPr="00EE7644">
        <w:rPr>
          <w:rtl/>
        </w:rPr>
        <w:t xml:space="preserve"> </w:t>
      </w:r>
      <w:r w:rsidRPr="00EE7644">
        <w:rPr>
          <w:rtl/>
        </w:rPr>
        <w:tab/>
        <w:t>ההגדרה של "ספורטאי פעיל" מתייחסת להשתתפות במספר מזערי של תחרויות וסף עליון של שנת לידה, הנקבעים כתלות בענף הספורט.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7898F99C"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1FACDDD2"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45C6766A"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69B99207"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F24085D" w14:textId="77777777">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2CEA5D81"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5CA700D4"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6961512F"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042893" w14:textId="0C78C6C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00975F02">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042893" w14:paraId="6BC4C0AD" w14:textId="0C78C6C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00975F02">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p>
                </w:txbxContent>
              </v:textbox>
              <w10:wrap type="square"/>
            </v:shape>
          </w:pict>
        </mc:Fallback>
      </mc:AlternateContent>
    </w:r>
  </w:p>
  <w:p w:rsidR="00F73EE0" w:rsidP="001526AC" w14:paraId="0DD7BE7A" w14:textId="77777777">
    <w:pPr>
      <w:pStyle w:val="Header"/>
      <w:tabs>
        <w:tab w:val="left" w:pos="493"/>
        <w:tab w:val="center" w:pos="4111"/>
        <w:tab w:val="clear" w:pos="4153"/>
        <w:tab w:val="right" w:pos="7478"/>
        <w:tab w:val="right" w:pos="8222"/>
        <w:tab w:val="clear" w:pos="8306"/>
      </w:tabs>
      <w:jc w:val="left"/>
      <w:rPr>
        <w:rtl/>
      </w:rPr>
    </w:pPr>
  </w:p>
  <w:p w:rsidR="00F73EE0" w:rsidRPr="001526AC" w:rsidP="00005B23" w14:paraId="28B312A8"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77C8AA3F">
                          <w:pPr>
                            <w:jc w:val="right"/>
                            <w:rPr>
                              <w:color w:val="0D0D0D" w:themeColor="text1" w:themeTint="F2"/>
                              <w:sz w:val="16"/>
                              <w:szCs w:val="16"/>
                            </w:rPr>
                          </w:pPr>
                          <w:r>
                            <w:rPr>
                              <w:rFonts w:ascii="Tahoma" w:hAnsi="Tahoma" w:cs="Tahoma" w:hint="cs"/>
                              <w:color w:val="0D0D0D"/>
                              <w:sz w:val="16"/>
                              <w:szCs w:val="16"/>
                              <w:rtl/>
                            </w:rPr>
                            <w:t xml:space="preserve">מבקר המדינה | </w:t>
                          </w:r>
                          <w:r w:rsidRPr="00AE7EA4">
                            <w:rPr>
                              <w:rFonts w:ascii="Tahoma" w:hAnsi="Tahoma" w:cs="Tahoma"/>
                              <w:color w:val="0D0D0D"/>
                              <w:sz w:val="16"/>
                              <w:szCs w:val="16"/>
                              <w:rtl/>
                            </w:rPr>
                            <w:t xml:space="preserve">דוח </w:t>
                          </w:r>
                          <w:r>
                            <w:rPr>
                              <w:rFonts w:ascii="Tahoma" w:hAnsi="Tahoma" w:cs="Tahoma" w:hint="cs"/>
                              <w:color w:val="0D0D0D"/>
                              <w:sz w:val="16"/>
                              <w:szCs w:val="16"/>
                              <w:rtl/>
                            </w:rPr>
                            <w:t>על הביקורת בשלטון המקומי</w:t>
                          </w:r>
                          <w:r w:rsidRPr="00AE7EA4">
                            <w:rPr>
                              <w:rFonts w:ascii="Tahoma" w:hAnsi="Tahoma" w:cs="Tahoma"/>
                              <w:color w:val="0D0D0D"/>
                              <w:sz w:val="16"/>
                              <w:szCs w:val="16"/>
                              <w:rtl/>
                            </w:rPr>
                            <w:t xml:space="preserve"> | </w:t>
                          </w:r>
                          <w:r w:rsidR="00294CBF">
                            <w:rPr>
                              <w:rFonts w:ascii="Tahoma" w:hAnsi="Tahoma" w:cs="Tahoma" w:hint="cs"/>
                              <w:color w:val="0D0D0D"/>
                              <w:sz w:val="16"/>
                              <w:szCs w:val="16"/>
                              <w:rtl/>
                            </w:rPr>
                            <w:t>ה</w:t>
                          </w:r>
                          <w:r w:rsidRPr="00AE7EA4">
                            <w:rPr>
                              <w:rFonts w:ascii="Tahoma" w:hAnsi="Tahoma" w:cs="Tahoma"/>
                              <w:color w:val="0D0D0D"/>
                              <w:sz w:val="16"/>
                              <w:szCs w:val="16"/>
                              <w:rtl/>
                            </w:rPr>
                            <w:t>תשפ״ד</w:t>
                          </w:r>
                          <w:r>
                            <w:rPr>
                              <w:rFonts w:ascii="Tahoma" w:hAnsi="Tahoma" w:cs="Tahoma" w:hint="cs"/>
                              <w:color w:val="0D0D0D"/>
                              <w:sz w:val="16"/>
                              <w:szCs w:val="16"/>
                              <w:rtl/>
                            </w:rPr>
                            <w:t>-</w:t>
                          </w:r>
                          <w:r w:rsidRPr="00AE7EA4">
                            <w:rPr>
                              <w:rFonts w:ascii="Tahoma" w:hAnsi="Tahoma" w:cs="Tahoma"/>
                              <w:color w:val="0D0D0D"/>
                              <w:sz w:val="16"/>
                              <w:szCs w:val="16"/>
                              <w:rtl/>
                            </w:rPr>
                            <w:t>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5BE3FCC4" w14:textId="77C8AA3F">
                    <w:pPr>
                      <w:jc w:val="right"/>
                      <w:rPr>
                        <w:color w:val="0D0D0D" w:themeColor="text1" w:themeTint="F2"/>
                        <w:sz w:val="16"/>
                        <w:szCs w:val="16"/>
                      </w:rPr>
                    </w:pPr>
                    <w:r>
                      <w:rPr>
                        <w:rFonts w:ascii="Tahoma" w:hAnsi="Tahoma" w:cs="Tahoma" w:hint="cs"/>
                        <w:color w:val="0D0D0D"/>
                        <w:sz w:val="16"/>
                        <w:szCs w:val="16"/>
                        <w:rtl/>
                      </w:rPr>
                      <w:t xml:space="preserve">מבקר המדינה | </w:t>
                    </w:r>
                    <w:r w:rsidRPr="00AE7EA4">
                      <w:rPr>
                        <w:rFonts w:ascii="Tahoma" w:hAnsi="Tahoma" w:cs="Tahoma"/>
                        <w:color w:val="0D0D0D"/>
                        <w:sz w:val="16"/>
                        <w:szCs w:val="16"/>
                        <w:rtl/>
                      </w:rPr>
                      <w:t xml:space="preserve">דוח </w:t>
                    </w:r>
                    <w:r>
                      <w:rPr>
                        <w:rFonts w:ascii="Tahoma" w:hAnsi="Tahoma" w:cs="Tahoma" w:hint="cs"/>
                        <w:color w:val="0D0D0D"/>
                        <w:sz w:val="16"/>
                        <w:szCs w:val="16"/>
                        <w:rtl/>
                      </w:rPr>
                      <w:t>על הביקורת בשלטון המקומי</w:t>
                    </w:r>
                    <w:r w:rsidRPr="00AE7EA4">
                      <w:rPr>
                        <w:rFonts w:ascii="Tahoma" w:hAnsi="Tahoma" w:cs="Tahoma"/>
                        <w:color w:val="0D0D0D"/>
                        <w:sz w:val="16"/>
                        <w:szCs w:val="16"/>
                        <w:rtl/>
                      </w:rPr>
                      <w:t xml:space="preserve"> | </w:t>
                    </w:r>
                    <w:r w:rsidR="00294CBF">
                      <w:rPr>
                        <w:rFonts w:ascii="Tahoma" w:hAnsi="Tahoma" w:cs="Tahoma" w:hint="cs"/>
                        <w:color w:val="0D0D0D"/>
                        <w:sz w:val="16"/>
                        <w:szCs w:val="16"/>
                        <w:rtl/>
                      </w:rPr>
                      <w:t>ה</w:t>
                    </w:r>
                    <w:r w:rsidRPr="00AE7EA4">
                      <w:rPr>
                        <w:rFonts w:ascii="Tahoma" w:hAnsi="Tahoma" w:cs="Tahoma"/>
                        <w:color w:val="0D0D0D"/>
                        <w:sz w:val="16"/>
                        <w:szCs w:val="16"/>
                        <w:rtl/>
                      </w:rPr>
                      <w:t>תשפ״ד</w:t>
                    </w:r>
                    <w:r>
                      <w:rPr>
                        <w:rFonts w:ascii="Tahoma" w:hAnsi="Tahoma" w:cs="Tahoma" w:hint="cs"/>
                        <w:color w:val="0D0D0D"/>
                        <w:sz w:val="16"/>
                        <w:szCs w:val="16"/>
                        <w:rtl/>
                      </w:rPr>
                      <w:t>-</w:t>
                    </w:r>
                    <w:r w:rsidRPr="00AE7EA4">
                      <w:rPr>
                        <w:rFonts w:ascii="Tahoma" w:hAnsi="Tahoma" w:cs="Tahoma"/>
                        <w:color w:val="0D0D0D"/>
                        <w:sz w:val="16"/>
                        <w:szCs w:val="16"/>
                        <w:rtl/>
                      </w:rPr>
                      <w:t>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03DC109" w14:textId="77777777">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39DF3D8C"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2C232BD8" w14:textId="77777777">
    <w:pPr>
      <w:pStyle w:val="Header"/>
      <w:ind w:firstLine="720"/>
      <w:rPr>
        <w:rtl/>
      </w:rPr>
    </w:pPr>
  </w:p>
  <w:p w:rsidR="00F73EE0" w14:paraId="5C55D270" w14:textId="77777777">
    <w:pPr>
      <w:pStyle w:val="Header"/>
      <w:rPr>
        <w:rtl/>
      </w:rPr>
    </w:pPr>
  </w:p>
  <w:p w:rsidR="00F73EE0" w14:paraId="6376EBC7"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3DC99E41"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64400A02" w14:textId="7777777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56933035" w14:textId="77777777">
    <w:pPr>
      <w:pStyle w:val="Header"/>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P="004E71DD" w14:textId="69B35F33">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4E71DD" w:rsidRPr="00FD02CC" w:rsidP="004E71DD" w14:paraId="0A2EEE25" w14:textId="69B35F33">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4E71DD" w:rsidP="004E71DD" w14:paraId="67AD5038" w14:textId="3167E571">
    <w:pPr>
      <w:pStyle w:val="Header"/>
      <w:ind w:firstLine="720"/>
      <w:rPr>
        <w:rtl/>
      </w:rPr>
    </w:pPr>
  </w:p>
  <w:p w:rsidR="004E71DD" w:rsidP="004E71DD" w14:paraId="7EEB74EB" w14:textId="04823D60">
    <w:pPr>
      <w:pStyle w:val="Header"/>
      <w:rPr>
        <w:rtl/>
      </w:rPr>
    </w:pPr>
  </w:p>
  <w:p w:rsidR="004E71DD" w:rsidP="004E71DD" w14:paraId="29F14FE3" w14:textId="67F7DA5C">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B60E3E" w:rsidP="004E71DD" w14:textId="06EBDCEF">
                          <w:pPr>
                            <w:pStyle w:val="Heading1"/>
                            <w:spacing w:line="269" w:lineRule="auto"/>
                            <w:jc w:val="left"/>
                            <w:rPr>
                              <w:rFonts w:ascii="Tahoma" w:hAnsi="Tahoma" w:eastAsiaTheme="minorHAnsi" w:cs="Tahoma"/>
                              <w:bCs w:val="0"/>
                              <w:color w:val="0D0D0D" w:themeColor="text1" w:themeTint="F2"/>
                              <w:sz w:val="16"/>
                              <w:szCs w:val="16"/>
                              <w:u w:val="none"/>
                            </w:rPr>
                          </w:pPr>
                          <w:r w:rsidRPr="00EF440B">
                            <w:rPr>
                              <w:rFonts w:ascii="Tahoma" w:hAnsi="Tahoma" w:eastAsiaTheme="minorHAnsi" w:cs="Tahoma" w:hint="cs"/>
                              <w:bCs w:val="0"/>
                              <w:color w:val="0D0D0D" w:themeColor="text1" w:themeTint="F2"/>
                              <w:sz w:val="16"/>
                              <w:szCs w:val="16"/>
                              <w:u w:val="none"/>
                              <w:rtl/>
                            </w:rPr>
                            <w:t>קידום השוויון המגדרי בשלטון המקומי</w:t>
                          </w:r>
                          <w:r w:rsidR="00B60E3E">
                            <w:rPr>
                              <w:rFonts w:ascii="Tahoma" w:hAnsi="Tahoma" w:eastAsiaTheme="minorHAnsi" w:cs="Tahoma" w:hint="cs"/>
                              <w:bCs w:val="0"/>
                              <w:color w:val="0D0D0D" w:themeColor="text1" w:themeTint="F2"/>
                              <w:sz w:val="16"/>
                              <w:szCs w:val="16"/>
                              <w:u w:val="none"/>
                              <w:rtl/>
                            </w:rPr>
                            <w:t xml:space="preserve">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alt="&quot;&quot;"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4E71DD" w:rsidRPr="00B60E3E" w:rsidP="004E71DD" w14:paraId="5EC6D3B2" w14:textId="06EBDCEF">
                    <w:pPr>
                      <w:pStyle w:val="Heading1"/>
                      <w:spacing w:line="269" w:lineRule="auto"/>
                      <w:jc w:val="left"/>
                      <w:rPr>
                        <w:rFonts w:ascii="Tahoma" w:hAnsi="Tahoma" w:eastAsiaTheme="minorHAnsi" w:cs="Tahoma"/>
                        <w:bCs w:val="0"/>
                        <w:color w:val="0D0D0D" w:themeColor="text1" w:themeTint="F2"/>
                        <w:sz w:val="16"/>
                        <w:szCs w:val="16"/>
                        <w:u w:val="none"/>
                      </w:rPr>
                    </w:pPr>
                    <w:r w:rsidRPr="00EF440B">
                      <w:rPr>
                        <w:rFonts w:ascii="Tahoma" w:hAnsi="Tahoma" w:eastAsiaTheme="minorHAnsi" w:cs="Tahoma" w:hint="cs"/>
                        <w:bCs w:val="0"/>
                        <w:color w:val="0D0D0D" w:themeColor="text1" w:themeTint="F2"/>
                        <w:sz w:val="16"/>
                        <w:szCs w:val="16"/>
                        <w:u w:val="none"/>
                        <w:rtl/>
                      </w:rPr>
                      <w:t>קידום השוויון המגדרי בשלטון המקומי</w:t>
                    </w:r>
                    <w:r w:rsidR="00B60E3E">
                      <w:rPr>
                        <w:rFonts w:ascii="Tahoma" w:hAnsi="Tahoma" w:eastAsiaTheme="minorHAnsi" w:cs="Tahoma" w:hint="cs"/>
                        <w:bCs w:val="0"/>
                        <w:color w:val="0D0D0D" w:themeColor="text1" w:themeTint="F2"/>
                        <w:sz w:val="16"/>
                        <w:szCs w:val="16"/>
                        <w:u w:val="none"/>
                        <w:rtl/>
                      </w:rPr>
                      <w:t xml:space="preserve">     </w:t>
                    </w:r>
                  </w:p>
                </w:txbxContent>
              </v:textbox>
              <w10:wrap type="square"/>
            </v:shape>
          </w:pict>
        </mc:Fallback>
      </mc:AlternateContent>
    </w:r>
  </w:p>
  <w:p w:rsidR="004E71DD" w:rsidP="004E71DD" w14:paraId="29927C53" w14:textId="77777777">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9" name="Picture 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0768" from="-109.7pt,27.8pt" to="367.9pt,27.8pt" strokecolor="#0d0d0d" strokeweight="0.25pt"/>
          </w:pict>
        </mc:Fallback>
      </mc:AlternateContent>
    </w:r>
  </w:p>
  <w:p w:rsidR="008B694B" w:rsidRPr="004E71DD" w:rsidP="004E71DD" w14:paraId="73B85337" w14:textId="776B8773">
    <w:pPr>
      <w:pStyle w:val="Header"/>
      <w:rPr>
        <w:szCs w:val="20"/>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66A492DD" w14:textId="477FF064">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3424" filled="f" strokecolor="#a5a5a5" strokeweight="0.25pt">
              <v:stroke dashstyle="longDash"/>
              <v:textbox>
                <w:txbxContent>
                  <w:p w:rsidR="00E56721" w:rsidRPr="00FD02CC" w:rsidP="006E67D8" w14:paraId="76E0C3EE"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085596" w:rsidP="00582DA9" w14:textId="3633000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820929">
                            <w:rPr>
                              <w:rFonts w:hint="cs"/>
                              <w:rtl/>
                            </w:rPr>
                            <w:t xml:space="preserve"> </w:t>
                          </w:r>
                          <w:r>
                            <w:rPr>
                              <w:rFonts w:ascii="Tahoma" w:hAnsi="Tahoma" w:cs="Tahoma" w:hint="cs"/>
                              <w:sz w:val="24"/>
                              <w:szCs w:val="24"/>
                              <w:rtl/>
                            </w:rPr>
                            <w:t xml:space="preserve"> </w:t>
                          </w:r>
                          <w:r w:rsidR="00820929">
                            <w:rPr>
                              <w:rFonts w:ascii="Tahoma" w:hAnsi="Tahoma" w:cs="Tahoma" w:hint="cs"/>
                              <w:sz w:val="24"/>
                              <w:szCs w:val="24"/>
                              <w:rtl/>
                            </w:rPr>
                            <w:t xml:space="preserve"> </w:t>
                          </w:r>
                          <w:r w:rsidR="00EE210F">
                            <w:rPr>
                              <w:rFonts w:ascii="Tahoma" w:hAnsi="Tahoma" w:cs="Tahoma" w:hint="cs"/>
                              <w:sz w:val="24"/>
                              <w:szCs w:val="24"/>
                              <w:rtl/>
                            </w:rPr>
                            <w:t xml:space="preserve"> </w:t>
                          </w:r>
                          <w:r w:rsidRPr="00EE210F" w:rsidR="00820929">
                            <w:rPr>
                              <w:rFonts w:ascii="Tahoma" w:hAnsi="Tahoma" w:cs="Tahoma" w:hint="cs"/>
                              <w:sz w:val="21"/>
                              <w:szCs w:val="21"/>
                              <w:rtl/>
                            </w:rPr>
                            <w:t xml:space="preserve">תקציר </w:t>
                          </w:r>
                          <w:r w:rsidRPr="00EE210F">
                            <w:rPr>
                              <w:rFonts w:ascii="Tahoma" w:hAnsi="Tahoma" w:cs="Tahoma" w:hint="cs"/>
                              <w:sz w:val="21"/>
                              <w:szCs w:val="21"/>
                              <w:rtl/>
                            </w:rPr>
                            <w:t xml:space="preserve">|  </w:t>
                          </w:r>
                          <w:r w:rsidRPr="00B55067" w:rsidR="00B55067">
                            <w:rPr>
                              <w:rFonts w:ascii="Tahoma" w:hAnsi="Tahoma" w:cs="Tahoma" w:hint="cs"/>
                              <w:b/>
                              <w:bCs/>
                              <w:rtl/>
                            </w:rPr>
                            <w:t>קידום השוויון המגדרי בשלטון המקומי</w:t>
                          </w:r>
                          <w:r w:rsidRPr="007E281F" w:rsidR="00B55067">
                            <w:rPr>
                              <w:rFonts w:ascii="Tahoma" w:hAnsi="Tahoma" w:cs="Tahoma"/>
                              <w:b/>
                              <w:bCs/>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9984" fillcolor="#00305f" strokecolor="#00305f">
              <v:textbox style="layout-flow:vertical;mso-layout-flow-alt:bottom-to-top" inset="0,0,0,0">
                <w:txbxContent>
                  <w:p w:rsidR="00E56721" w:rsidRPr="00085596" w:rsidP="00582DA9" w14:paraId="766F404C" w14:textId="3633000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820929">
                      <w:rPr>
                        <w:rFonts w:hint="cs"/>
                        <w:rtl/>
                      </w:rPr>
                      <w:t xml:space="preserve"> </w:t>
                    </w:r>
                    <w:r>
                      <w:rPr>
                        <w:rFonts w:ascii="Tahoma" w:hAnsi="Tahoma" w:cs="Tahoma" w:hint="cs"/>
                        <w:sz w:val="24"/>
                        <w:szCs w:val="24"/>
                        <w:rtl/>
                      </w:rPr>
                      <w:t xml:space="preserve"> </w:t>
                    </w:r>
                    <w:r w:rsidR="00820929">
                      <w:rPr>
                        <w:rFonts w:ascii="Tahoma" w:hAnsi="Tahoma" w:cs="Tahoma" w:hint="cs"/>
                        <w:sz w:val="24"/>
                        <w:szCs w:val="24"/>
                        <w:rtl/>
                      </w:rPr>
                      <w:t xml:space="preserve"> </w:t>
                    </w:r>
                    <w:r w:rsidR="00EE210F">
                      <w:rPr>
                        <w:rFonts w:ascii="Tahoma" w:hAnsi="Tahoma" w:cs="Tahoma" w:hint="cs"/>
                        <w:sz w:val="24"/>
                        <w:szCs w:val="24"/>
                        <w:rtl/>
                      </w:rPr>
                      <w:t xml:space="preserve"> </w:t>
                    </w:r>
                    <w:r w:rsidRPr="00EE210F" w:rsidR="00820929">
                      <w:rPr>
                        <w:rFonts w:ascii="Tahoma" w:hAnsi="Tahoma" w:cs="Tahoma" w:hint="cs"/>
                        <w:sz w:val="21"/>
                        <w:szCs w:val="21"/>
                        <w:rtl/>
                      </w:rPr>
                      <w:t xml:space="preserve">תקציר </w:t>
                    </w:r>
                    <w:r w:rsidRPr="00EE210F">
                      <w:rPr>
                        <w:rFonts w:ascii="Tahoma" w:hAnsi="Tahoma" w:cs="Tahoma" w:hint="cs"/>
                        <w:sz w:val="21"/>
                        <w:szCs w:val="21"/>
                        <w:rtl/>
                      </w:rPr>
                      <w:t xml:space="preserve">|  </w:t>
                    </w:r>
                    <w:r w:rsidRPr="00B55067" w:rsidR="00B55067">
                      <w:rPr>
                        <w:rFonts w:ascii="Tahoma" w:hAnsi="Tahoma" w:cs="Tahoma" w:hint="cs"/>
                        <w:b/>
                        <w:bCs/>
                        <w:rtl/>
                      </w:rPr>
                      <w:t>קידום השוויון המגדרי בשלטון המקומי</w:t>
                    </w:r>
                    <w:r w:rsidRPr="007E281F" w:rsidR="00B55067">
                      <w:rPr>
                        <w:rFonts w:ascii="Tahoma" w:hAnsi="Tahoma" w:cs="Tahoma"/>
                        <w:b/>
                        <w:bCs/>
                        <w:rtl/>
                      </w:rPr>
                      <w:t xml:space="preserve"> </w:t>
                    </w:r>
                  </w:p>
                </w:txbxContent>
              </v:textbox>
              <w10:wrap type="square"/>
            </v:shape>
          </w:pict>
        </mc:Fallback>
      </mc:AlternateContent>
    </w:r>
  </w:p>
  <w:p w:rsidR="00E56721" w:rsidP="001526AC" w14:paraId="52A32138"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573E41A0"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68383748">
                          <w:pPr>
                            <w:jc w:val="right"/>
                            <w:rPr>
                              <w:color w:val="0D0D0D" w:themeColor="text1" w:themeTint="F2"/>
                              <w:sz w:val="16"/>
                              <w:szCs w:val="16"/>
                            </w:rPr>
                          </w:pPr>
                          <w:r>
                            <w:rPr>
                              <w:rFonts w:ascii="Tahoma" w:hAnsi="Tahoma" w:cs="Tahoma" w:hint="cs"/>
                              <w:color w:val="0D0D0D"/>
                              <w:sz w:val="16"/>
                              <w:szCs w:val="16"/>
                              <w:rtl/>
                            </w:rPr>
                            <w:t xml:space="preserve">מבקר המדינה | </w:t>
                          </w:r>
                          <w:r w:rsidRPr="00AE7EA4">
                            <w:rPr>
                              <w:rFonts w:ascii="Tahoma" w:hAnsi="Tahoma" w:cs="Tahoma"/>
                              <w:color w:val="0D0D0D"/>
                              <w:sz w:val="16"/>
                              <w:szCs w:val="16"/>
                              <w:rtl/>
                            </w:rPr>
                            <w:t xml:space="preserve">דוח </w:t>
                          </w:r>
                          <w:r>
                            <w:rPr>
                              <w:rFonts w:ascii="Tahoma" w:hAnsi="Tahoma" w:cs="Tahoma" w:hint="cs"/>
                              <w:color w:val="0D0D0D"/>
                              <w:sz w:val="16"/>
                              <w:szCs w:val="16"/>
                              <w:rtl/>
                            </w:rPr>
                            <w:t>על הביקורת בשלטון המקומי</w:t>
                          </w:r>
                          <w:r w:rsidRPr="00AE7EA4">
                            <w:rPr>
                              <w:rFonts w:ascii="Tahoma" w:hAnsi="Tahoma" w:cs="Tahoma"/>
                              <w:color w:val="0D0D0D"/>
                              <w:sz w:val="16"/>
                              <w:szCs w:val="16"/>
                              <w:rtl/>
                            </w:rPr>
                            <w:t xml:space="preserve"> | </w:t>
                          </w:r>
                          <w:r w:rsidR="00294CBF">
                            <w:rPr>
                              <w:rFonts w:ascii="Tahoma" w:hAnsi="Tahoma" w:cs="Tahoma" w:hint="cs"/>
                              <w:color w:val="0D0D0D"/>
                              <w:sz w:val="16"/>
                              <w:szCs w:val="16"/>
                              <w:rtl/>
                            </w:rPr>
                            <w:t>ה</w:t>
                          </w:r>
                          <w:r w:rsidRPr="00AE7EA4">
                            <w:rPr>
                              <w:rFonts w:ascii="Tahoma" w:hAnsi="Tahoma" w:cs="Tahoma"/>
                              <w:color w:val="0D0D0D"/>
                              <w:sz w:val="16"/>
                              <w:szCs w:val="16"/>
                              <w:rtl/>
                            </w:rPr>
                            <w:t>תשפ״ד</w:t>
                          </w:r>
                          <w:r>
                            <w:rPr>
                              <w:rFonts w:ascii="Tahoma" w:hAnsi="Tahoma" w:cs="Tahoma" w:hint="cs"/>
                              <w:color w:val="0D0D0D"/>
                              <w:sz w:val="16"/>
                              <w:szCs w:val="16"/>
                              <w:rtl/>
                            </w:rPr>
                            <w:t>-</w:t>
                          </w:r>
                          <w:r w:rsidRPr="00AE7EA4">
                            <w:rPr>
                              <w:rFonts w:ascii="Tahoma" w:hAnsi="Tahoma" w:cs="Tahoma"/>
                              <w:color w:val="0D0D0D"/>
                              <w:sz w:val="16"/>
                              <w:szCs w:val="16"/>
                              <w:rtl/>
                            </w:rPr>
                            <w:t>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3"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5888" strokecolor="white">
              <v:textbox>
                <w:txbxContent>
                  <w:p w:rsidR="00E56721" w:rsidRPr="00C55DC9" w:rsidP="00B244B0" w14:paraId="70F458A6" w14:textId="68383748">
                    <w:pPr>
                      <w:jc w:val="right"/>
                      <w:rPr>
                        <w:color w:val="0D0D0D" w:themeColor="text1" w:themeTint="F2"/>
                        <w:sz w:val="16"/>
                        <w:szCs w:val="16"/>
                      </w:rPr>
                    </w:pPr>
                    <w:r>
                      <w:rPr>
                        <w:rFonts w:ascii="Tahoma" w:hAnsi="Tahoma" w:cs="Tahoma" w:hint="cs"/>
                        <w:color w:val="0D0D0D"/>
                        <w:sz w:val="16"/>
                        <w:szCs w:val="16"/>
                        <w:rtl/>
                      </w:rPr>
                      <w:t xml:space="preserve">מבקר המדינה | </w:t>
                    </w:r>
                    <w:r w:rsidRPr="00AE7EA4">
                      <w:rPr>
                        <w:rFonts w:ascii="Tahoma" w:hAnsi="Tahoma" w:cs="Tahoma"/>
                        <w:color w:val="0D0D0D"/>
                        <w:sz w:val="16"/>
                        <w:szCs w:val="16"/>
                        <w:rtl/>
                      </w:rPr>
                      <w:t xml:space="preserve">דוח </w:t>
                    </w:r>
                    <w:r>
                      <w:rPr>
                        <w:rFonts w:ascii="Tahoma" w:hAnsi="Tahoma" w:cs="Tahoma" w:hint="cs"/>
                        <w:color w:val="0D0D0D"/>
                        <w:sz w:val="16"/>
                        <w:szCs w:val="16"/>
                        <w:rtl/>
                      </w:rPr>
                      <w:t>על הביקורת בשלטון המקומי</w:t>
                    </w:r>
                    <w:r w:rsidRPr="00AE7EA4">
                      <w:rPr>
                        <w:rFonts w:ascii="Tahoma" w:hAnsi="Tahoma" w:cs="Tahoma"/>
                        <w:color w:val="0D0D0D"/>
                        <w:sz w:val="16"/>
                        <w:szCs w:val="16"/>
                        <w:rtl/>
                      </w:rPr>
                      <w:t xml:space="preserve"> | </w:t>
                    </w:r>
                    <w:r w:rsidR="00294CBF">
                      <w:rPr>
                        <w:rFonts w:ascii="Tahoma" w:hAnsi="Tahoma" w:cs="Tahoma" w:hint="cs"/>
                        <w:color w:val="0D0D0D"/>
                        <w:sz w:val="16"/>
                        <w:szCs w:val="16"/>
                        <w:rtl/>
                      </w:rPr>
                      <w:t>ה</w:t>
                    </w:r>
                    <w:r w:rsidRPr="00AE7EA4">
                      <w:rPr>
                        <w:rFonts w:ascii="Tahoma" w:hAnsi="Tahoma" w:cs="Tahoma"/>
                        <w:color w:val="0D0D0D"/>
                        <w:sz w:val="16"/>
                        <w:szCs w:val="16"/>
                        <w:rtl/>
                      </w:rPr>
                      <w:t>תשפ״ד</w:t>
                    </w:r>
                    <w:r>
                      <w:rPr>
                        <w:rFonts w:ascii="Tahoma" w:hAnsi="Tahoma" w:cs="Tahoma" w:hint="cs"/>
                        <w:color w:val="0D0D0D"/>
                        <w:sz w:val="16"/>
                        <w:szCs w:val="16"/>
                        <w:rtl/>
                      </w:rPr>
                      <w:t>-</w:t>
                    </w:r>
                    <w:r w:rsidRPr="00AE7EA4">
                      <w:rPr>
                        <w:rFonts w:ascii="Tahoma" w:hAnsi="Tahoma" w:cs="Tahoma"/>
                        <w:color w:val="0D0D0D"/>
                        <w:sz w:val="16"/>
                        <w:szCs w:val="16"/>
                        <w:rtl/>
                      </w:rPr>
                      <w:t>2024</w:t>
                    </w:r>
                  </w:p>
                </w:txbxContent>
              </v:textbox>
            </v:shape>
          </w:pict>
        </mc:Fallback>
      </mc:AlternateContent>
    </w:r>
    <w:r>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3788749"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749"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4" style="flip:x;mso-height-percent:0;mso-height-relative:margin;mso-width-percent:0;mso-width-relative:margin;mso-wrap-distance-bottom:0;mso-wrap-distance-left:9pt;mso-wrap-distance-right:9pt;mso-wrap-distance-top:0;mso-wrap-style:square;position:absolute;visibility:visible;z-index:251687936"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7D9A177A"/>
    <w:lvl w:ilvl="0">
      <w:start w:val="1"/>
      <w:numFmt w:val="decimal"/>
      <w:lvlText w:val="%1."/>
      <w:lvlJc w:val="left"/>
      <w:pPr>
        <w:tabs>
          <w:tab w:val="num" w:pos="1492"/>
        </w:tabs>
        <w:ind w:left="1492" w:hanging="360"/>
      </w:pPr>
    </w:lvl>
  </w:abstractNum>
  <w:abstractNum w:abstractNumId="1">
    <w:nsid w:val="FFFFFF7D"/>
    <w:multiLevelType w:val="singleLevel"/>
    <w:tmpl w:val="11263FE4"/>
    <w:lvl w:ilvl="0">
      <w:start w:val="1"/>
      <w:numFmt w:val="decimal"/>
      <w:lvlText w:val="%1."/>
      <w:lvlJc w:val="left"/>
      <w:pPr>
        <w:tabs>
          <w:tab w:val="num" w:pos="1209"/>
        </w:tabs>
        <w:ind w:left="1209" w:hanging="360"/>
      </w:pPr>
    </w:lvl>
  </w:abstractNum>
  <w:abstractNum w:abstractNumId="2">
    <w:nsid w:val="FFFFFF7F"/>
    <w:multiLevelType w:val="singleLevel"/>
    <w:tmpl w:val="40BC01CA"/>
    <w:lvl w:ilvl="0">
      <w:start w:val="1"/>
      <w:numFmt w:val="decimal"/>
      <w:lvlText w:val="%1."/>
      <w:lvlJc w:val="left"/>
      <w:pPr>
        <w:tabs>
          <w:tab w:val="num" w:pos="643"/>
        </w:tabs>
        <w:ind w:left="643" w:hanging="360"/>
      </w:pPr>
    </w:lvl>
  </w:abstractNum>
  <w:abstractNum w:abstractNumId="3">
    <w:nsid w:val="FFFFFF80"/>
    <w:multiLevelType w:val="singleLevel"/>
    <w:tmpl w:val="E9F27CAC"/>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8C10AAAA"/>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37CE4474"/>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704ED580"/>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910E5990"/>
    <w:lvl w:ilvl="0">
      <w:start w:val="1"/>
      <w:numFmt w:val="bullet"/>
      <w:lvlText w:val=""/>
      <w:lvlJc w:val="left"/>
      <w:pPr>
        <w:tabs>
          <w:tab w:val="num" w:pos="360"/>
        </w:tabs>
        <w:ind w:left="360" w:hanging="360"/>
      </w:pPr>
      <w:rPr>
        <w:rFonts w:ascii="Symbol" w:hAnsi="Symbol" w:hint="default"/>
      </w:rPr>
    </w:lvl>
  </w:abstractNum>
  <w:abstractNum w:abstractNumId="8">
    <w:nsid w:val="07C54509"/>
    <w:multiLevelType w:val="multilevel"/>
    <w:tmpl w:val="3030E6FC"/>
    <w:lvl w:ilvl="0">
      <w:start w:val="1"/>
      <w:numFmt w:val="decimal"/>
      <w:pStyle w:val="7322"/>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088216AB"/>
    <w:multiLevelType w:val="hybridMultilevel"/>
    <w:tmpl w:val="BB7ADECA"/>
    <w:lvl w:ilvl="0">
      <w:start w:val="1"/>
      <w:numFmt w:val="hebrew1"/>
      <w:pStyle w:val="123"/>
      <w:lvlText w:val="%1."/>
      <w:lvlJc w:val="center"/>
      <w:pPr>
        <w:ind w:left="1915" w:hanging="360"/>
      </w:pPr>
    </w:lvl>
    <w:lvl w:ilvl="1" w:tentative="1">
      <w:start w:val="1"/>
      <w:numFmt w:val="lowerLetter"/>
      <w:lvlText w:val="%2."/>
      <w:lvlJc w:val="left"/>
      <w:pPr>
        <w:ind w:left="2635" w:hanging="360"/>
      </w:pPr>
    </w:lvl>
    <w:lvl w:ilvl="2" w:tentative="1">
      <w:start w:val="1"/>
      <w:numFmt w:val="lowerRoman"/>
      <w:lvlText w:val="%3."/>
      <w:lvlJc w:val="right"/>
      <w:pPr>
        <w:ind w:left="3355" w:hanging="180"/>
      </w:pPr>
    </w:lvl>
    <w:lvl w:ilvl="3" w:tentative="1">
      <w:start w:val="1"/>
      <w:numFmt w:val="decimal"/>
      <w:lvlText w:val="%4."/>
      <w:lvlJc w:val="left"/>
      <w:pPr>
        <w:ind w:left="4075" w:hanging="360"/>
      </w:pPr>
    </w:lvl>
    <w:lvl w:ilvl="4" w:tentative="1">
      <w:start w:val="1"/>
      <w:numFmt w:val="lowerLetter"/>
      <w:lvlText w:val="%5."/>
      <w:lvlJc w:val="left"/>
      <w:pPr>
        <w:ind w:left="4795" w:hanging="360"/>
      </w:pPr>
    </w:lvl>
    <w:lvl w:ilvl="5" w:tentative="1">
      <w:start w:val="1"/>
      <w:numFmt w:val="lowerRoman"/>
      <w:lvlText w:val="%6."/>
      <w:lvlJc w:val="right"/>
      <w:pPr>
        <w:ind w:left="5515" w:hanging="180"/>
      </w:pPr>
    </w:lvl>
    <w:lvl w:ilvl="6" w:tentative="1">
      <w:start w:val="1"/>
      <w:numFmt w:val="decimal"/>
      <w:lvlText w:val="%7."/>
      <w:lvlJc w:val="left"/>
      <w:pPr>
        <w:ind w:left="6235" w:hanging="360"/>
      </w:pPr>
    </w:lvl>
    <w:lvl w:ilvl="7" w:tentative="1">
      <w:start w:val="1"/>
      <w:numFmt w:val="lowerLetter"/>
      <w:lvlText w:val="%8."/>
      <w:lvlJc w:val="left"/>
      <w:pPr>
        <w:ind w:left="6955" w:hanging="360"/>
      </w:pPr>
    </w:lvl>
    <w:lvl w:ilvl="8" w:tentative="1">
      <w:start w:val="1"/>
      <w:numFmt w:val="lowerRoman"/>
      <w:lvlText w:val="%9."/>
      <w:lvlJc w:val="right"/>
      <w:pPr>
        <w:ind w:left="7675" w:hanging="180"/>
      </w:pPr>
    </w:lvl>
  </w:abstractNum>
  <w:abstractNum w:abstractNumId="10">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4F65DF9"/>
    <w:multiLevelType w:val="hybridMultilevel"/>
    <w:tmpl w:val="FA309248"/>
    <w:lvl w:ilvl="0">
      <w:start w:val="1"/>
      <w:numFmt w:val="decimal"/>
      <w:lvlText w:val="(%1)"/>
      <w:lvlJc w:val="left"/>
      <w:pPr>
        <w:ind w:left="456" w:hanging="360"/>
      </w:pPr>
      <w:rPr>
        <w:rFonts w:hint="default"/>
        <w:vertAlign w:val="superscript"/>
      </w:rPr>
    </w:lvl>
    <w:lvl w:ilvl="1" w:tentative="1">
      <w:start w:val="1"/>
      <w:numFmt w:val="lowerLetter"/>
      <w:lvlText w:val="%2."/>
      <w:lvlJc w:val="left"/>
      <w:pPr>
        <w:ind w:left="1176" w:hanging="360"/>
      </w:pPr>
    </w:lvl>
    <w:lvl w:ilvl="2" w:tentative="1">
      <w:start w:val="1"/>
      <w:numFmt w:val="lowerRoman"/>
      <w:lvlText w:val="%3."/>
      <w:lvlJc w:val="right"/>
      <w:pPr>
        <w:ind w:left="1896" w:hanging="180"/>
      </w:pPr>
    </w:lvl>
    <w:lvl w:ilvl="3" w:tentative="1">
      <w:start w:val="1"/>
      <w:numFmt w:val="decimal"/>
      <w:lvlText w:val="%4."/>
      <w:lvlJc w:val="left"/>
      <w:pPr>
        <w:ind w:left="2616" w:hanging="360"/>
      </w:pPr>
    </w:lvl>
    <w:lvl w:ilvl="4" w:tentative="1">
      <w:start w:val="1"/>
      <w:numFmt w:val="lowerLetter"/>
      <w:lvlText w:val="%5."/>
      <w:lvlJc w:val="left"/>
      <w:pPr>
        <w:ind w:left="3336" w:hanging="360"/>
      </w:pPr>
    </w:lvl>
    <w:lvl w:ilvl="5" w:tentative="1">
      <w:start w:val="1"/>
      <w:numFmt w:val="lowerRoman"/>
      <w:lvlText w:val="%6."/>
      <w:lvlJc w:val="right"/>
      <w:pPr>
        <w:ind w:left="4056" w:hanging="180"/>
      </w:pPr>
    </w:lvl>
    <w:lvl w:ilvl="6" w:tentative="1">
      <w:start w:val="1"/>
      <w:numFmt w:val="decimal"/>
      <w:lvlText w:val="%7."/>
      <w:lvlJc w:val="left"/>
      <w:pPr>
        <w:ind w:left="4776" w:hanging="360"/>
      </w:pPr>
    </w:lvl>
    <w:lvl w:ilvl="7" w:tentative="1">
      <w:start w:val="1"/>
      <w:numFmt w:val="lowerLetter"/>
      <w:lvlText w:val="%8."/>
      <w:lvlJc w:val="left"/>
      <w:pPr>
        <w:ind w:left="5496" w:hanging="360"/>
      </w:pPr>
    </w:lvl>
    <w:lvl w:ilvl="8" w:tentative="1">
      <w:start w:val="1"/>
      <w:numFmt w:val="lowerRoman"/>
      <w:lvlText w:val="%9."/>
      <w:lvlJc w:val="right"/>
      <w:pPr>
        <w:ind w:left="6216" w:hanging="180"/>
      </w:pPr>
    </w:lvl>
  </w:abstractNum>
  <w:abstractNum w:abstractNumId="12">
    <w:nsid w:val="1C3D0C90"/>
    <w:multiLevelType w:val="hybridMultilevel"/>
    <w:tmpl w:val="A20ADE18"/>
    <w:lvl w:ilvl="0">
      <w:start w:val="1"/>
      <w:numFmt w:val="bullet"/>
      <w:lvlText w:val=""/>
      <w:lvlJc w:val="left"/>
      <w:pPr>
        <w:ind w:left="360" w:hanging="360"/>
      </w:pPr>
      <w:rPr>
        <w:rFonts w:ascii="Symbol" w:hAnsi="Symbol" w:cs="Symbol" w:hint="default"/>
        <w:color w:val="0070C0"/>
        <w:sz w:val="20"/>
        <w:szCs w:val="2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25C11F8F"/>
    <w:multiLevelType w:val="hybridMultilevel"/>
    <w:tmpl w:val="B186D944"/>
    <w:lvl w:ilvl="0">
      <w:start w:val="1"/>
      <w:numFmt w:val="bullet"/>
      <w:pStyle w:val="754"/>
      <w:lvlText w:val=""/>
      <w:lvlJc w:val="left"/>
      <w:pPr>
        <w:ind w:left="927" w:hanging="360"/>
      </w:pPr>
      <w:rPr>
        <w:rFonts w:ascii="Symbol" w:hAnsi="Symbol" w:cs="Symbol" w:hint="default"/>
        <w:b/>
        <w:bCs/>
        <w:color w:val="FF0000"/>
        <w:sz w:val="19"/>
        <w:szCs w:val="19"/>
      </w:rPr>
    </w:lvl>
    <w:lvl w:ilvl="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14">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5">
    <w:nsid w:val="30D17255"/>
    <w:multiLevelType w:val="hybridMultilevel"/>
    <w:tmpl w:val="F1AE1FFC"/>
    <w:lvl w:ilvl="0">
      <w:start w:val="1"/>
      <w:numFmt w:val="decimal"/>
      <w:pStyle w:val="a57"/>
      <w:lvlText w:val="לוח %1:"/>
      <w:lvlJc w:val="left"/>
      <w:pPr>
        <w:ind w:left="185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16">
    <w:nsid w:val="316B14B9"/>
    <w:multiLevelType w:val="hybridMultilevel"/>
    <w:tmpl w:val="378E9214"/>
    <w:lvl w:ilvl="0">
      <w:start w:val="1"/>
      <w:numFmt w:val="decimal"/>
      <w:pStyle w:val="a55"/>
      <w:lvlText w:val="תמונה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17">
    <w:nsid w:val="33A86F96"/>
    <w:multiLevelType w:val="hybridMultilevel"/>
    <w:tmpl w:val="220A2AB2"/>
    <w:lvl w:ilvl="0">
      <w:start w:val="1"/>
      <w:numFmt w:val="decimal"/>
      <w:pStyle w:val="a59"/>
      <w:lvlText w:val="מפה %1:"/>
      <w:lvlJc w:val="left"/>
      <w:pPr>
        <w:ind w:left="1858"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934" w:hanging="360"/>
      </w:pPr>
    </w:lvl>
    <w:lvl w:ilvl="2" w:tentative="1">
      <w:start w:val="1"/>
      <w:numFmt w:val="lowerRoman"/>
      <w:lvlText w:val="%3."/>
      <w:lvlJc w:val="right"/>
      <w:pPr>
        <w:ind w:left="3654" w:hanging="180"/>
      </w:pPr>
    </w:lvl>
    <w:lvl w:ilvl="3" w:tentative="1">
      <w:start w:val="1"/>
      <w:numFmt w:val="decimal"/>
      <w:lvlText w:val="%4."/>
      <w:lvlJc w:val="left"/>
      <w:pPr>
        <w:ind w:left="4374" w:hanging="360"/>
      </w:pPr>
    </w:lvl>
    <w:lvl w:ilvl="4" w:tentative="1">
      <w:start w:val="1"/>
      <w:numFmt w:val="lowerLetter"/>
      <w:lvlText w:val="%5."/>
      <w:lvlJc w:val="left"/>
      <w:pPr>
        <w:ind w:left="5094" w:hanging="360"/>
      </w:pPr>
    </w:lvl>
    <w:lvl w:ilvl="5" w:tentative="1">
      <w:start w:val="1"/>
      <w:numFmt w:val="lowerRoman"/>
      <w:lvlText w:val="%6."/>
      <w:lvlJc w:val="right"/>
      <w:pPr>
        <w:ind w:left="5814" w:hanging="180"/>
      </w:pPr>
    </w:lvl>
    <w:lvl w:ilvl="6" w:tentative="1">
      <w:start w:val="1"/>
      <w:numFmt w:val="decimal"/>
      <w:lvlText w:val="%7."/>
      <w:lvlJc w:val="left"/>
      <w:pPr>
        <w:ind w:left="6534" w:hanging="360"/>
      </w:pPr>
    </w:lvl>
    <w:lvl w:ilvl="7" w:tentative="1">
      <w:start w:val="1"/>
      <w:numFmt w:val="lowerLetter"/>
      <w:lvlText w:val="%8."/>
      <w:lvlJc w:val="left"/>
      <w:pPr>
        <w:ind w:left="7254" w:hanging="360"/>
      </w:pPr>
    </w:lvl>
    <w:lvl w:ilvl="8" w:tentative="1">
      <w:start w:val="1"/>
      <w:numFmt w:val="lowerRoman"/>
      <w:lvlText w:val="%9."/>
      <w:lvlJc w:val="right"/>
      <w:pPr>
        <w:ind w:left="7974" w:hanging="180"/>
      </w:pPr>
    </w:lvl>
  </w:abstractNum>
  <w:abstractNum w:abstractNumId="18">
    <w:nsid w:val="380E2B78"/>
    <w:multiLevelType w:val="hybridMultilevel"/>
    <w:tmpl w:val="7E46D124"/>
    <w:lvl w:ilvl="0">
      <w:start w:val="1"/>
      <w:numFmt w:val="bullet"/>
      <w:lvlText w:val=""/>
      <w:lvlJc w:val="left"/>
      <w:pPr>
        <w:ind w:left="720" w:hanging="360"/>
      </w:pPr>
      <w:rPr>
        <w:rFonts w:ascii="Symbol" w:hAnsi="Symbol" w:hint="default"/>
        <w:color w:val="FF0000"/>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A923526"/>
    <w:multiLevelType w:val="hybridMultilevel"/>
    <w:tmpl w:val="4E74417E"/>
    <w:lvl w:ilvl="0">
      <w:start w:val="1"/>
      <w:numFmt w:val="decimal"/>
      <w:pStyle w:val="a53"/>
      <w:lvlText w:val="תרשים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2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40DC7E01"/>
    <w:multiLevelType w:val="hybridMultilevel"/>
    <w:tmpl w:val="5D24C320"/>
    <w:lvl w:ilvl="0">
      <w:start w:val="1"/>
      <w:numFmt w:val="decimal"/>
      <w:pStyle w:val="33"/>
      <w:lvlText w:val="%1.1.1"/>
      <w:lvlJc w:val="left"/>
      <w:pPr>
        <w:ind w:left="1854" w:hanging="360"/>
      </w:pPr>
      <w:rPr>
        <w:rFonts w:hint="default"/>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22">
    <w:nsid w:val="441A6670"/>
    <w:multiLevelType w:val="hybridMultilevel"/>
    <w:tmpl w:val="369C82D6"/>
    <w:lvl w:ilvl="0">
      <w:start w:val="1"/>
      <w:numFmt w:val="hebrew1"/>
      <w:pStyle w:val="35"/>
      <w:lvlText w:val="%1."/>
      <w:lvlJc w:val="center"/>
      <w:pPr>
        <w:ind w:left="2705" w:hanging="360"/>
      </w:pPr>
    </w:lvl>
    <w:lvl w:ilvl="1" w:tentative="1">
      <w:start w:val="1"/>
      <w:numFmt w:val="lowerLetter"/>
      <w:lvlText w:val="%2."/>
      <w:lvlJc w:val="left"/>
      <w:pPr>
        <w:ind w:left="3425" w:hanging="360"/>
      </w:pPr>
    </w:lvl>
    <w:lvl w:ilvl="2" w:tentative="1">
      <w:start w:val="1"/>
      <w:numFmt w:val="lowerRoman"/>
      <w:lvlText w:val="%3."/>
      <w:lvlJc w:val="right"/>
      <w:pPr>
        <w:ind w:left="4145" w:hanging="180"/>
      </w:pPr>
    </w:lvl>
    <w:lvl w:ilvl="3" w:tentative="1">
      <w:start w:val="1"/>
      <w:numFmt w:val="decimal"/>
      <w:lvlText w:val="%4."/>
      <w:lvlJc w:val="left"/>
      <w:pPr>
        <w:ind w:left="4865" w:hanging="360"/>
      </w:pPr>
    </w:lvl>
    <w:lvl w:ilvl="4" w:tentative="1">
      <w:start w:val="1"/>
      <w:numFmt w:val="lowerLetter"/>
      <w:lvlText w:val="%5."/>
      <w:lvlJc w:val="left"/>
      <w:pPr>
        <w:ind w:left="5585" w:hanging="360"/>
      </w:pPr>
    </w:lvl>
    <w:lvl w:ilvl="5" w:tentative="1">
      <w:start w:val="1"/>
      <w:numFmt w:val="lowerRoman"/>
      <w:lvlText w:val="%6."/>
      <w:lvlJc w:val="right"/>
      <w:pPr>
        <w:ind w:left="6305" w:hanging="180"/>
      </w:pPr>
    </w:lvl>
    <w:lvl w:ilvl="6" w:tentative="1">
      <w:start w:val="1"/>
      <w:numFmt w:val="decimal"/>
      <w:lvlText w:val="%7."/>
      <w:lvlJc w:val="left"/>
      <w:pPr>
        <w:ind w:left="7025" w:hanging="360"/>
      </w:pPr>
    </w:lvl>
    <w:lvl w:ilvl="7" w:tentative="1">
      <w:start w:val="1"/>
      <w:numFmt w:val="lowerLetter"/>
      <w:lvlText w:val="%8."/>
      <w:lvlJc w:val="left"/>
      <w:pPr>
        <w:ind w:left="7745" w:hanging="360"/>
      </w:pPr>
    </w:lvl>
    <w:lvl w:ilvl="8" w:tentative="1">
      <w:start w:val="1"/>
      <w:numFmt w:val="lowerRoman"/>
      <w:lvlText w:val="%9."/>
      <w:lvlJc w:val="right"/>
      <w:pPr>
        <w:ind w:left="8465" w:hanging="180"/>
      </w:pPr>
    </w:lvl>
  </w:abstractNum>
  <w:abstractNum w:abstractNumId="23">
    <w:nsid w:val="459C2999"/>
    <w:multiLevelType w:val="multilevel"/>
    <w:tmpl w:val="065C52B0"/>
    <w:lvl w:ilvl="0">
      <w:start w:val="1"/>
      <w:numFmt w:val="hebrew1"/>
      <w:pStyle w:val="7323"/>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4">
    <w:nsid w:val="4DD35436"/>
    <w:multiLevelType w:val="hybridMultilevel"/>
    <w:tmpl w:val="EC1EC164"/>
    <w:lvl w:ilvl="0">
      <w:start w:val="1"/>
      <w:numFmt w:val="decimal"/>
      <w:pStyle w:val="24"/>
      <w:lvlText w:val="%1.1"/>
      <w:lvlJc w:val="left"/>
      <w:pPr>
        <w:ind w:left="1860" w:hanging="360"/>
      </w:pPr>
      <w:rPr>
        <w:rFonts w:hint="default"/>
      </w:rPr>
    </w:lvl>
    <w:lvl w:ilvl="1" w:tentative="1">
      <w:start w:val="1"/>
      <w:numFmt w:val="lowerLetter"/>
      <w:lvlText w:val="%2."/>
      <w:lvlJc w:val="left"/>
      <w:pPr>
        <w:ind w:left="2580" w:hanging="360"/>
      </w:pPr>
    </w:lvl>
    <w:lvl w:ilvl="2" w:tentative="1">
      <w:start w:val="1"/>
      <w:numFmt w:val="lowerRoman"/>
      <w:lvlText w:val="%3."/>
      <w:lvlJc w:val="right"/>
      <w:pPr>
        <w:ind w:left="3300" w:hanging="180"/>
      </w:pPr>
    </w:lvl>
    <w:lvl w:ilvl="3" w:tentative="1">
      <w:start w:val="1"/>
      <w:numFmt w:val="decimal"/>
      <w:lvlText w:val="%4."/>
      <w:lvlJc w:val="left"/>
      <w:pPr>
        <w:ind w:left="4020" w:hanging="360"/>
      </w:pPr>
    </w:lvl>
    <w:lvl w:ilvl="4" w:tentative="1">
      <w:start w:val="1"/>
      <w:numFmt w:val="lowerLetter"/>
      <w:lvlText w:val="%5."/>
      <w:lvlJc w:val="left"/>
      <w:pPr>
        <w:ind w:left="4740" w:hanging="360"/>
      </w:pPr>
    </w:lvl>
    <w:lvl w:ilvl="5" w:tentative="1">
      <w:start w:val="1"/>
      <w:numFmt w:val="lowerRoman"/>
      <w:lvlText w:val="%6."/>
      <w:lvlJc w:val="right"/>
      <w:pPr>
        <w:ind w:left="5460" w:hanging="180"/>
      </w:pPr>
    </w:lvl>
    <w:lvl w:ilvl="6" w:tentative="1">
      <w:start w:val="1"/>
      <w:numFmt w:val="decimal"/>
      <w:lvlText w:val="%7."/>
      <w:lvlJc w:val="left"/>
      <w:pPr>
        <w:ind w:left="6180" w:hanging="360"/>
      </w:pPr>
    </w:lvl>
    <w:lvl w:ilvl="7" w:tentative="1">
      <w:start w:val="1"/>
      <w:numFmt w:val="lowerLetter"/>
      <w:lvlText w:val="%8."/>
      <w:lvlJc w:val="left"/>
      <w:pPr>
        <w:ind w:left="6900" w:hanging="360"/>
      </w:pPr>
    </w:lvl>
    <w:lvl w:ilvl="8" w:tentative="1">
      <w:start w:val="1"/>
      <w:numFmt w:val="lowerRoman"/>
      <w:lvlText w:val="%9."/>
      <w:lvlJc w:val="right"/>
      <w:pPr>
        <w:ind w:left="7620" w:hanging="180"/>
      </w:pPr>
    </w:lvl>
  </w:abstractNum>
  <w:abstractNum w:abstractNumId="25">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6">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F743717"/>
    <w:multiLevelType w:val="multilevel"/>
    <w:tmpl w:val="54B40DD4"/>
    <w:lvl w:ilvl="0">
      <w:start w:val="1"/>
      <w:numFmt w:val="decimal"/>
      <w:pStyle w:val="a15"/>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8">
    <w:nsid w:val="665B09CB"/>
    <w:multiLevelType w:val="hybridMultilevel"/>
    <w:tmpl w:val="F98283A0"/>
    <w:lvl w:ilvl="0">
      <w:start w:val="1"/>
      <w:numFmt w:val="bullet"/>
      <w:pStyle w:val="52"/>
      <w:lvlText w:val=""/>
      <w:lvlJc w:val="left"/>
      <w:pPr>
        <w:ind w:left="1854" w:hanging="360"/>
      </w:pPr>
      <w:rPr>
        <w:rFonts w:ascii="Wingdings" w:hAnsi="Wingdings" w:hint="default"/>
        <w:color w:val="FFF400"/>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29">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7D365B29"/>
    <w:multiLevelType w:val="multilevel"/>
    <w:tmpl w:val="E3AA6D54"/>
    <w:lvl w:ilvl="0">
      <w:start w:val="1"/>
      <w:numFmt w:val="hebrew1"/>
      <w:pStyle w:val="7321"/>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31">
    <w:nsid w:val="7E431D00"/>
    <w:multiLevelType w:val="hybridMultilevel"/>
    <w:tmpl w:val="7576C230"/>
    <w:lvl w:ilvl="0">
      <w:start w:val="1"/>
      <w:numFmt w:val="decimal"/>
      <w:pStyle w:val="120"/>
      <w:lvlText w:val="%1."/>
      <w:lvlJc w:val="left"/>
      <w:pPr>
        <w:ind w:left="1858" w:hanging="360"/>
      </w:pPr>
      <w:rPr>
        <w:rFonts w:ascii="Calibri" w:hAnsi="Calibri" w:cs="Calibri" w:hint="default"/>
        <w:b/>
        <w:bCs/>
        <w:i w:val="0"/>
        <w:iCs w:val="0"/>
        <w:color w:val="002060"/>
        <w:sz w:val="40"/>
        <w:szCs w:val="40"/>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num w:numId="1">
    <w:abstractNumId w:val="25"/>
  </w:num>
  <w:num w:numId="2">
    <w:abstractNumId w:val="14"/>
  </w:num>
  <w:num w:numId="3">
    <w:abstractNumId w:val="20"/>
  </w:num>
  <w:num w:numId="4">
    <w:abstractNumId w:val="30"/>
  </w:num>
  <w:num w:numId="5">
    <w:abstractNumId w:val="8"/>
  </w:num>
  <w:num w:numId="6">
    <w:abstractNumId w:val="23"/>
  </w:num>
  <w:num w:numId="7">
    <w:abstractNumId w:val="27"/>
  </w:num>
  <w:num w:numId="8">
    <w:abstractNumId w:val="10"/>
  </w:num>
  <w:num w:numId="9">
    <w:abstractNumId w:val="26"/>
  </w:num>
  <w:num w:numId="10">
    <w:abstractNumId w:val="31"/>
  </w:num>
  <w:num w:numId="11">
    <w:abstractNumId w:val="24"/>
  </w:num>
  <w:num w:numId="12">
    <w:abstractNumId w:val="21"/>
  </w:num>
  <w:num w:numId="13">
    <w:abstractNumId w:val="9"/>
  </w:num>
  <w:num w:numId="14">
    <w:abstractNumId w:val="22"/>
  </w:num>
  <w:num w:numId="15">
    <w:abstractNumId w:val="28"/>
  </w:num>
  <w:num w:numId="16">
    <w:abstractNumId w:val="19"/>
  </w:num>
  <w:num w:numId="17">
    <w:abstractNumId w:val="16"/>
  </w:num>
  <w:num w:numId="18">
    <w:abstractNumId w:val="15"/>
  </w:num>
  <w:num w:numId="19">
    <w:abstractNumId w:val="17"/>
  </w:num>
  <w:num w:numId="20">
    <w:abstractNumId w:val="13"/>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29"/>
  </w:num>
  <w:num w:numId="30">
    <w:abstractNumId w:val="18"/>
  </w:num>
  <w:num w:numId="31">
    <w:abstractNumId w:val="13"/>
  </w:num>
  <w:num w:numId="32">
    <w:abstractNumId w:val="12"/>
  </w:num>
  <w:num w:numId="33">
    <w:abstractNumId w:val="13"/>
  </w:num>
  <w:num w:numId="34">
    <w:abstractNumId w:val="13"/>
  </w:num>
  <w:num w:numId="35">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displayBackgroundShape/>
  <w:gutterAtTop/>
  <w:proofState w:spelling="clean"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4AA2"/>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2F7"/>
    <w:rsid w:val="00015564"/>
    <w:rsid w:val="000155F0"/>
    <w:rsid w:val="000157CF"/>
    <w:rsid w:val="00015A22"/>
    <w:rsid w:val="000160F1"/>
    <w:rsid w:val="00016541"/>
    <w:rsid w:val="000166CA"/>
    <w:rsid w:val="000168DE"/>
    <w:rsid w:val="00016F7F"/>
    <w:rsid w:val="0001735B"/>
    <w:rsid w:val="00020441"/>
    <w:rsid w:val="000206F1"/>
    <w:rsid w:val="00021298"/>
    <w:rsid w:val="00021ED5"/>
    <w:rsid w:val="00021FFB"/>
    <w:rsid w:val="000224FF"/>
    <w:rsid w:val="00023E81"/>
    <w:rsid w:val="000246D2"/>
    <w:rsid w:val="00024BF9"/>
    <w:rsid w:val="00024E0C"/>
    <w:rsid w:val="000251E2"/>
    <w:rsid w:val="0002526A"/>
    <w:rsid w:val="0002582E"/>
    <w:rsid w:val="000259C7"/>
    <w:rsid w:val="00026245"/>
    <w:rsid w:val="00026367"/>
    <w:rsid w:val="000264D7"/>
    <w:rsid w:val="00026738"/>
    <w:rsid w:val="00026ACC"/>
    <w:rsid w:val="0002705C"/>
    <w:rsid w:val="00027522"/>
    <w:rsid w:val="000277E2"/>
    <w:rsid w:val="00027B6F"/>
    <w:rsid w:val="00027BF3"/>
    <w:rsid w:val="0003001D"/>
    <w:rsid w:val="00030058"/>
    <w:rsid w:val="000300B1"/>
    <w:rsid w:val="000303C9"/>
    <w:rsid w:val="00031C68"/>
    <w:rsid w:val="00031C69"/>
    <w:rsid w:val="00031CEB"/>
    <w:rsid w:val="00032932"/>
    <w:rsid w:val="00033124"/>
    <w:rsid w:val="0003410F"/>
    <w:rsid w:val="00034327"/>
    <w:rsid w:val="0003494D"/>
    <w:rsid w:val="00035688"/>
    <w:rsid w:val="00035B80"/>
    <w:rsid w:val="00035C03"/>
    <w:rsid w:val="00036B0F"/>
    <w:rsid w:val="00036B8E"/>
    <w:rsid w:val="00036EB8"/>
    <w:rsid w:val="0003729E"/>
    <w:rsid w:val="000406E3"/>
    <w:rsid w:val="00040918"/>
    <w:rsid w:val="00040C4D"/>
    <w:rsid w:val="00041058"/>
    <w:rsid w:val="000413AB"/>
    <w:rsid w:val="000414A8"/>
    <w:rsid w:val="000419ED"/>
    <w:rsid w:val="00042688"/>
    <w:rsid w:val="00042837"/>
    <w:rsid w:val="00042893"/>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0C9"/>
    <w:rsid w:val="0005218A"/>
    <w:rsid w:val="00052281"/>
    <w:rsid w:val="00052AE4"/>
    <w:rsid w:val="00052E94"/>
    <w:rsid w:val="000532AA"/>
    <w:rsid w:val="00053AA7"/>
    <w:rsid w:val="00053D09"/>
    <w:rsid w:val="00054562"/>
    <w:rsid w:val="00054B57"/>
    <w:rsid w:val="0005519C"/>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5E"/>
    <w:rsid w:val="000651DF"/>
    <w:rsid w:val="00066AF6"/>
    <w:rsid w:val="00066F43"/>
    <w:rsid w:val="0006721D"/>
    <w:rsid w:val="000672AB"/>
    <w:rsid w:val="000675B0"/>
    <w:rsid w:val="00067A5D"/>
    <w:rsid w:val="00067A76"/>
    <w:rsid w:val="00067E32"/>
    <w:rsid w:val="00067F12"/>
    <w:rsid w:val="00070472"/>
    <w:rsid w:val="00070525"/>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9BB"/>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59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6CD"/>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9CC"/>
    <w:rsid w:val="000A5B75"/>
    <w:rsid w:val="000A61B5"/>
    <w:rsid w:val="000A65A9"/>
    <w:rsid w:val="000A69A7"/>
    <w:rsid w:val="000A6D5B"/>
    <w:rsid w:val="000A6E4E"/>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4C6"/>
    <w:rsid w:val="000C5E23"/>
    <w:rsid w:val="000C5F85"/>
    <w:rsid w:val="000C6AAF"/>
    <w:rsid w:val="000C7459"/>
    <w:rsid w:val="000D02DC"/>
    <w:rsid w:val="000D04B8"/>
    <w:rsid w:val="000D0837"/>
    <w:rsid w:val="000D11EB"/>
    <w:rsid w:val="000D1714"/>
    <w:rsid w:val="000D2056"/>
    <w:rsid w:val="000D215D"/>
    <w:rsid w:val="000D22F0"/>
    <w:rsid w:val="000D2A57"/>
    <w:rsid w:val="000D2B0A"/>
    <w:rsid w:val="000D2CDA"/>
    <w:rsid w:val="000D2F7F"/>
    <w:rsid w:val="000D2F93"/>
    <w:rsid w:val="000D2FE7"/>
    <w:rsid w:val="000D3812"/>
    <w:rsid w:val="000D4B88"/>
    <w:rsid w:val="000D53BB"/>
    <w:rsid w:val="000D543D"/>
    <w:rsid w:val="000D5B81"/>
    <w:rsid w:val="000D5C0B"/>
    <w:rsid w:val="000D63C9"/>
    <w:rsid w:val="000D69F0"/>
    <w:rsid w:val="000D7666"/>
    <w:rsid w:val="000D7EB1"/>
    <w:rsid w:val="000E013E"/>
    <w:rsid w:val="000E0809"/>
    <w:rsid w:val="000E1102"/>
    <w:rsid w:val="000E1475"/>
    <w:rsid w:val="000E1FBD"/>
    <w:rsid w:val="000E2359"/>
    <w:rsid w:val="000E23EA"/>
    <w:rsid w:val="000E2715"/>
    <w:rsid w:val="000E2B2C"/>
    <w:rsid w:val="000E3022"/>
    <w:rsid w:val="000E3B68"/>
    <w:rsid w:val="000E3D52"/>
    <w:rsid w:val="000E3DFA"/>
    <w:rsid w:val="000E3F0C"/>
    <w:rsid w:val="000E400A"/>
    <w:rsid w:val="000E432E"/>
    <w:rsid w:val="000E44FD"/>
    <w:rsid w:val="000E4CE7"/>
    <w:rsid w:val="000E4D6A"/>
    <w:rsid w:val="000E4DF7"/>
    <w:rsid w:val="000E4FA5"/>
    <w:rsid w:val="000E50E1"/>
    <w:rsid w:val="000E5149"/>
    <w:rsid w:val="000E54D2"/>
    <w:rsid w:val="000E5834"/>
    <w:rsid w:val="000E618D"/>
    <w:rsid w:val="000E6198"/>
    <w:rsid w:val="000E64A1"/>
    <w:rsid w:val="000E6AAF"/>
    <w:rsid w:val="000E6F44"/>
    <w:rsid w:val="000E73AF"/>
    <w:rsid w:val="000E7622"/>
    <w:rsid w:val="000E7B08"/>
    <w:rsid w:val="000E7B12"/>
    <w:rsid w:val="000F158C"/>
    <w:rsid w:val="000F1DEA"/>
    <w:rsid w:val="000F23C7"/>
    <w:rsid w:val="000F2408"/>
    <w:rsid w:val="000F2A10"/>
    <w:rsid w:val="000F2DB4"/>
    <w:rsid w:val="000F2E36"/>
    <w:rsid w:val="000F2F7E"/>
    <w:rsid w:val="000F3700"/>
    <w:rsid w:val="000F441E"/>
    <w:rsid w:val="000F4578"/>
    <w:rsid w:val="000F4B6E"/>
    <w:rsid w:val="000F4C79"/>
    <w:rsid w:val="000F5023"/>
    <w:rsid w:val="000F53C2"/>
    <w:rsid w:val="000F59F3"/>
    <w:rsid w:val="000F5EDB"/>
    <w:rsid w:val="000F60AB"/>
    <w:rsid w:val="000F62A9"/>
    <w:rsid w:val="000F62EF"/>
    <w:rsid w:val="000F6CAD"/>
    <w:rsid w:val="000F6F38"/>
    <w:rsid w:val="000F76A8"/>
    <w:rsid w:val="000F7725"/>
    <w:rsid w:val="000F78AE"/>
    <w:rsid w:val="00101157"/>
    <w:rsid w:val="00101681"/>
    <w:rsid w:val="00101BB0"/>
    <w:rsid w:val="00101D0F"/>
    <w:rsid w:val="00102185"/>
    <w:rsid w:val="0010231B"/>
    <w:rsid w:val="0010237C"/>
    <w:rsid w:val="0010413A"/>
    <w:rsid w:val="001049CB"/>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0A"/>
    <w:rsid w:val="00124DC1"/>
    <w:rsid w:val="00125628"/>
    <w:rsid w:val="00125881"/>
    <w:rsid w:val="001262F9"/>
    <w:rsid w:val="001268C7"/>
    <w:rsid w:val="00127D9D"/>
    <w:rsid w:val="001305E5"/>
    <w:rsid w:val="00131349"/>
    <w:rsid w:val="0013138F"/>
    <w:rsid w:val="001313B7"/>
    <w:rsid w:val="00131CCD"/>
    <w:rsid w:val="00132126"/>
    <w:rsid w:val="001321A1"/>
    <w:rsid w:val="0013302E"/>
    <w:rsid w:val="0013406B"/>
    <w:rsid w:val="00134F83"/>
    <w:rsid w:val="001354CB"/>
    <w:rsid w:val="00135693"/>
    <w:rsid w:val="00135695"/>
    <w:rsid w:val="00135742"/>
    <w:rsid w:val="001357C3"/>
    <w:rsid w:val="00135A23"/>
    <w:rsid w:val="00135B1B"/>
    <w:rsid w:val="00136479"/>
    <w:rsid w:val="00136496"/>
    <w:rsid w:val="0013664A"/>
    <w:rsid w:val="0013667B"/>
    <w:rsid w:val="0013696C"/>
    <w:rsid w:val="00136A10"/>
    <w:rsid w:val="00136A3E"/>
    <w:rsid w:val="0013702C"/>
    <w:rsid w:val="001370CF"/>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3E"/>
    <w:rsid w:val="00144C4B"/>
    <w:rsid w:val="001451A4"/>
    <w:rsid w:val="0014551F"/>
    <w:rsid w:val="00145FC1"/>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1DD"/>
    <w:rsid w:val="001553DD"/>
    <w:rsid w:val="00155501"/>
    <w:rsid w:val="001560B9"/>
    <w:rsid w:val="00156CAA"/>
    <w:rsid w:val="00156DEF"/>
    <w:rsid w:val="0015702B"/>
    <w:rsid w:val="00157577"/>
    <w:rsid w:val="00157D86"/>
    <w:rsid w:val="00160155"/>
    <w:rsid w:val="001602D0"/>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AAE"/>
    <w:rsid w:val="00170DCB"/>
    <w:rsid w:val="00170EE7"/>
    <w:rsid w:val="0017146B"/>
    <w:rsid w:val="00171552"/>
    <w:rsid w:val="00171B4A"/>
    <w:rsid w:val="00171F57"/>
    <w:rsid w:val="0017200D"/>
    <w:rsid w:val="0017265F"/>
    <w:rsid w:val="00172834"/>
    <w:rsid w:val="00172E36"/>
    <w:rsid w:val="001730B0"/>
    <w:rsid w:val="001739FC"/>
    <w:rsid w:val="00173FDD"/>
    <w:rsid w:val="001747CF"/>
    <w:rsid w:val="00174A21"/>
    <w:rsid w:val="00175053"/>
    <w:rsid w:val="0017513A"/>
    <w:rsid w:val="00175FE2"/>
    <w:rsid w:val="00176411"/>
    <w:rsid w:val="001765F0"/>
    <w:rsid w:val="00176B96"/>
    <w:rsid w:val="00177D09"/>
    <w:rsid w:val="00177D2F"/>
    <w:rsid w:val="00180392"/>
    <w:rsid w:val="00180A11"/>
    <w:rsid w:val="00180DA8"/>
    <w:rsid w:val="001814DD"/>
    <w:rsid w:val="00181A6A"/>
    <w:rsid w:val="001821A3"/>
    <w:rsid w:val="00182674"/>
    <w:rsid w:val="00182792"/>
    <w:rsid w:val="00182D37"/>
    <w:rsid w:val="00182DC0"/>
    <w:rsid w:val="00183085"/>
    <w:rsid w:val="001839FA"/>
    <w:rsid w:val="00183DDC"/>
    <w:rsid w:val="0018505D"/>
    <w:rsid w:val="001850C6"/>
    <w:rsid w:val="0018586A"/>
    <w:rsid w:val="001858E5"/>
    <w:rsid w:val="00185AE7"/>
    <w:rsid w:val="00185B85"/>
    <w:rsid w:val="00185C35"/>
    <w:rsid w:val="00185DF7"/>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97D94"/>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BB9"/>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AF0"/>
    <w:rsid w:val="001B4B0A"/>
    <w:rsid w:val="001B4E87"/>
    <w:rsid w:val="001B4EA7"/>
    <w:rsid w:val="001B5656"/>
    <w:rsid w:val="001B5DFF"/>
    <w:rsid w:val="001B65B8"/>
    <w:rsid w:val="001B6F86"/>
    <w:rsid w:val="001B70CA"/>
    <w:rsid w:val="001B75F0"/>
    <w:rsid w:val="001B78CD"/>
    <w:rsid w:val="001B78F8"/>
    <w:rsid w:val="001C00D8"/>
    <w:rsid w:val="001C057E"/>
    <w:rsid w:val="001C1095"/>
    <w:rsid w:val="001C1B42"/>
    <w:rsid w:val="001C1F0B"/>
    <w:rsid w:val="001C2CAD"/>
    <w:rsid w:val="001C308D"/>
    <w:rsid w:val="001C3187"/>
    <w:rsid w:val="001C3232"/>
    <w:rsid w:val="001C346A"/>
    <w:rsid w:val="001C34D5"/>
    <w:rsid w:val="001C3ED9"/>
    <w:rsid w:val="001C450A"/>
    <w:rsid w:val="001C45D9"/>
    <w:rsid w:val="001C49B8"/>
    <w:rsid w:val="001C5616"/>
    <w:rsid w:val="001C5A02"/>
    <w:rsid w:val="001C5BF5"/>
    <w:rsid w:val="001C5C3E"/>
    <w:rsid w:val="001C5C9D"/>
    <w:rsid w:val="001C5EB7"/>
    <w:rsid w:val="001C5FEF"/>
    <w:rsid w:val="001C6A90"/>
    <w:rsid w:val="001C6FC8"/>
    <w:rsid w:val="001C72B2"/>
    <w:rsid w:val="001D0073"/>
    <w:rsid w:val="001D0955"/>
    <w:rsid w:val="001D1192"/>
    <w:rsid w:val="001D1307"/>
    <w:rsid w:val="001D223A"/>
    <w:rsid w:val="001D2243"/>
    <w:rsid w:val="001D228F"/>
    <w:rsid w:val="001D2793"/>
    <w:rsid w:val="001D2F2A"/>
    <w:rsid w:val="001D3679"/>
    <w:rsid w:val="001D3CC2"/>
    <w:rsid w:val="001D4015"/>
    <w:rsid w:val="001D4406"/>
    <w:rsid w:val="001D461F"/>
    <w:rsid w:val="001D46D3"/>
    <w:rsid w:val="001D4832"/>
    <w:rsid w:val="001D6714"/>
    <w:rsid w:val="001D6BF7"/>
    <w:rsid w:val="001D713E"/>
    <w:rsid w:val="001D77E6"/>
    <w:rsid w:val="001E0306"/>
    <w:rsid w:val="001E076C"/>
    <w:rsid w:val="001E09E8"/>
    <w:rsid w:val="001E0A7D"/>
    <w:rsid w:val="001E0D0D"/>
    <w:rsid w:val="001E0F6A"/>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494"/>
    <w:rsid w:val="001E66A7"/>
    <w:rsid w:val="001E773D"/>
    <w:rsid w:val="001E7FD4"/>
    <w:rsid w:val="001F068F"/>
    <w:rsid w:val="001F0BBB"/>
    <w:rsid w:val="001F0DE8"/>
    <w:rsid w:val="001F2DE6"/>
    <w:rsid w:val="001F2E3B"/>
    <w:rsid w:val="001F3363"/>
    <w:rsid w:val="001F3815"/>
    <w:rsid w:val="001F4057"/>
    <w:rsid w:val="001F407D"/>
    <w:rsid w:val="001F4183"/>
    <w:rsid w:val="001F4340"/>
    <w:rsid w:val="001F54B2"/>
    <w:rsid w:val="001F5566"/>
    <w:rsid w:val="001F5736"/>
    <w:rsid w:val="001F67DA"/>
    <w:rsid w:val="001F6AE0"/>
    <w:rsid w:val="001F6B1F"/>
    <w:rsid w:val="001F6BA7"/>
    <w:rsid w:val="001F6CBF"/>
    <w:rsid w:val="001F76D7"/>
    <w:rsid w:val="00200434"/>
    <w:rsid w:val="002005A2"/>
    <w:rsid w:val="00200E5B"/>
    <w:rsid w:val="00200FE9"/>
    <w:rsid w:val="002014C8"/>
    <w:rsid w:val="00202068"/>
    <w:rsid w:val="00202878"/>
    <w:rsid w:val="00202F8B"/>
    <w:rsid w:val="00203277"/>
    <w:rsid w:val="00203604"/>
    <w:rsid w:val="00203E25"/>
    <w:rsid w:val="00205724"/>
    <w:rsid w:val="00205C5F"/>
    <w:rsid w:val="002064F7"/>
    <w:rsid w:val="00206509"/>
    <w:rsid w:val="00206B0E"/>
    <w:rsid w:val="00206BDB"/>
    <w:rsid w:val="0020761B"/>
    <w:rsid w:val="00207AC8"/>
    <w:rsid w:val="0021058F"/>
    <w:rsid w:val="00210B32"/>
    <w:rsid w:val="00210C3A"/>
    <w:rsid w:val="0021135F"/>
    <w:rsid w:val="0021150C"/>
    <w:rsid w:val="00212144"/>
    <w:rsid w:val="00212740"/>
    <w:rsid w:val="002127FD"/>
    <w:rsid w:val="00212B04"/>
    <w:rsid w:val="00212EEA"/>
    <w:rsid w:val="002130B4"/>
    <w:rsid w:val="00213453"/>
    <w:rsid w:val="0021348C"/>
    <w:rsid w:val="00214BC0"/>
    <w:rsid w:val="00214CAA"/>
    <w:rsid w:val="002154D1"/>
    <w:rsid w:val="00215B86"/>
    <w:rsid w:val="00215BEE"/>
    <w:rsid w:val="0021654E"/>
    <w:rsid w:val="00216875"/>
    <w:rsid w:val="00217B31"/>
    <w:rsid w:val="002202E4"/>
    <w:rsid w:val="0022072A"/>
    <w:rsid w:val="00220B3D"/>
    <w:rsid w:val="0022100A"/>
    <w:rsid w:val="00221160"/>
    <w:rsid w:val="002213EE"/>
    <w:rsid w:val="0022145A"/>
    <w:rsid w:val="00221922"/>
    <w:rsid w:val="00221B94"/>
    <w:rsid w:val="00221E3A"/>
    <w:rsid w:val="002220AB"/>
    <w:rsid w:val="002222C4"/>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C4E"/>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CF1"/>
    <w:rsid w:val="00235D75"/>
    <w:rsid w:val="002366CE"/>
    <w:rsid w:val="00236D0B"/>
    <w:rsid w:val="00236F10"/>
    <w:rsid w:val="002375D3"/>
    <w:rsid w:val="00237617"/>
    <w:rsid w:val="00237F59"/>
    <w:rsid w:val="0024001A"/>
    <w:rsid w:val="00240887"/>
    <w:rsid w:val="00240A1C"/>
    <w:rsid w:val="00241142"/>
    <w:rsid w:val="00241958"/>
    <w:rsid w:val="002419DB"/>
    <w:rsid w:val="002419F2"/>
    <w:rsid w:val="00242326"/>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57DE5"/>
    <w:rsid w:val="0026008A"/>
    <w:rsid w:val="00260421"/>
    <w:rsid w:val="00260BF5"/>
    <w:rsid w:val="00260D04"/>
    <w:rsid w:val="0026130F"/>
    <w:rsid w:val="00261C84"/>
    <w:rsid w:val="00262130"/>
    <w:rsid w:val="002621F1"/>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775BF"/>
    <w:rsid w:val="0028138F"/>
    <w:rsid w:val="002813A0"/>
    <w:rsid w:val="00281F46"/>
    <w:rsid w:val="00282151"/>
    <w:rsid w:val="00282C5A"/>
    <w:rsid w:val="00282D4B"/>
    <w:rsid w:val="00283FFC"/>
    <w:rsid w:val="002841CB"/>
    <w:rsid w:val="00284ABA"/>
    <w:rsid w:val="00284B06"/>
    <w:rsid w:val="00285362"/>
    <w:rsid w:val="00285B61"/>
    <w:rsid w:val="00285BB4"/>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7B5"/>
    <w:rsid w:val="00293FC3"/>
    <w:rsid w:val="00294150"/>
    <w:rsid w:val="00294251"/>
    <w:rsid w:val="00294322"/>
    <w:rsid w:val="00294784"/>
    <w:rsid w:val="00294AF0"/>
    <w:rsid w:val="00294CBF"/>
    <w:rsid w:val="0029542A"/>
    <w:rsid w:val="00296A9F"/>
    <w:rsid w:val="00296C97"/>
    <w:rsid w:val="002970CC"/>
    <w:rsid w:val="00297730"/>
    <w:rsid w:val="00297B77"/>
    <w:rsid w:val="00297FD7"/>
    <w:rsid w:val="002A04CC"/>
    <w:rsid w:val="002A0913"/>
    <w:rsid w:val="002A0B1E"/>
    <w:rsid w:val="002A1117"/>
    <w:rsid w:val="002A18D6"/>
    <w:rsid w:val="002A1999"/>
    <w:rsid w:val="002A2132"/>
    <w:rsid w:val="002A232C"/>
    <w:rsid w:val="002A29AB"/>
    <w:rsid w:val="002A2C5A"/>
    <w:rsid w:val="002A3A3E"/>
    <w:rsid w:val="002A4103"/>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2BF0"/>
    <w:rsid w:val="002B30DB"/>
    <w:rsid w:val="002B3A8C"/>
    <w:rsid w:val="002B524D"/>
    <w:rsid w:val="002B55FA"/>
    <w:rsid w:val="002B5A1F"/>
    <w:rsid w:val="002B5C10"/>
    <w:rsid w:val="002B5C6F"/>
    <w:rsid w:val="002B5D65"/>
    <w:rsid w:val="002B5EF2"/>
    <w:rsid w:val="002B6374"/>
    <w:rsid w:val="002B637F"/>
    <w:rsid w:val="002B65DC"/>
    <w:rsid w:val="002B6803"/>
    <w:rsid w:val="002B6BE3"/>
    <w:rsid w:val="002B6FB4"/>
    <w:rsid w:val="002B730D"/>
    <w:rsid w:val="002B797F"/>
    <w:rsid w:val="002B7BE6"/>
    <w:rsid w:val="002B7EC3"/>
    <w:rsid w:val="002C06EB"/>
    <w:rsid w:val="002C07F5"/>
    <w:rsid w:val="002C169F"/>
    <w:rsid w:val="002C1BB5"/>
    <w:rsid w:val="002C1D86"/>
    <w:rsid w:val="002C1EE0"/>
    <w:rsid w:val="002C2340"/>
    <w:rsid w:val="002C247E"/>
    <w:rsid w:val="002C28D3"/>
    <w:rsid w:val="002C2B0E"/>
    <w:rsid w:val="002C316A"/>
    <w:rsid w:val="002C3B87"/>
    <w:rsid w:val="002C3D55"/>
    <w:rsid w:val="002C4139"/>
    <w:rsid w:val="002C4302"/>
    <w:rsid w:val="002C4F9F"/>
    <w:rsid w:val="002C54FF"/>
    <w:rsid w:val="002C58AD"/>
    <w:rsid w:val="002C5943"/>
    <w:rsid w:val="002C65B3"/>
    <w:rsid w:val="002C6D22"/>
    <w:rsid w:val="002C70A2"/>
    <w:rsid w:val="002C7A5A"/>
    <w:rsid w:val="002C7D35"/>
    <w:rsid w:val="002C7FC3"/>
    <w:rsid w:val="002D083D"/>
    <w:rsid w:val="002D116D"/>
    <w:rsid w:val="002D1688"/>
    <w:rsid w:val="002D2963"/>
    <w:rsid w:val="002D3201"/>
    <w:rsid w:val="002D32B9"/>
    <w:rsid w:val="002D34E7"/>
    <w:rsid w:val="002D38CB"/>
    <w:rsid w:val="002D3AC8"/>
    <w:rsid w:val="002D3EF1"/>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1EAF"/>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283"/>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1A96"/>
    <w:rsid w:val="00332663"/>
    <w:rsid w:val="00332C43"/>
    <w:rsid w:val="00332F33"/>
    <w:rsid w:val="00333BC5"/>
    <w:rsid w:val="003346F8"/>
    <w:rsid w:val="00334708"/>
    <w:rsid w:val="00334A65"/>
    <w:rsid w:val="00334D20"/>
    <w:rsid w:val="00335267"/>
    <w:rsid w:val="003353DB"/>
    <w:rsid w:val="0033564C"/>
    <w:rsid w:val="003356A2"/>
    <w:rsid w:val="0033582C"/>
    <w:rsid w:val="00335A0A"/>
    <w:rsid w:val="00335CDC"/>
    <w:rsid w:val="0033672B"/>
    <w:rsid w:val="00336E26"/>
    <w:rsid w:val="00337048"/>
    <w:rsid w:val="003370BA"/>
    <w:rsid w:val="003372D0"/>
    <w:rsid w:val="00337846"/>
    <w:rsid w:val="00337847"/>
    <w:rsid w:val="0033799E"/>
    <w:rsid w:val="00337BB0"/>
    <w:rsid w:val="00337C4E"/>
    <w:rsid w:val="00337EBF"/>
    <w:rsid w:val="0034038A"/>
    <w:rsid w:val="003405D2"/>
    <w:rsid w:val="003405E7"/>
    <w:rsid w:val="0034070F"/>
    <w:rsid w:val="00340AC1"/>
    <w:rsid w:val="00340C7C"/>
    <w:rsid w:val="00340D4D"/>
    <w:rsid w:val="0034149F"/>
    <w:rsid w:val="003417BA"/>
    <w:rsid w:val="003419FB"/>
    <w:rsid w:val="00341C37"/>
    <w:rsid w:val="00343B0B"/>
    <w:rsid w:val="00343D49"/>
    <w:rsid w:val="00344346"/>
    <w:rsid w:val="00344842"/>
    <w:rsid w:val="00344BBF"/>
    <w:rsid w:val="003451F8"/>
    <w:rsid w:val="00345786"/>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1AA"/>
    <w:rsid w:val="00352339"/>
    <w:rsid w:val="003525D4"/>
    <w:rsid w:val="00352FE4"/>
    <w:rsid w:val="0035300F"/>
    <w:rsid w:val="003541BC"/>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2BF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0C4D"/>
    <w:rsid w:val="0037112B"/>
    <w:rsid w:val="00371181"/>
    <w:rsid w:val="0037128C"/>
    <w:rsid w:val="00371316"/>
    <w:rsid w:val="00371B1D"/>
    <w:rsid w:val="0037230B"/>
    <w:rsid w:val="00372476"/>
    <w:rsid w:val="003724C3"/>
    <w:rsid w:val="0037259B"/>
    <w:rsid w:val="0037289B"/>
    <w:rsid w:val="003729F9"/>
    <w:rsid w:val="003734FE"/>
    <w:rsid w:val="0037355B"/>
    <w:rsid w:val="0037370B"/>
    <w:rsid w:val="00373CE2"/>
    <w:rsid w:val="00374340"/>
    <w:rsid w:val="00375182"/>
    <w:rsid w:val="0037575D"/>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680B"/>
    <w:rsid w:val="00387351"/>
    <w:rsid w:val="00387703"/>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5AEF"/>
    <w:rsid w:val="00395BB1"/>
    <w:rsid w:val="00396082"/>
    <w:rsid w:val="00396AAF"/>
    <w:rsid w:val="00396D3F"/>
    <w:rsid w:val="00396EB2"/>
    <w:rsid w:val="00396F8D"/>
    <w:rsid w:val="003971AD"/>
    <w:rsid w:val="00397234"/>
    <w:rsid w:val="00397B41"/>
    <w:rsid w:val="00397C56"/>
    <w:rsid w:val="003A042B"/>
    <w:rsid w:val="003A065D"/>
    <w:rsid w:val="003A0852"/>
    <w:rsid w:val="003A08AE"/>
    <w:rsid w:val="003A1C2B"/>
    <w:rsid w:val="003A22C1"/>
    <w:rsid w:val="003A239E"/>
    <w:rsid w:val="003A24CA"/>
    <w:rsid w:val="003A26D2"/>
    <w:rsid w:val="003A3978"/>
    <w:rsid w:val="003A3D05"/>
    <w:rsid w:val="003A47A9"/>
    <w:rsid w:val="003A4AD3"/>
    <w:rsid w:val="003A5748"/>
    <w:rsid w:val="003A613A"/>
    <w:rsid w:val="003A66EF"/>
    <w:rsid w:val="003A689D"/>
    <w:rsid w:val="003A68C5"/>
    <w:rsid w:val="003A769E"/>
    <w:rsid w:val="003A780A"/>
    <w:rsid w:val="003A7F68"/>
    <w:rsid w:val="003B0B84"/>
    <w:rsid w:val="003B0BB0"/>
    <w:rsid w:val="003B0E50"/>
    <w:rsid w:val="003B1053"/>
    <w:rsid w:val="003B12C2"/>
    <w:rsid w:val="003B166B"/>
    <w:rsid w:val="003B1F61"/>
    <w:rsid w:val="003B23BE"/>
    <w:rsid w:val="003B30AD"/>
    <w:rsid w:val="003B4099"/>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1B3C"/>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1C6"/>
    <w:rsid w:val="003C73F8"/>
    <w:rsid w:val="003C7457"/>
    <w:rsid w:val="003C797F"/>
    <w:rsid w:val="003C7AD3"/>
    <w:rsid w:val="003C7B2D"/>
    <w:rsid w:val="003D04DB"/>
    <w:rsid w:val="003D0F6A"/>
    <w:rsid w:val="003D0F91"/>
    <w:rsid w:val="003D11E8"/>
    <w:rsid w:val="003D130F"/>
    <w:rsid w:val="003D16F2"/>
    <w:rsid w:val="003D17DC"/>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4F02"/>
    <w:rsid w:val="003D5549"/>
    <w:rsid w:val="003D5B8A"/>
    <w:rsid w:val="003D5BAF"/>
    <w:rsid w:val="003D5CAC"/>
    <w:rsid w:val="003D62C4"/>
    <w:rsid w:val="003D6310"/>
    <w:rsid w:val="003D6CAC"/>
    <w:rsid w:val="003D6FE1"/>
    <w:rsid w:val="003D7383"/>
    <w:rsid w:val="003D7489"/>
    <w:rsid w:val="003D7A6A"/>
    <w:rsid w:val="003D7BEB"/>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A00"/>
    <w:rsid w:val="003F0C61"/>
    <w:rsid w:val="003F0C8F"/>
    <w:rsid w:val="003F0D90"/>
    <w:rsid w:val="003F0E51"/>
    <w:rsid w:val="003F2708"/>
    <w:rsid w:val="003F2DBB"/>
    <w:rsid w:val="003F2F7C"/>
    <w:rsid w:val="003F316F"/>
    <w:rsid w:val="003F3D90"/>
    <w:rsid w:val="003F3E9D"/>
    <w:rsid w:val="003F4681"/>
    <w:rsid w:val="003F48CD"/>
    <w:rsid w:val="003F4A41"/>
    <w:rsid w:val="003F5075"/>
    <w:rsid w:val="003F5248"/>
    <w:rsid w:val="003F5B6A"/>
    <w:rsid w:val="003F5DEF"/>
    <w:rsid w:val="003F6010"/>
    <w:rsid w:val="003F6A36"/>
    <w:rsid w:val="003F6CB2"/>
    <w:rsid w:val="003F6D65"/>
    <w:rsid w:val="003F7085"/>
    <w:rsid w:val="003F733D"/>
    <w:rsid w:val="003F782E"/>
    <w:rsid w:val="003F7B2B"/>
    <w:rsid w:val="004002DD"/>
    <w:rsid w:val="0040036F"/>
    <w:rsid w:val="00400D5E"/>
    <w:rsid w:val="00401ED1"/>
    <w:rsid w:val="00402817"/>
    <w:rsid w:val="004029F9"/>
    <w:rsid w:val="004031B5"/>
    <w:rsid w:val="004036CC"/>
    <w:rsid w:val="00403EED"/>
    <w:rsid w:val="0040422D"/>
    <w:rsid w:val="004045D8"/>
    <w:rsid w:val="0040494A"/>
    <w:rsid w:val="00405277"/>
    <w:rsid w:val="0040531A"/>
    <w:rsid w:val="004064E0"/>
    <w:rsid w:val="00406B63"/>
    <w:rsid w:val="00406E80"/>
    <w:rsid w:val="00406F61"/>
    <w:rsid w:val="00406FEF"/>
    <w:rsid w:val="0040710C"/>
    <w:rsid w:val="004078B5"/>
    <w:rsid w:val="00410182"/>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AD7"/>
    <w:rsid w:val="00413C2A"/>
    <w:rsid w:val="00414A8A"/>
    <w:rsid w:val="004156B7"/>
    <w:rsid w:val="00416D06"/>
    <w:rsid w:val="00417266"/>
    <w:rsid w:val="00417299"/>
    <w:rsid w:val="0041751A"/>
    <w:rsid w:val="004175BE"/>
    <w:rsid w:val="00417D4C"/>
    <w:rsid w:val="00420371"/>
    <w:rsid w:val="00420374"/>
    <w:rsid w:val="004204DC"/>
    <w:rsid w:val="004206BA"/>
    <w:rsid w:val="0042090E"/>
    <w:rsid w:val="0042091E"/>
    <w:rsid w:val="00420DB1"/>
    <w:rsid w:val="0042151A"/>
    <w:rsid w:val="00421D2C"/>
    <w:rsid w:val="0042232C"/>
    <w:rsid w:val="004227C9"/>
    <w:rsid w:val="00422BC0"/>
    <w:rsid w:val="0042353E"/>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33C"/>
    <w:rsid w:val="004303B4"/>
    <w:rsid w:val="00430AA9"/>
    <w:rsid w:val="00430ADE"/>
    <w:rsid w:val="00431AA5"/>
    <w:rsid w:val="00431C39"/>
    <w:rsid w:val="00432941"/>
    <w:rsid w:val="00432A56"/>
    <w:rsid w:val="0043384C"/>
    <w:rsid w:val="00433D69"/>
    <w:rsid w:val="00433DC5"/>
    <w:rsid w:val="00434C19"/>
    <w:rsid w:val="0043504C"/>
    <w:rsid w:val="00435183"/>
    <w:rsid w:val="0043536C"/>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920"/>
    <w:rsid w:val="00441D68"/>
    <w:rsid w:val="004424B2"/>
    <w:rsid w:val="004428A8"/>
    <w:rsid w:val="00442E2D"/>
    <w:rsid w:val="00442E67"/>
    <w:rsid w:val="0044305F"/>
    <w:rsid w:val="00443D1B"/>
    <w:rsid w:val="0044419E"/>
    <w:rsid w:val="00444540"/>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790"/>
    <w:rsid w:val="00457ADE"/>
    <w:rsid w:val="00460179"/>
    <w:rsid w:val="00460407"/>
    <w:rsid w:val="00460B1C"/>
    <w:rsid w:val="00460FB8"/>
    <w:rsid w:val="00461657"/>
    <w:rsid w:val="004617CF"/>
    <w:rsid w:val="004622BB"/>
    <w:rsid w:val="00462348"/>
    <w:rsid w:val="00462687"/>
    <w:rsid w:val="004626B6"/>
    <w:rsid w:val="00463683"/>
    <w:rsid w:val="00463FD6"/>
    <w:rsid w:val="00464D56"/>
    <w:rsid w:val="00464DF0"/>
    <w:rsid w:val="00465562"/>
    <w:rsid w:val="00465DDF"/>
    <w:rsid w:val="004661DB"/>
    <w:rsid w:val="004663C7"/>
    <w:rsid w:val="00466ACD"/>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7E7"/>
    <w:rsid w:val="00473871"/>
    <w:rsid w:val="004743DF"/>
    <w:rsid w:val="00474EE3"/>
    <w:rsid w:val="00474EFE"/>
    <w:rsid w:val="00475B3F"/>
    <w:rsid w:val="0047620F"/>
    <w:rsid w:val="004763DF"/>
    <w:rsid w:val="004764AA"/>
    <w:rsid w:val="00476508"/>
    <w:rsid w:val="004767BA"/>
    <w:rsid w:val="00476C99"/>
    <w:rsid w:val="00477447"/>
    <w:rsid w:val="0047794C"/>
    <w:rsid w:val="004779AA"/>
    <w:rsid w:val="00477F44"/>
    <w:rsid w:val="00480011"/>
    <w:rsid w:val="00480107"/>
    <w:rsid w:val="004809CB"/>
    <w:rsid w:val="00482259"/>
    <w:rsid w:val="004822A7"/>
    <w:rsid w:val="004823EF"/>
    <w:rsid w:val="00482559"/>
    <w:rsid w:val="0048280E"/>
    <w:rsid w:val="00482C33"/>
    <w:rsid w:val="00482CB5"/>
    <w:rsid w:val="00482DEB"/>
    <w:rsid w:val="004830BE"/>
    <w:rsid w:val="004833CE"/>
    <w:rsid w:val="0048349C"/>
    <w:rsid w:val="00483526"/>
    <w:rsid w:val="004836A0"/>
    <w:rsid w:val="00483BD1"/>
    <w:rsid w:val="00483D0D"/>
    <w:rsid w:val="004845B2"/>
    <w:rsid w:val="00485309"/>
    <w:rsid w:val="00485787"/>
    <w:rsid w:val="00486172"/>
    <w:rsid w:val="004865D8"/>
    <w:rsid w:val="0048673E"/>
    <w:rsid w:val="00486D58"/>
    <w:rsid w:val="00486F48"/>
    <w:rsid w:val="00487083"/>
    <w:rsid w:val="00487169"/>
    <w:rsid w:val="004875EB"/>
    <w:rsid w:val="004878FE"/>
    <w:rsid w:val="0049015A"/>
    <w:rsid w:val="004902C9"/>
    <w:rsid w:val="00490D8B"/>
    <w:rsid w:val="00490E40"/>
    <w:rsid w:val="00491199"/>
    <w:rsid w:val="00491607"/>
    <w:rsid w:val="004917DE"/>
    <w:rsid w:val="004919A3"/>
    <w:rsid w:val="00491D1E"/>
    <w:rsid w:val="00492A59"/>
    <w:rsid w:val="00492B5D"/>
    <w:rsid w:val="00492D47"/>
    <w:rsid w:val="004930AA"/>
    <w:rsid w:val="004939B6"/>
    <w:rsid w:val="00493AE1"/>
    <w:rsid w:val="00493CBE"/>
    <w:rsid w:val="004945A4"/>
    <w:rsid w:val="00494C49"/>
    <w:rsid w:val="00495214"/>
    <w:rsid w:val="00495276"/>
    <w:rsid w:val="0049546D"/>
    <w:rsid w:val="0049556D"/>
    <w:rsid w:val="004955D7"/>
    <w:rsid w:val="0049574B"/>
    <w:rsid w:val="00495B2E"/>
    <w:rsid w:val="004964BE"/>
    <w:rsid w:val="004964E5"/>
    <w:rsid w:val="004965B9"/>
    <w:rsid w:val="00496644"/>
    <w:rsid w:val="00497103"/>
    <w:rsid w:val="004976B0"/>
    <w:rsid w:val="00497953"/>
    <w:rsid w:val="00497FC7"/>
    <w:rsid w:val="00497FC9"/>
    <w:rsid w:val="004A023D"/>
    <w:rsid w:val="004A0385"/>
    <w:rsid w:val="004A07F3"/>
    <w:rsid w:val="004A0E02"/>
    <w:rsid w:val="004A0E75"/>
    <w:rsid w:val="004A0EEB"/>
    <w:rsid w:val="004A106E"/>
    <w:rsid w:val="004A144B"/>
    <w:rsid w:val="004A1462"/>
    <w:rsid w:val="004A1FF4"/>
    <w:rsid w:val="004A234A"/>
    <w:rsid w:val="004A2819"/>
    <w:rsid w:val="004A30DB"/>
    <w:rsid w:val="004A3415"/>
    <w:rsid w:val="004A3A1C"/>
    <w:rsid w:val="004A4591"/>
    <w:rsid w:val="004A49C3"/>
    <w:rsid w:val="004A4A32"/>
    <w:rsid w:val="004A4B21"/>
    <w:rsid w:val="004A581E"/>
    <w:rsid w:val="004A5AE0"/>
    <w:rsid w:val="004A5D89"/>
    <w:rsid w:val="004A5FCA"/>
    <w:rsid w:val="004A60D6"/>
    <w:rsid w:val="004A6614"/>
    <w:rsid w:val="004A6B9E"/>
    <w:rsid w:val="004A6C9C"/>
    <w:rsid w:val="004A6CC0"/>
    <w:rsid w:val="004A6FE6"/>
    <w:rsid w:val="004A7190"/>
    <w:rsid w:val="004A7203"/>
    <w:rsid w:val="004A7751"/>
    <w:rsid w:val="004A77C4"/>
    <w:rsid w:val="004A7ABE"/>
    <w:rsid w:val="004B0303"/>
    <w:rsid w:val="004B039B"/>
    <w:rsid w:val="004B09A3"/>
    <w:rsid w:val="004B117A"/>
    <w:rsid w:val="004B1737"/>
    <w:rsid w:val="004B18AE"/>
    <w:rsid w:val="004B1C8E"/>
    <w:rsid w:val="004B21B0"/>
    <w:rsid w:val="004B2564"/>
    <w:rsid w:val="004B2D77"/>
    <w:rsid w:val="004B2F85"/>
    <w:rsid w:val="004B3850"/>
    <w:rsid w:val="004B3910"/>
    <w:rsid w:val="004B3A7A"/>
    <w:rsid w:val="004B42DF"/>
    <w:rsid w:val="004B4502"/>
    <w:rsid w:val="004B4756"/>
    <w:rsid w:val="004B5F52"/>
    <w:rsid w:val="004B5F7A"/>
    <w:rsid w:val="004B6164"/>
    <w:rsid w:val="004B63AE"/>
    <w:rsid w:val="004B7C1A"/>
    <w:rsid w:val="004C056A"/>
    <w:rsid w:val="004C0FFF"/>
    <w:rsid w:val="004C1260"/>
    <w:rsid w:val="004C1653"/>
    <w:rsid w:val="004C1BDC"/>
    <w:rsid w:val="004C209B"/>
    <w:rsid w:val="004C2149"/>
    <w:rsid w:val="004C2531"/>
    <w:rsid w:val="004C2B02"/>
    <w:rsid w:val="004C2E2E"/>
    <w:rsid w:val="004C3342"/>
    <w:rsid w:val="004C3B1F"/>
    <w:rsid w:val="004C4056"/>
    <w:rsid w:val="004C42E0"/>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4E45"/>
    <w:rsid w:val="004E5265"/>
    <w:rsid w:val="004E53FB"/>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0B05"/>
    <w:rsid w:val="004F0BEF"/>
    <w:rsid w:val="004F1244"/>
    <w:rsid w:val="004F1650"/>
    <w:rsid w:val="004F19E2"/>
    <w:rsid w:val="004F1D1F"/>
    <w:rsid w:val="004F23B5"/>
    <w:rsid w:val="004F24FD"/>
    <w:rsid w:val="004F2E45"/>
    <w:rsid w:val="004F30E8"/>
    <w:rsid w:val="004F379D"/>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68B"/>
    <w:rsid w:val="00511F6D"/>
    <w:rsid w:val="005125A5"/>
    <w:rsid w:val="00512902"/>
    <w:rsid w:val="00512DCB"/>
    <w:rsid w:val="005130A4"/>
    <w:rsid w:val="00513195"/>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7ED"/>
    <w:rsid w:val="00520A36"/>
    <w:rsid w:val="00520B9E"/>
    <w:rsid w:val="00520C3B"/>
    <w:rsid w:val="00520C4B"/>
    <w:rsid w:val="0052156D"/>
    <w:rsid w:val="00521A4E"/>
    <w:rsid w:val="0052209E"/>
    <w:rsid w:val="00522475"/>
    <w:rsid w:val="005227A0"/>
    <w:rsid w:val="0052289F"/>
    <w:rsid w:val="00522FC1"/>
    <w:rsid w:val="005232B5"/>
    <w:rsid w:val="00523504"/>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21B"/>
    <w:rsid w:val="00527B92"/>
    <w:rsid w:val="00527F31"/>
    <w:rsid w:val="00530147"/>
    <w:rsid w:val="0053022D"/>
    <w:rsid w:val="005308B4"/>
    <w:rsid w:val="00530924"/>
    <w:rsid w:val="005315AB"/>
    <w:rsid w:val="00531684"/>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B29"/>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78A"/>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3EDA"/>
    <w:rsid w:val="00564813"/>
    <w:rsid w:val="0056483A"/>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065F"/>
    <w:rsid w:val="005715C9"/>
    <w:rsid w:val="00571D67"/>
    <w:rsid w:val="00572BC3"/>
    <w:rsid w:val="00572E2F"/>
    <w:rsid w:val="00572E40"/>
    <w:rsid w:val="0057319D"/>
    <w:rsid w:val="005732E8"/>
    <w:rsid w:val="00573801"/>
    <w:rsid w:val="00574579"/>
    <w:rsid w:val="00574593"/>
    <w:rsid w:val="00574757"/>
    <w:rsid w:val="00574A51"/>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9B7"/>
    <w:rsid w:val="00582A39"/>
    <w:rsid w:val="00582DA9"/>
    <w:rsid w:val="00583471"/>
    <w:rsid w:val="00583B95"/>
    <w:rsid w:val="005850FD"/>
    <w:rsid w:val="0058515C"/>
    <w:rsid w:val="0058597D"/>
    <w:rsid w:val="00585BB5"/>
    <w:rsid w:val="00585F34"/>
    <w:rsid w:val="00586223"/>
    <w:rsid w:val="00586729"/>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3C04"/>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0F2"/>
    <w:rsid w:val="005A021D"/>
    <w:rsid w:val="005A0737"/>
    <w:rsid w:val="005A0CEA"/>
    <w:rsid w:val="005A1450"/>
    <w:rsid w:val="005A17FB"/>
    <w:rsid w:val="005A1852"/>
    <w:rsid w:val="005A190A"/>
    <w:rsid w:val="005A1A1B"/>
    <w:rsid w:val="005A20C9"/>
    <w:rsid w:val="005A2216"/>
    <w:rsid w:val="005A24B5"/>
    <w:rsid w:val="005A2A4D"/>
    <w:rsid w:val="005A2CFC"/>
    <w:rsid w:val="005A2F84"/>
    <w:rsid w:val="005A3347"/>
    <w:rsid w:val="005A4042"/>
    <w:rsid w:val="005A40BA"/>
    <w:rsid w:val="005A4228"/>
    <w:rsid w:val="005A504A"/>
    <w:rsid w:val="005A57D6"/>
    <w:rsid w:val="005A5A22"/>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2EF"/>
    <w:rsid w:val="005B4811"/>
    <w:rsid w:val="005B4C75"/>
    <w:rsid w:val="005B529D"/>
    <w:rsid w:val="005B52D1"/>
    <w:rsid w:val="005B53E0"/>
    <w:rsid w:val="005B554D"/>
    <w:rsid w:val="005B5853"/>
    <w:rsid w:val="005B5E6C"/>
    <w:rsid w:val="005B63E4"/>
    <w:rsid w:val="005B69CA"/>
    <w:rsid w:val="005B6AB5"/>
    <w:rsid w:val="005B6CCC"/>
    <w:rsid w:val="005B71CE"/>
    <w:rsid w:val="005B74F3"/>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2FA2"/>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B62"/>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1558"/>
    <w:rsid w:val="005E1A77"/>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098"/>
    <w:rsid w:val="005F14B1"/>
    <w:rsid w:val="005F16C0"/>
    <w:rsid w:val="005F1D95"/>
    <w:rsid w:val="005F1FA4"/>
    <w:rsid w:val="005F2129"/>
    <w:rsid w:val="005F22F1"/>
    <w:rsid w:val="005F27EF"/>
    <w:rsid w:val="005F2BAF"/>
    <w:rsid w:val="005F30B1"/>
    <w:rsid w:val="005F3434"/>
    <w:rsid w:val="005F3AEF"/>
    <w:rsid w:val="005F3C03"/>
    <w:rsid w:val="005F3DD2"/>
    <w:rsid w:val="005F4418"/>
    <w:rsid w:val="005F454B"/>
    <w:rsid w:val="005F492A"/>
    <w:rsid w:val="005F49D2"/>
    <w:rsid w:val="005F4CED"/>
    <w:rsid w:val="005F5352"/>
    <w:rsid w:val="005F5527"/>
    <w:rsid w:val="005F6B5C"/>
    <w:rsid w:val="005F6BF4"/>
    <w:rsid w:val="005F6D08"/>
    <w:rsid w:val="005F6F91"/>
    <w:rsid w:val="005F70C5"/>
    <w:rsid w:val="005F7321"/>
    <w:rsid w:val="005F7CC7"/>
    <w:rsid w:val="00600F74"/>
    <w:rsid w:val="00601269"/>
    <w:rsid w:val="00601459"/>
    <w:rsid w:val="00601C2F"/>
    <w:rsid w:val="00602BBC"/>
    <w:rsid w:val="00603003"/>
    <w:rsid w:val="00603ABE"/>
    <w:rsid w:val="00603B97"/>
    <w:rsid w:val="00603D36"/>
    <w:rsid w:val="00603F19"/>
    <w:rsid w:val="0060433E"/>
    <w:rsid w:val="00604D69"/>
    <w:rsid w:val="006052E4"/>
    <w:rsid w:val="00605442"/>
    <w:rsid w:val="0060549B"/>
    <w:rsid w:val="00605538"/>
    <w:rsid w:val="00605776"/>
    <w:rsid w:val="006059E7"/>
    <w:rsid w:val="006061DB"/>
    <w:rsid w:val="006061F3"/>
    <w:rsid w:val="0060683C"/>
    <w:rsid w:val="00607532"/>
    <w:rsid w:val="00607C9B"/>
    <w:rsid w:val="006104FE"/>
    <w:rsid w:val="00610930"/>
    <w:rsid w:val="00610B37"/>
    <w:rsid w:val="00611216"/>
    <w:rsid w:val="006112E4"/>
    <w:rsid w:val="0061178F"/>
    <w:rsid w:val="0061223F"/>
    <w:rsid w:val="006125B0"/>
    <w:rsid w:val="00612C20"/>
    <w:rsid w:val="00612DA5"/>
    <w:rsid w:val="00612E61"/>
    <w:rsid w:val="00612FC6"/>
    <w:rsid w:val="00613D28"/>
    <w:rsid w:val="0061404F"/>
    <w:rsid w:val="0061424C"/>
    <w:rsid w:val="00614C2C"/>
    <w:rsid w:val="00614E96"/>
    <w:rsid w:val="00614EA9"/>
    <w:rsid w:val="00615072"/>
    <w:rsid w:val="00615EA0"/>
    <w:rsid w:val="00615F30"/>
    <w:rsid w:val="00616E27"/>
    <w:rsid w:val="00617088"/>
    <w:rsid w:val="00617396"/>
    <w:rsid w:val="00617831"/>
    <w:rsid w:val="0061794C"/>
    <w:rsid w:val="0062007E"/>
    <w:rsid w:val="00620205"/>
    <w:rsid w:val="006202CC"/>
    <w:rsid w:val="0062030A"/>
    <w:rsid w:val="00620470"/>
    <w:rsid w:val="00620736"/>
    <w:rsid w:val="006212E4"/>
    <w:rsid w:val="00621EF4"/>
    <w:rsid w:val="00622128"/>
    <w:rsid w:val="006229D3"/>
    <w:rsid w:val="006230E9"/>
    <w:rsid w:val="006241BE"/>
    <w:rsid w:val="006244E5"/>
    <w:rsid w:val="0062456C"/>
    <w:rsid w:val="00625009"/>
    <w:rsid w:val="00625523"/>
    <w:rsid w:val="00625759"/>
    <w:rsid w:val="006259EF"/>
    <w:rsid w:val="00625B32"/>
    <w:rsid w:val="00625B8F"/>
    <w:rsid w:val="00625F68"/>
    <w:rsid w:val="006266E5"/>
    <w:rsid w:val="006274DD"/>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2ED"/>
    <w:rsid w:val="00651361"/>
    <w:rsid w:val="006514C8"/>
    <w:rsid w:val="00651605"/>
    <w:rsid w:val="006516A6"/>
    <w:rsid w:val="00651A21"/>
    <w:rsid w:val="00651FD1"/>
    <w:rsid w:val="00652C86"/>
    <w:rsid w:val="006531CB"/>
    <w:rsid w:val="00653453"/>
    <w:rsid w:val="00653E4D"/>
    <w:rsid w:val="00653F03"/>
    <w:rsid w:val="00654099"/>
    <w:rsid w:val="006541A6"/>
    <w:rsid w:val="00654347"/>
    <w:rsid w:val="00654926"/>
    <w:rsid w:val="00654BA4"/>
    <w:rsid w:val="00654C6A"/>
    <w:rsid w:val="0065542E"/>
    <w:rsid w:val="00655869"/>
    <w:rsid w:val="00655B41"/>
    <w:rsid w:val="00655F64"/>
    <w:rsid w:val="00656821"/>
    <w:rsid w:val="006569B1"/>
    <w:rsid w:val="00656F75"/>
    <w:rsid w:val="006572F6"/>
    <w:rsid w:val="00657379"/>
    <w:rsid w:val="006576D8"/>
    <w:rsid w:val="0065797F"/>
    <w:rsid w:val="00657BBC"/>
    <w:rsid w:val="006600F5"/>
    <w:rsid w:val="006601FD"/>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5F1F"/>
    <w:rsid w:val="006662AD"/>
    <w:rsid w:val="006668CA"/>
    <w:rsid w:val="00666E99"/>
    <w:rsid w:val="0066760C"/>
    <w:rsid w:val="00667ABB"/>
    <w:rsid w:val="006708C9"/>
    <w:rsid w:val="00670B88"/>
    <w:rsid w:val="00670E84"/>
    <w:rsid w:val="00671234"/>
    <w:rsid w:val="0067240D"/>
    <w:rsid w:val="006726E0"/>
    <w:rsid w:val="0067336C"/>
    <w:rsid w:val="006742C5"/>
    <w:rsid w:val="006749B3"/>
    <w:rsid w:val="00674A96"/>
    <w:rsid w:val="00674D18"/>
    <w:rsid w:val="006750F1"/>
    <w:rsid w:val="00675A81"/>
    <w:rsid w:val="0067643D"/>
    <w:rsid w:val="0067675D"/>
    <w:rsid w:val="00677A1C"/>
    <w:rsid w:val="00677C73"/>
    <w:rsid w:val="00677E30"/>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525F"/>
    <w:rsid w:val="00696ADE"/>
    <w:rsid w:val="00697143"/>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AB7"/>
    <w:rsid w:val="006A5EE2"/>
    <w:rsid w:val="006A6846"/>
    <w:rsid w:val="006A7121"/>
    <w:rsid w:val="006A75AC"/>
    <w:rsid w:val="006A7632"/>
    <w:rsid w:val="006A7897"/>
    <w:rsid w:val="006A7F23"/>
    <w:rsid w:val="006B0109"/>
    <w:rsid w:val="006B056A"/>
    <w:rsid w:val="006B0630"/>
    <w:rsid w:val="006B0FA2"/>
    <w:rsid w:val="006B10F5"/>
    <w:rsid w:val="006B1475"/>
    <w:rsid w:val="006B1754"/>
    <w:rsid w:val="006B1A63"/>
    <w:rsid w:val="006B1D79"/>
    <w:rsid w:val="006B1ED5"/>
    <w:rsid w:val="006B20E7"/>
    <w:rsid w:val="006B28F0"/>
    <w:rsid w:val="006B2A03"/>
    <w:rsid w:val="006B2ABD"/>
    <w:rsid w:val="006B2E94"/>
    <w:rsid w:val="006B307B"/>
    <w:rsid w:val="006B3858"/>
    <w:rsid w:val="006B424E"/>
    <w:rsid w:val="006B4FA7"/>
    <w:rsid w:val="006B5363"/>
    <w:rsid w:val="006B56D9"/>
    <w:rsid w:val="006B59BE"/>
    <w:rsid w:val="006B61DB"/>
    <w:rsid w:val="006B657B"/>
    <w:rsid w:val="006B709C"/>
    <w:rsid w:val="006B7768"/>
    <w:rsid w:val="006B7AF5"/>
    <w:rsid w:val="006C01B3"/>
    <w:rsid w:val="006C0671"/>
    <w:rsid w:val="006C0F3D"/>
    <w:rsid w:val="006C0FB3"/>
    <w:rsid w:val="006C150F"/>
    <w:rsid w:val="006C1538"/>
    <w:rsid w:val="006C1918"/>
    <w:rsid w:val="006C1ABF"/>
    <w:rsid w:val="006C1BD3"/>
    <w:rsid w:val="006C1C44"/>
    <w:rsid w:val="006C1C92"/>
    <w:rsid w:val="006C1D80"/>
    <w:rsid w:val="006C2017"/>
    <w:rsid w:val="006C292F"/>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C75D4"/>
    <w:rsid w:val="006D0087"/>
    <w:rsid w:val="006D04D2"/>
    <w:rsid w:val="006D09D9"/>
    <w:rsid w:val="006D131F"/>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36D"/>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6F01"/>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07989"/>
    <w:rsid w:val="00710AF8"/>
    <w:rsid w:val="00710BF9"/>
    <w:rsid w:val="00710F65"/>
    <w:rsid w:val="00711425"/>
    <w:rsid w:val="007115B7"/>
    <w:rsid w:val="00711BC1"/>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1719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3F7"/>
    <w:rsid w:val="007244C8"/>
    <w:rsid w:val="00724A11"/>
    <w:rsid w:val="00724A4B"/>
    <w:rsid w:val="00724B22"/>
    <w:rsid w:val="00725154"/>
    <w:rsid w:val="007253B8"/>
    <w:rsid w:val="007255AF"/>
    <w:rsid w:val="007264A6"/>
    <w:rsid w:val="00726680"/>
    <w:rsid w:val="00726C56"/>
    <w:rsid w:val="00727068"/>
    <w:rsid w:val="007270D6"/>
    <w:rsid w:val="007273AA"/>
    <w:rsid w:val="00727618"/>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2A1"/>
    <w:rsid w:val="007354C5"/>
    <w:rsid w:val="007356CC"/>
    <w:rsid w:val="0073630E"/>
    <w:rsid w:val="0073631E"/>
    <w:rsid w:val="0073661A"/>
    <w:rsid w:val="00736983"/>
    <w:rsid w:val="007374FB"/>
    <w:rsid w:val="00737520"/>
    <w:rsid w:val="00737CCA"/>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416"/>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767"/>
    <w:rsid w:val="00760B67"/>
    <w:rsid w:val="00760F3C"/>
    <w:rsid w:val="0076115B"/>
    <w:rsid w:val="00761CE2"/>
    <w:rsid w:val="00761E1F"/>
    <w:rsid w:val="00761E43"/>
    <w:rsid w:val="007622CD"/>
    <w:rsid w:val="0076244C"/>
    <w:rsid w:val="007634F8"/>
    <w:rsid w:val="00763CCF"/>
    <w:rsid w:val="00763E35"/>
    <w:rsid w:val="00764C13"/>
    <w:rsid w:val="0076503E"/>
    <w:rsid w:val="00765091"/>
    <w:rsid w:val="007650F7"/>
    <w:rsid w:val="0076564F"/>
    <w:rsid w:val="007657FC"/>
    <w:rsid w:val="00765971"/>
    <w:rsid w:val="0076677C"/>
    <w:rsid w:val="00766829"/>
    <w:rsid w:val="00766A81"/>
    <w:rsid w:val="00766AEC"/>
    <w:rsid w:val="0076737F"/>
    <w:rsid w:val="00767502"/>
    <w:rsid w:val="007678E6"/>
    <w:rsid w:val="00767B25"/>
    <w:rsid w:val="007702E5"/>
    <w:rsid w:val="00770AC7"/>
    <w:rsid w:val="0077118C"/>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68B"/>
    <w:rsid w:val="00781F3B"/>
    <w:rsid w:val="007824AB"/>
    <w:rsid w:val="0078358A"/>
    <w:rsid w:val="00783850"/>
    <w:rsid w:val="00783CD9"/>
    <w:rsid w:val="00784D2F"/>
    <w:rsid w:val="00784F53"/>
    <w:rsid w:val="00785D0A"/>
    <w:rsid w:val="00785D38"/>
    <w:rsid w:val="00785F19"/>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01E"/>
    <w:rsid w:val="0079764A"/>
    <w:rsid w:val="00797A48"/>
    <w:rsid w:val="00797D0E"/>
    <w:rsid w:val="00797D14"/>
    <w:rsid w:val="00797DAD"/>
    <w:rsid w:val="007A0926"/>
    <w:rsid w:val="007A09E2"/>
    <w:rsid w:val="007A09EF"/>
    <w:rsid w:val="007A1269"/>
    <w:rsid w:val="007A1E36"/>
    <w:rsid w:val="007A2FCF"/>
    <w:rsid w:val="007A3128"/>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4BA"/>
    <w:rsid w:val="007B78B6"/>
    <w:rsid w:val="007B7F1D"/>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080"/>
    <w:rsid w:val="007D01B9"/>
    <w:rsid w:val="007D0632"/>
    <w:rsid w:val="007D0E2D"/>
    <w:rsid w:val="007D15AE"/>
    <w:rsid w:val="007D16B5"/>
    <w:rsid w:val="007D189C"/>
    <w:rsid w:val="007D1D12"/>
    <w:rsid w:val="007D1D95"/>
    <w:rsid w:val="007D233B"/>
    <w:rsid w:val="007D29F6"/>
    <w:rsid w:val="007D2A91"/>
    <w:rsid w:val="007D337B"/>
    <w:rsid w:val="007D4382"/>
    <w:rsid w:val="007D4637"/>
    <w:rsid w:val="007D46C8"/>
    <w:rsid w:val="007D56D2"/>
    <w:rsid w:val="007D5C93"/>
    <w:rsid w:val="007D61B8"/>
    <w:rsid w:val="007D6945"/>
    <w:rsid w:val="007D6974"/>
    <w:rsid w:val="007D6C89"/>
    <w:rsid w:val="007D6CF7"/>
    <w:rsid w:val="007D6D6F"/>
    <w:rsid w:val="007D6DE7"/>
    <w:rsid w:val="007D6DEE"/>
    <w:rsid w:val="007D70B5"/>
    <w:rsid w:val="007D7181"/>
    <w:rsid w:val="007D7206"/>
    <w:rsid w:val="007D72D2"/>
    <w:rsid w:val="007D760B"/>
    <w:rsid w:val="007D77AF"/>
    <w:rsid w:val="007D7E03"/>
    <w:rsid w:val="007D7EB3"/>
    <w:rsid w:val="007D7F32"/>
    <w:rsid w:val="007D7FD7"/>
    <w:rsid w:val="007E01DB"/>
    <w:rsid w:val="007E10DE"/>
    <w:rsid w:val="007E128A"/>
    <w:rsid w:val="007E19A6"/>
    <w:rsid w:val="007E25C1"/>
    <w:rsid w:val="007E281F"/>
    <w:rsid w:val="007E2A38"/>
    <w:rsid w:val="007E2D14"/>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2D38"/>
    <w:rsid w:val="007F34DE"/>
    <w:rsid w:val="007F34EB"/>
    <w:rsid w:val="007F3B20"/>
    <w:rsid w:val="007F3B2C"/>
    <w:rsid w:val="007F3C16"/>
    <w:rsid w:val="007F4051"/>
    <w:rsid w:val="007F42D5"/>
    <w:rsid w:val="007F48AD"/>
    <w:rsid w:val="007F4A1B"/>
    <w:rsid w:val="007F4A1C"/>
    <w:rsid w:val="007F4A20"/>
    <w:rsid w:val="007F4AD9"/>
    <w:rsid w:val="007F4C7A"/>
    <w:rsid w:val="007F52E0"/>
    <w:rsid w:val="007F53B3"/>
    <w:rsid w:val="007F572D"/>
    <w:rsid w:val="007F5D02"/>
    <w:rsid w:val="007F6056"/>
    <w:rsid w:val="007F64B4"/>
    <w:rsid w:val="007F7FF2"/>
    <w:rsid w:val="00800889"/>
    <w:rsid w:val="00800A64"/>
    <w:rsid w:val="00800C46"/>
    <w:rsid w:val="008013A1"/>
    <w:rsid w:val="0080175F"/>
    <w:rsid w:val="00801B3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929"/>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C20"/>
    <w:rsid w:val="00834E18"/>
    <w:rsid w:val="00834E9C"/>
    <w:rsid w:val="00835707"/>
    <w:rsid w:val="00835CAC"/>
    <w:rsid w:val="0083622F"/>
    <w:rsid w:val="00836462"/>
    <w:rsid w:val="0083646C"/>
    <w:rsid w:val="008364D5"/>
    <w:rsid w:val="008368AA"/>
    <w:rsid w:val="00836BBB"/>
    <w:rsid w:val="0083723D"/>
    <w:rsid w:val="00837276"/>
    <w:rsid w:val="008372A9"/>
    <w:rsid w:val="008375AA"/>
    <w:rsid w:val="00837997"/>
    <w:rsid w:val="00842138"/>
    <w:rsid w:val="00842561"/>
    <w:rsid w:val="00842644"/>
    <w:rsid w:val="00842BBF"/>
    <w:rsid w:val="00842F70"/>
    <w:rsid w:val="00843BF0"/>
    <w:rsid w:val="00843FE7"/>
    <w:rsid w:val="0084464C"/>
    <w:rsid w:val="00844CA1"/>
    <w:rsid w:val="00844E79"/>
    <w:rsid w:val="00845656"/>
    <w:rsid w:val="00845894"/>
    <w:rsid w:val="008459A9"/>
    <w:rsid w:val="00845A07"/>
    <w:rsid w:val="00845E79"/>
    <w:rsid w:val="00845E9A"/>
    <w:rsid w:val="0084668B"/>
    <w:rsid w:val="00846E79"/>
    <w:rsid w:val="008472B9"/>
    <w:rsid w:val="008472FB"/>
    <w:rsid w:val="00847373"/>
    <w:rsid w:val="008474A5"/>
    <w:rsid w:val="008477E8"/>
    <w:rsid w:val="00847809"/>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4DDF"/>
    <w:rsid w:val="00855D0F"/>
    <w:rsid w:val="008565BC"/>
    <w:rsid w:val="00856648"/>
    <w:rsid w:val="00856A67"/>
    <w:rsid w:val="00856B26"/>
    <w:rsid w:val="00856B71"/>
    <w:rsid w:val="00856C36"/>
    <w:rsid w:val="00856C93"/>
    <w:rsid w:val="008573F9"/>
    <w:rsid w:val="00857D59"/>
    <w:rsid w:val="00860880"/>
    <w:rsid w:val="00861572"/>
    <w:rsid w:val="00861731"/>
    <w:rsid w:val="0086190F"/>
    <w:rsid w:val="00861974"/>
    <w:rsid w:val="00861EB1"/>
    <w:rsid w:val="0086219D"/>
    <w:rsid w:val="00862402"/>
    <w:rsid w:val="00862660"/>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2F6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316B"/>
    <w:rsid w:val="00884A24"/>
    <w:rsid w:val="00884B09"/>
    <w:rsid w:val="00884C05"/>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B51"/>
    <w:rsid w:val="00890D9C"/>
    <w:rsid w:val="00891AC5"/>
    <w:rsid w:val="00892310"/>
    <w:rsid w:val="00892F80"/>
    <w:rsid w:val="008930B4"/>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2FA"/>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8BC"/>
    <w:rsid w:val="008A6D23"/>
    <w:rsid w:val="008A6E78"/>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D41"/>
    <w:rsid w:val="008B5F0A"/>
    <w:rsid w:val="008B694B"/>
    <w:rsid w:val="008B6972"/>
    <w:rsid w:val="008C05F1"/>
    <w:rsid w:val="008C07C7"/>
    <w:rsid w:val="008C097F"/>
    <w:rsid w:val="008C09EB"/>
    <w:rsid w:val="008C0B8B"/>
    <w:rsid w:val="008C0E17"/>
    <w:rsid w:val="008C1006"/>
    <w:rsid w:val="008C1CE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3F8C"/>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1BDA"/>
    <w:rsid w:val="008E20F1"/>
    <w:rsid w:val="008E2F17"/>
    <w:rsid w:val="008E3175"/>
    <w:rsid w:val="008E32CE"/>
    <w:rsid w:val="008E3CC4"/>
    <w:rsid w:val="008E3DDC"/>
    <w:rsid w:val="008E417F"/>
    <w:rsid w:val="008E47F3"/>
    <w:rsid w:val="008E4F24"/>
    <w:rsid w:val="008E52B9"/>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3E44"/>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C68"/>
    <w:rsid w:val="008F7DE6"/>
    <w:rsid w:val="00900FAB"/>
    <w:rsid w:val="009014C8"/>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3C83"/>
    <w:rsid w:val="009143C1"/>
    <w:rsid w:val="009147BA"/>
    <w:rsid w:val="00914E96"/>
    <w:rsid w:val="00914ED5"/>
    <w:rsid w:val="009155E5"/>
    <w:rsid w:val="0091566D"/>
    <w:rsid w:val="009160AC"/>
    <w:rsid w:val="00916484"/>
    <w:rsid w:val="0091656F"/>
    <w:rsid w:val="00916B7D"/>
    <w:rsid w:val="00916DC6"/>
    <w:rsid w:val="00916F2F"/>
    <w:rsid w:val="00917575"/>
    <w:rsid w:val="009176BF"/>
    <w:rsid w:val="00917ABD"/>
    <w:rsid w:val="00920136"/>
    <w:rsid w:val="00920652"/>
    <w:rsid w:val="00920813"/>
    <w:rsid w:val="009208A1"/>
    <w:rsid w:val="009209E3"/>
    <w:rsid w:val="00921847"/>
    <w:rsid w:val="00921EDE"/>
    <w:rsid w:val="00921F3E"/>
    <w:rsid w:val="0092228B"/>
    <w:rsid w:val="0092279A"/>
    <w:rsid w:val="00922D87"/>
    <w:rsid w:val="00923216"/>
    <w:rsid w:val="009234D0"/>
    <w:rsid w:val="00923A33"/>
    <w:rsid w:val="00923DB7"/>
    <w:rsid w:val="00924425"/>
    <w:rsid w:val="00924C15"/>
    <w:rsid w:val="009252F5"/>
    <w:rsid w:val="009261BF"/>
    <w:rsid w:val="009266A4"/>
    <w:rsid w:val="00926AD5"/>
    <w:rsid w:val="00926EC9"/>
    <w:rsid w:val="009272C6"/>
    <w:rsid w:val="009279B7"/>
    <w:rsid w:val="0093051C"/>
    <w:rsid w:val="0093056D"/>
    <w:rsid w:val="00930866"/>
    <w:rsid w:val="0093107E"/>
    <w:rsid w:val="009313EE"/>
    <w:rsid w:val="00931A9D"/>
    <w:rsid w:val="00931E55"/>
    <w:rsid w:val="009328F8"/>
    <w:rsid w:val="00932F82"/>
    <w:rsid w:val="009336A3"/>
    <w:rsid w:val="00933910"/>
    <w:rsid w:val="00933A3E"/>
    <w:rsid w:val="009348FC"/>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14C"/>
    <w:rsid w:val="0094229E"/>
    <w:rsid w:val="009422BC"/>
    <w:rsid w:val="0094287F"/>
    <w:rsid w:val="00942B51"/>
    <w:rsid w:val="009430E5"/>
    <w:rsid w:val="0094315F"/>
    <w:rsid w:val="009431A3"/>
    <w:rsid w:val="009432CB"/>
    <w:rsid w:val="00943425"/>
    <w:rsid w:val="0094359E"/>
    <w:rsid w:val="009436D4"/>
    <w:rsid w:val="00943AFE"/>
    <w:rsid w:val="00943B48"/>
    <w:rsid w:val="00943BD8"/>
    <w:rsid w:val="00943DE3"/>
    <w:rsid w:val="00943EF0"/>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3C3"/>
    <w:rsid w:val="0095242E"/>
    <w:rsid w:val="009532F6"/>
    <w:rsid w:val="009538A9"/>
    <w:rsid w:val="00953A7B"/>
    <w:rsid w:val="00953B97"/>
    <w:rsid w:val="00954408"/>
    <w:rsid w:val="009547EC"/>
    <w:rsid w:val="00954D0E"/>
    <w:rsid w:val="00954FE1"/>
    <w:rsid w:val="0095542B"/>
    <w:rsid w:val="009556AE"/>
    <w:rsid w:val="00955DD9"/>
    <w:rsid w:val="009565BD"/>
    <w:rsid w:val="00956939"/>
    <w:rsid w:val="00956AAC"/>
    <w:rsid w:val="00956AB0"/>
    <w:rsid w:val="00956B15"/>
    <w:rsid w:val="00956BC0"/>
    <w:rsid w:val="009578F0"/>
    <w:rsid w:val="00961878"/>
    <w:rsid w:val="00961B62"/>
    <w:rsid w:val="00961EF6"/>
    <w:rsid w:val="009620E7"/>
    <w:rsid w:val="00962780"/>
    <w:rsid w:val="00962B87"/>
    <w:rsid w:val="00962E13"/>
    <w:rsid w:val="00962FF1"/>
    <w:rsid w:val="009630CE"/>
    <w:rsid w:val="00963209"/>
    <w:rsid w:val="00964074"/>
    <w:rsid w:val="009641AD"/>
    <w:rsid w:val="009641EB"/>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614"/>
    <w:rsid w:val="00974915"/>
    <w:rsid w:val="009752C7"/>
    <w:rsid w:val="009759F2"/>
    <w:rsid w:val="00975F02"/>
    <w:rsid w:val="00976190"/>
    <w:rsid w:val="00976469"/>
    <w:rsid w:val="00976532"/>
    <w:rsid w:val="0097654B"/>
    <w:rsid w:val="00976809"/>
    <w:rsid w:val="00976A43"/>
    <w:rsid w:val="00976A59"/>
    <w:rsid w:val="00976B93"/>
    <w:rsid w:val="009770B8"/>
    <w:rsid w:val="00977265"/>
    <w:rsid w:val="00977266"/>
    <w:rsid w:val="00977BEC"/>
    <w:rsid w:val="00977C6D"/>
    <w:rsid w:val="00977F17"/>
    <w:rsid w:val="00980499"/>
    <w:rsid w:val="009808AF"/>
    <w:rsid w:val="00980BF6"/>
    <w:rsid w:val="00981170"/>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B13"/>
    <w:rsid w:val="00987CA0"/>
    <w:rsid w:val="00990506"/>
    <w:rsid w:val="00990883"/>
    <w:rsid w:val="00990F79"/>
    <w:rsid w:val="009910DC"/>
    <w:rsid w:val="00991584"/>
    <w:rsid w:val="0099172C"/>
    <w:rsid w:val="00991B19"/>
    <w:rsid w:val="00991E0C"/>
    <w:rsid w:val="00991F23"/>
    <w:rsid w:val="00992605"/>
    <w:rsid w:val="00992CD6"/>
    <w:rsid w:val="0099339C"/>
    <w:rsid w:val="00993599"/>
    <w:rsid w:val="00994CCA"/>
    <w:rsid w:val="0099574B"/>
    <w:rsid w:val="00996FFF"/>
    <w:rsid w:val="009974A8"/>
    <w:rsid w:val="009975C9"/>
    <w:rsid w:val="009A0A09"/>
    <w:rsid w:val="009A0A9F"/>
    <w:rsid w:val="009A1489"/>
    <w:rsid w:val="009A14E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1F3"/>
    <w:rsid w:val="009A78AB"/>
    <w:rsid w:val="009B0058"/>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0EA7"/>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397"/>
    <w:rsid w:val="009E15ED"/>
    <w:rsid w:val="009E1607"/>
    <w:rsid w:val="009E1A3F"/>
    <w:rsid w:val="009E21B7"/>
    <w:rsid w:val="009E22AA"/>
    <w:rsid w:val="009E2CF2"/>
    <w:rsid w:val="009E2EA7"/>
    <w:rsid w:val="009E312B"/>
    <w:rsid w:val="009E3337"/>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4C6"/>
    <w:rsid w:val="009F0A3A"/>
    <w:rsid w:val="009F0BD3"/>
    <w:rsid w:val="009F1A72"/>
    <w:rsid w:val="009F1A79"/>
    <w:rsid w:val="009F1F49"/>
    <w:rsid w:val="009F254C"/>
    <w:rsid w:val="009F2CB1"/>
    <w:rsid w:val="009F3218"/>
    <w:rsid w:val="009F354F"/>
    <w:rsid w:val="009F394C"/>
    <w:rsid w:val="009F3A44"/>
    <w:rsid w:val="009F4F1D"/>
    <w:rsid w:val="009F4F93"/>
    <w:rsid w:val="009F556C"/>
    <w:rsid w:val="009F63EE"/>
    <w:rsid w:val="009F711E"/>
    <w:rsid w:val="009F7F2B"/>
    <w:rsid w:val="00A0001D"/>
    <w:rsid w:val="00A01037"/>
    <w:rsid w:val="00A0119C"/>
    <w:rsid w:val="00A017D4"/>
    <w:rsid w:val="00A01C9C"/>
    <w:rsid w:val="00A01E3D"/>
    <w:rsid w:val="00A01F05"/>
    <w:rsid w:val="00A0267D"/>
    <w:rsid w:val="00A0287D"/>
    <w:rsid w:val="00A03332"/>
    <w:rsid w:val="00A0369C"/>
    <w:rsid w:val="00A03771"/>
    <w:rsid w:val="00A04024"/>
    <w:rsid w:val="00A04595"/>
    <w:rsid w:val="00A052E4"/>
    <w:rsid w:val="00A0541B"/>
    <w:rsid w:val="00A05DBE"/>
    <w:rsid w:val="00A06208"/>
    <w:rsid w:val="00A0628B"/>
    <w:rsid w:val="00A068D9"/>
    <w:rsid w:val="00A06EB9"/>
    <w:rsid w:val="00A075E3"/>
    <w:rsid w:val="00A1016F"/>
    <w:rsid w:val="00A105AE"/>
    <w:rsid w:val="00A10601"/>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3F8"/>
    <w:rsid w:val="00A21556"/>
    <w:rsid w:val="00A21903"/>
    <w:rsid w:val="00A2278E"/>
    <w:rsid w:val="00A22AF7"/>
    <w:rsid w:val="00A23211"/>
    <w:rsid w:val="00A23A7D"/>
    <w:rsid w:val="00A2405B"/>
    <w:rsid w:val="00A241BB"/>
    <w:rsid w:val="00A24806"/>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8E9"/>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6FEA"/>
    <w:rsid w:val="00A3747B"/>
    <w:rsid w:val="00A37995"/>
    <w:rsid w:val="00A37FF9"/>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5B50"/>
    <w:rsid w:val="00A463F3"/>
    <w:rsid w:val="00A47100"/>
    <w:rsid w:val="00A472D1"/>
    <w:rsid w:val="00A47335"/>
    <w:rsid w:val="00A47798"/>
    <w:rsid w:val="00A47902"/>
    <w:rsid w:val="00A47B8B"/>
    <w:rsid w:val="00A50258"/>
    <w:rsid w:val="00A5085F"/>
    <w:rsid w:val="00A51149"/>
    <w:rsid w:val="00A52796"/>
    <w:rsid w:val="00A53AB4"/>
    <w:rsid w:val="00A53DBB"/>
    <w:rsid w:val="00A53FB6"/>
    <w:rsid w:val="00A541A4"/>
    <w:rsid w:val="00A5498C"/>
    <w:rsid w:val="00A549E2"/>
    <w:rsid w:val="00A54E15"/>
    <w:rsid w:val="00A54FE4"/>
    <w:rsid w:val="00A5541A"/>
    <w:rsid w:val="00A56092"/>
    <w:rsid w:val="00A567CB"/>
    <w:rsid w:val="00A57263"/>
    <w:rsid w:val="00A5741B"/>
    <w:rsid w:val="00A57B23"/>
    <w:rsid w:val="00A57DEC"/>
    <w:rsid w:val="00A6094A"/>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5F94"/>
    <w:rsid w:val="00A66506"/>
    <w:rsid w:val="00A6689B"/>
    <w:rsid w:val="00A66E2A"/>
    <w:rsid w:val="00A6769C"/>
    <w:rsid w:val="00A67E65"/>
    <w:rsid w:val="00A67E6C"/>
    <w:rsid w:val="00A67FE1"/>
    <w:rsid w:val="00A70081"/>
    <w:rsid w:val="00A703C1"/>
    <w:rsid w:val="00A704A3"/>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BE9"/>
    <w:rsid w:val="00A81D00"/>
    <w:rsid w:val="00A81D2F"/>
    <w:rsid w:val="00A81E59"/>
    <w:rsid w:val="00A81EBE"/>
    <w:rsid w:val="00A826F1"/>
    <w:rsid w:val="00A82712"/>
    <w:rsid w:val="00A82D02"/>
    <w:rsid w:val="00A8304F"/>
    <w:rsid w:val="00A8308A"/>
    <w:rsid w:val="00A83369"/>
    <w:rsid w:val="00A83A27"/>
    <w:rsid w:val="00A8428C"/>
    <w:rsid w:val="00A84364"/>
    <w:rsid w:val="00A84CD0"/>
    <w:rsid w:val="00A853B1"/>
    <w:rsid w:val="00A854A8"/>
    <w:rsid w:val="00A858E9"/>
    <w:rsid w:val="00A85E5B"/>
    <w:rsid w:val="00A85E73"/>
    <w:rsid w:val="00A85EC0"/>
    <w:rsid w:val="00A86ED1"/>
    <w:rsid w:val="00A86F9B"/>
    <w:rsid w:val="00A87A64"/>
    <w:rsid w:val="00A915F4"/>
    <w:rsid w:val="00A916EF"/>
    <w:rsid w:val="00A917A9"/>
    <w:rsid w:val="00A91C36"/>
    <w:rsid w:val="00A91D41"/>
    <w:rsid w:val="00A926F4"/>
    <w:rsid w:val="00A93964"/>
    <w:rsid w:val="00A93F51"/>
    <w:rsid w:val="00A940CD"/>
    <w:rsid w:val="00A94153"/>
    <w:rsid w:val="00A94747"/>
    <w:rsid w:val="00A947D6"/>
    <w:rsid w:val="00A955C0"/>
    <w:rsid w:val="00A95C9D"/>
    <w:rsid w:val="00A96010"/>
    <w:rsid w:val="00A9684D"/>
    <w:rsid w:val="00A97402"/>
    <w:rsid w:val="00A97873"/>
    <w:rsid w:val="00A979F1"/>
    <w:rsid w:val="00AA0426"/>
    <w:rsid w:val="00AA0B30"/>
    <w:rsid w:val="00AA0CEA"/>
    <w:rsid w:val="00AA0EFF"/>
    <w:rsid w:val="00AA1D97"/>
    <w:rsid w:val="00AA1E6C"/>
    <w:rsid w:val="00AA23B0"/>
    <w:rsid w:val="00AA29DC"/>
    <w:rsid w:val="00AA2B4F"/>
    <w:rsid w:val="00AA321D"/>
    <w:rsid w:val="00AA3259"/>
    <w:rsid w:val="00AA3620"/>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233"/>
    <w:rsid w:val="00AB4DCD"/>
    <w:rsid w:val="00AB4F87"/>
    <w:rsid w:val="00AB5377"/>
    <w:rsid w:val="00AB5B77"/>
    <w:rsid w:val="00AB763D"/>
    <w:rsid w:val="00AB7891"/>
    <w:rsid w:val="00AB7B94"/>
    <w:rsid w:val="00AB7D08"/>
    <w:rsid w:val="00AB7F83"/>
    <w:rsid w:val="00AC0639"/>
    <w:rsid w:val="00AC0B81"/>
    <w:rsid w:val="00AC1D7C"/>
    <w:rsid w:val="00AC2090"/>
    <w:rsid w:val="00AC2300"/>
    <w:rsid w:val="00AC328A"/>
    <w:rsid w:val="00AC3451"/>
    <w:rsid w:val="00AC3506"/>
    <w:rsid w:val="00AC37C7"/>
    <w:rsid w:val="00AC387E"/>
    <w:rsid w:val="00AC3937"/>
    <w:rsid w:val="00AC3D49"/>
    <w:rsid w:val="00AC4346"/>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4C1"/>
    <w:rsid w:val="00AD277E"/>
    <w:rsid w:val="00AD343E"/>
    <w:rsid w:val="00AD39FB"/>
    <w:rsid w:val="00AD3A02"/>
    <w:rsid w:val="00AD3B2B"/>
    <w:rsid w:val="00AD4267"/>
    <w:rsid w:val="00AD43D0"/>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BDA"/>
    <w:rsid w:val="00AE7EA4"/>
    <w:rsid w:val="00AE7F44"/>
    <w:rsid w:val="00AF0329"/>
    <w:rsid w:val="00AF0774"/>
    <w:rsid w:val="00AF11B5"/>
    <w:rsid w:val="00AF15D9"/>
    <w:rsid w:val="00AF1C76"/>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AF7A5C"/>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176"/>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7D8"/>
    <w:rsid w:val="00B14BEA"/>
    <w:rsid w:val="00B14F47"/>
    <w:rsid w:val="00B15F1F"/>
    <w:rsid w:val="00B167CE"/>
    <w:rsid w:val="00B16B62"/>
    <w:rsid w:val="00B16DD7"/>
    <w:rsid w:val="00B17902"/>
    <w:rsid w:val="00B17A2E"/>
    <w:rsid w:val="00B17C66"/>
    <w:rsid w:val="00B20292"/>
    <w:rsid w:val="00B206B1"/>
    <w:rsid w:val="00B22004"/>
    <w:rsid w:val="00B227D8"/>
    <w:rsid w:val="00B22C0A"/>
    <w:rsid w:val="00B22F42"/>
    <w:rsid w:val="00B22FE6"/>
    <w:rsid w:val="00B22FF9"/>
    <w:rsid w:val="00B23F87"/>
    <w:rsid w:val="00B24213"/>
    <w:rsid w:val="00B242E1"/>
    <w:rsid w:val="00B244B0"/>
    <w:rsid w:val="00B244BC"/>
    <w:rsid w:val="00B24980"/>
    <w:rsid w:val="00B250B5"/>
    <w:rsid w:val="00B25B42"/>
    <w:rsid w:val="00B2635D"/>
    <w:rsid w:val="00B267F1"/>
    <w:rsid w:val="00B2725F"/>
    <w:rsid w:val="00B27998"/>
    <w:rsid w:val="00B308E1"/>
    <w:rsid w:val="00B30FEF"/>
    <w:rsid w:val="00B31431"/>
    <w:rsid w:val="00B316BA"/>
    <w:rsid w:val="00B31D3D"/>
    <w:rsid w:val="00B3225B"/>
    <w:rsid w:val="00B32403"/>
    <w:rsid w:val="00B32623"/>
    <w:rsid w:val="00B32BC9"/>
    <w:rsid w:val="00B331DC"/>
    <w:rsid w:val="00B33BCF"/>
    <w:rsid w:val="00B3417A"/>
    <w:rsid w:val="00B3520E"/>
    <w:rsid w:val="00B35546"/>
    <w:rsid w:val="00B3556A"/>
    <w:rsid w:val="00B35594"/>
    <w:rsid w:val="00B3580D"/>
    <w:rsid w:val="00B359BE"/>
    <w:rsid w:val="00B366E5"/>
    <w:rsid w:val="00B36879"/>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0F2B"/>
    <w:rsid w:val="00B51EF7"/>
    <w:rsid w:val="00B5205A"/>
    <w:rsid w:val="00B52363"/>
    <w:rsid w:val="00B524C0"/>
    <w:rsid w:val="00B52693"/>
    <w:rsid w:val="00B52CF9"/>
    <w:rsid w:val="00B52D9E"/>
    <w:rsid w:val="00B52E12"/>
    <w:rsid w:val="00B530F8"/>
    <w:rsid w:val="00B53C31"/>
    <w:rsid w:val="00B54001"/>
    <w:rsid w:val="00B5445A"/>
    <w:rsid w:val="00B55067"/>
    <w:rsid w:val="00B555A9"/>
    <w:rsid w:val="00B55A15"/>
    <w:rsid w:val="00B55A1E"/>
    <w:rsid w:val="00B55E0E"/>
    <w:rsid w:val="00B55E82"/>
    <w:rsid w:val="00B55ED0"/>
    <w:rsid w:val="00B56334"/>
    <w:rsid w:val="00B563AF"/>
    <w:rsid w:val="00B563E9"/>
    <w:rsid w:val="00B56902"/>
    <w:rsid w:val="00B56922"/>
    <w:rsid w:val="00B56B70"/>
    <w:rsid w:val="00B57983"/>
    <w:rsid w:val="00B57C81"/>
    <w:rsid w:val="00B6036B"/>
    <w:rsid w:val="00B604C8"/>
    <w:rsid w:val="00B60E3E"/>
    <w:rsid w:val="00B60ED0"/>
    <w:rsid w:val="00B60FA1"/>
    <w:rsid w:val="00B61427"/>
    <w:rsid w:val="00B61DD4"/>
    <w:rsid w:val="00B61DE7"/>
    <w:rsid w:val="00B61FBA"/>
    <w:rsid w:val="00B62189"/>
    <w:rsid w:val="00B627E7"/>
    <w:rsid w:val="00B6283F"/>
    <w:rsid w:val="00B62F33"/>
    <w:rsid w:val="00B630AC"/>
    <w:rsid w:val="00B63937"/>
    <w:rsid w:val="00B64B94"/>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4C3"/>
    <w:rsid w:val="00B83A38"/>
    <w:rsid w:val="00B83D46"/>
    <w:rsid w:val="00B84147"/>
    <w:rsid w:val="00B8431A"/>
    <w:rsid w:val="00B850CE"/>
    <w:rsid w:val="00B85CE0"/>
    <w:rsid w:val="00B862C0"/>
    <w:rsid w:val="00B863D9"/>
    <w:rsid w:val="00B864BA"/>
    <w:rsid w:val="00B86606"/>
    <w:rsid w:val="00B86C03"/>
    <w:rsid w:val="00B86E98"/>
    <w:rsid w:val="00B86F42"/>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B4B"/>
    <w:rsid w:val="00BA7CCE"/>
    <w:rsid w:val="00BB0517"/>
    <w:rsid w:val="00BB065D"/>
    <w:rsid w:val="00BB14CF"/>
    <w:rsid w:val="00BB17C8"/>
    <w:rsid w:val="00BB1CF9"/>
    <w:rsid w:val="00BB2101"/>
    <w:rsid w:val="00BB2133"/>
    <w:rsid w:val="00BB26DC"/>
    <w:rsid w:val="00BB27D3"/>
    <w:rsid w:val="00BB2A05"/>
    <w:rsid w:val="00BB2C04"/>
    <w:rsid w:val="00BB30F3"/>
    <w:rsid w:val="00BB315F"/>
    <w:rsid w:val="00BB3186"/>
    <w:rsid w:val="00BB325E"/>
    <w:rsid w:val="00BB3D90"/>
    <w:rsid w:val="00BB3E05"/>
    <w:rsid w:val="00BB48F1"/>
    <w:rsid w:val="00BB5036"/>
    <w:rsid w:val="00BB5BAF"/>
    <w:rsid w:val="00BB5F46"/>
    <w:rsid w:val="00BB6218"/>
    <w:rsid w:val="00BB6888"/>
    <w:rsid w:val="00BB6EFD"/>
    <w:rsid w:val="00BB75F8"/>
    <w:rsid w:val="00BB7689"/>
    <w:rsid w:val="00BB7709"/>
    <w:rsid w:val="00BB779D"/>
    <w:rsid w:val="00BB7899"/>
    <w:rsid w:val="00BB789F"/>
    <w:rsid w:val="00BB7A4D"/>
    <w:rsid w:val="00BB7FDA"/>
    <w:rsid w:val="00BC0217"/>
    <w:rsid w:val="00BC068E"/>
    <w:rsid w:val="00BC107E"/>
    <w:rsid w:val="00BC1C7C"/>
    <w:rsid w:val="00BC205F"/>
    <w:rsid w:val="00BC26CC"/>
    <w:rsid w:val="00BC2C45"/>
    <w:rsid w:val="00BC31E2"/>
    <w:rsid w:val="00BC3D44"/>
    <w:rsid w:val="00BC4213"/>
    <w:rsid w:val="00BC4C7F"/>
    <w:rsid w:val="00BC4FF8"/>
    <w:rsid w:val="00BC5C80"/>
    <w:rsid w:val="00BC5D5B"/>
    <w:rsid w:val="00BC5F08"/>
    <w:rsid w:val="00BC6161"/>
    <w:rsid w:val="00BC65A4"/>
    <w:rsid w:val="00BC65B2"/>
    <w:rsid w:val="00BC6DAD"/>
    <w:rsid w:val="00BC717C"/>
    <w:rsid w:val="00BC75B3"/>
    <w:rsid w:val="00BC7B04"/>
    <w:rsid w:val="00BC7E15"/>
    <w:rsid w:val="00BC7E36"/>
    <w:rsid w:val="00BD020B"/>
    <w:rsid w:val="00BD024E"/>
    <w:rsid w:val="00BD02E8"/>
    <w:rsid w:val="00BD09B1"/>
    <w:rsid w:val="00BD0FE8"/>
    <w:rsid w:val="00BD16D6"/>
    <w:rsid w:val="00BD1B72"/>
    <w:rsid w:val="00BD31B3"/>
    <w:rsid w:val="00BD35AA"/>
    <w:rsid w:val="00BD38B1"/>
    <w:rsid w:val="00BD3BB5"/>
    <w:rsid w:val="00BD41C0"/>
    <w:rsid w:val="00BD485C"/>
    <w:rsid w:val="00BD4AA0"/>
    <w:rsid w:val="00BD521B"/>
    <w:rsid w:val="00BD561D"/>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DBB"/>
    <w:rsid w:val="00BF7F37"/>
    <w:rsid w:val="00C000A0"/>
    <w:rsid w:val="00C00585"/>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0EEB"/>
    <w:rsid w:val="00C113A8"/>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1566"/>
    <w:rsid w:val="00C21AF6"/>
    <w:rsid w:val="00C21C80"/>
    <w:rsid w:val="00C226C2"/>
    <w:rsid w:val="00C2297F"/>
    <w:rsid w:val="00C22CC3"/>
    <w:rsid w:val="00C2305A"/>
    <w:rsid w:val="00C23CC9"/>
    <w:rsid w:val="00C24114"/>
    <w:rsid w:val="00C2429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237"/>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3C1"/>
    <w:rsid w:val="00C50B1E"/>
    <w:rsid w:val="00C51C72"/>
    <w:rsid w:val="00C51CB1"/>
    <w:rsid w:val="00C51F30"/>
    <w:rsid w:val="00C521B4"/>
    <w:rsid w:val="00C52914"/>
    <w:rsid w:val="00C539F2"/>
    <w:rsid w:val="00C544CC"/>
    <w:rsid w:val="00C546E7"/>
    <w:rsid w:val="00C55114"/>
    <w:rsid w:val="00C557D2"/>
    <w:rsid w:val="00C55D19"/>
    <w:rsid w:val="00C55DC9"/>
    <w:rsid w:val="00C56262"/>
    <w:rsid w:val="00C565FB"/>
    <w:rsid w:val="00C57198"/>
    <w:rsid w:val="00C578CE"/>
    <w:rsid w:val="00C60CBB"/>
    <w:rsid w:val="00C61597"/>
    <w:rsid w:val="00C617BF"/>
    <w:rsid w:val="00C62692"/>
    <w:rsid w:val="00C62791"/>
    <w:rsid w:val="00C62F3F"/>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7DC"/>
    <w:rsid w:val="00C70A37"/>
    <w:rsid w:val="00C70F72"/>
    <w:rsid w:val="00C713C7"/>
    <w:rsid w:val="00C715CB"/>
    <w:rsid w:val="00C71914"/>
    <w:rsid w:val="00C71A43"/>
    <w:rsid w:val="00C7263B"/>
    <w:rsid w:val="00C727EF"/>
    <w:rsid w:val="00C72D01"/>
    <w:rsid w:val="00C72F2F"/>
    <w:rsid w:val="00C73290"/>
    <w:rsid w:val="00C733DA"/>
    <w:rsid w:val="00C736A7"/>
    <w:rsid w:val="00C73D50"/>
    <w:rsid w:val="00C73E8C"/>
    <w:rsid w:val="00C74181"/>
    <w:rsid w:val="00C7460F"/>
    <w:rsid w:val="00C74636"/>
    <w:rsid w:val="00C74AF1"/>
    <w:rsid w:val="00C752C9"/>
    <w:rsid w:val="00C759F1"/>
    <w:rsid w:val="00C75F55"/>
    <w:rsid w:val="00C7613A"/>
    <w:rsid w:val="00C761B9"/>
    <w:rsid w:val="00C76377"/>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0A8"/>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4CB"/>
    <w:rsid w:val="00C9386E"/>
    <w:rsid w:val="00C93941"/>
    <w:rsid w:val="00C94857"/>
    <w:rsid w:val="00C959C2"/>
    <w:rsid w:val="00C95BC5"/>
    <w:rsid w:val="00C95DEA"/>
    <w:rsid w:val="00C95FCA"/>
    <w:rsid w:val="00C963CA"/>
    <w:rsid w:val="00C96B8D"/>
    <w:rsid w:val="00C974ED"/>
    <w:rsid w:val="00C976AC"/>
    <w:rsid w:val="00C97A8D"/>
    <w:rsid w:val="00C97E8D"/>
    <w:rsid w:val="00C97F02"/>
    <w:rsid w:val="00CA0083"/>
    <w:rsid w:val="00CA04C0"/>
    <w:rsid w:val="00CA0837"/>
    <w:rsid w:val="00CA0BD9"/>
    <w:rsid w:val="00CA11E9"/>
    <w:rsid w:val="00CA12B2"/>
    <w:rsid w:val="00CA14DD"/>
    <w:rsid w:val="00CA1551"/>
    <w:rsid w:val="00CA17C5"/>
    <w:rsid w:val="00CA2FBE"/>
    <w:rsid w:val="00CA4064"/>
    <w:rsid w:val="00CA41D2"/>
    <w:rsid w:val="00CA45A0"/>
    <w:rsid w:val="00CA4753"/>
    <w:rsid w:val="00CA4D91"/>
    <w:rsid w:val="00CA4EB1"/>
    <w:rsid w:val="00CA4F20"/>
    <w:rsid w:val="00CA5080"/>
    <w:rsid w:val="00CA5908"/>
    <w:rsid w:val="00CA5A5A"/>
    <w:rsid w:val="00CA5D21"/>
    <w:rsid w:val="00CA5F84"/>
    <w:rsid w:val="00CA6254"/>
    <w:rsid w:val="00CA6512"/>
    <w:rsid w:val="00CA722D"/>
    <w:rsid w:val="00CA7A61"/>
    <w:rsid w:val="00CA7BF2"/>
    <w:rsid w:val="00CB0A21"/>
    <w:rsid w:val="00CB0C16"/>
    <w:rsid w:val="00CB1327"/>
    <w:rsid w:val="00CB144F"/>
    <w:rsid w:val="00CB149F"/>
    <w:rsid w:val="00CB1EAE"/>
    <w:rsid w:val="00CB1F5B"/>
    <w:rsid w:val="00CB2107"/>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6283"/>
    <w:rsid w:val="00CC7253"/>
    <w:rsid w:val="00CC7751"/>
    <w:rsid w:val="00CC79A2"/>
    <w:rsid w:val="00CC7D66"/>
    <w:rsid w:val="00CD0153"/>
    <w:rsid w:val="00CD02C6"/>
    <w:rsid w:val="00CD092E"/>
    <w:rsid w:val="00CD0A75"/>
    <w:rsid w:val="00CD11DE"/>
    <w:rsid w:val="00CD143E"/>
    <w:rsid w:val="00CD1963"/>
    <w:rsid w:val="00CD19CA"/>
    <w:rsid w:val="00CD1AC2"/>
    <w:rsid w:val="00CD1F12"/>
    <w:rsid w:val="00CD21A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538"/>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526"/>
    <w:rsid w:val="00CE6803"/>
    <w:rsid w:val="00CE693D"/>
    <w:rsid w:val="00CE6D99"/>
    <w:rsid w:val="00CE7351"/>
    <w:rsid w:val="00CF0777"/>
    <w:rsid w:val="00CF0FF4"/>
    <w:rsid w:val="00CF1622"/>
    <w:rsid w:val="00CF1E5A"/>
    <w:rsid w:val="00CF1EB5"/>
    <w:rsid w:val="00CF26D0"/>
    <w:rsid w:val="00CF2905"/>
    <w:rsid w:val="00CF34DB"/>
    <w:rsid w:val="00CF368F"/>
    <w:rsid w:val="00CF3CAD"/>
    <w:rsid w:val="00CF3DED"/>
    <w:rsid w:val="00CF3E28"/>
    <w:rsid w:val="00CF425F"/>
    <w:rsid w:val="00CF4635"/>
    <w:rsid w:val="00CF46ED"/>
    <w:rsid w:val="00CF4FEF"/>
    <w:rsid w:val="00CF5173"/>
    <w:rsid w:val="00CF51E8"/>
    <w:rsid w:val="00CF5203"/>
    <w:rsid w:val="00CF5A11"/>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25F"/>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0D"/>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ABC"/>
    <w:rsid w:val="00D22E55"/>
    <w:rsid w:val="00D232AE"/>
    <w:rsid w:val="00D233E0"/>
    <w:rsid w:val="00D2347F"/>
    <w:rsid w:val="00D23626"/>
    <w:rsid w:val="00D242C0"/>
    <w:rsid w:val="00D242E5"/>
    <w:rsid w:val="00D25371"/>
    <w:rsid w:val="00D26918"/>
    <w:rsid w:val="00D26AEF"/>
    <w:rsid w:val="00D2700D"/>
    <w:rsid w:val="00D27734"/>
    <w:rsid w:val="00D277A2"/>
    <w:rsid w:val="00D27BED"/>
    <w:rsid w:val="00D301F8"/>
    <w:rsid w:val="00D30A43"/>
    <w:rsid w:val="00D3182A"/>
    <w:rsid w:val="00D31D84"/>
    <w:rsid w:val="00D32136"/>
    <w:rsid w:val="00D3222B"/>
    <w:rsid w:val="00D3227D"/>
    <w:rsid w:val="00D323CB"/>
    <w:rsid w:val="00D32BF6"/>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C6"/>
    <w:rsid w:val="00D410F8"/>
    <w:rsid w:val="00D417AE"/>
    <w:rsid w:val="00D419F5"/>
    <w:rsid w:val="00D41B6F"/>
    <w:rsid w:val="00D41D33"/>
    <w:rsid w:val="00D43167"/>
    <w:rsid w:val="00D446AE"/>
    <w:rsid w:val="00D457ED"/>
    <w:rsid w:val="00D468B0"/>
    <w:rsid w:val="00D46A9C"/>
    <w:rsid w:val="00D46AEF"/>
    <w:rsid w:val="00D46D32"/>
    <w:rsid w:val="00D46EB7"/>
    <w:rsid w:val="00D46FA2"/>
    <w:rsid w:val="00D476EB"/>
    <w:rsid w:val="00D478AA"/>
    <w:rsid w:val="00D47F55"/>
    <w:rsid w:val="00D5010C"/>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4642"/>
    <w:rsid w:val="00D855A5"/>
    <w:rsid w:val="00D855E1"/>
    <w:rsid w:val="00D857E6"/>
    <w:rsid w:val="00D85885"/>
    <w:rsid w:val="00D8653A"/>
    <w:rsid w:val="00D871CE"/>
    <w:rsid w:val="00D87542"/>
    <w:rsid w:val="00D876D2"/>
    <w:rsid w:val="00D879B1"/>
    <w:rsid w:val="00D87D77"/>
    <w:rsid w:val="00D90174"/>
    <w:rsid w:val="00D9054D"/>
    <w:rsid w:val="00D916CC"/>
    <w:rsid w:val="00D917C2"/>
    <w:rsid w:val="00D91AF5"/>
    <w:rsid w:val="00D920CA"/>
    <w:rsid w:val="00D927D8"/>
    <w:rsid w:val="00D92BFA"/>
    <w:rsid w:val="00D92D38"/>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5B2"/>
    <w:rsid w:val="00D9696E"/>
    <w:rsid w:val="00D96BFE"/>
    <w:rsid w:val="00D96F7E"/>
    <w:rsid w:val="00D972F6"/>
    <w:rsid w:val="00D9778A"/>
    <w:rsid w:val="00D97B59"/>
    <w:rsid w:val="00D97C16"/>
    <w:rsid w:val="00D97D49"/>
    <w:rsid w:val="00D97DD7"/>
    <w:rsid w:val="00DA022A"/>
    <w:rsid w:val="00DA025F"/>
    <w:rsid w:val="00DA04E9"/>
    <w:rsid w:val="00DA0755"/>
    <w:rsid w:val="00DA07A7"/>
    <w:rsid w:val="00DA08A5"/>
    <w:rsid w:val="00DA0CCD"/>
    <w:rsid w:val="00DA1D77"/>
    <w:rsid w:val="00DA23AB"/>
    <w:rsid w:val="00DA2B4B"/>
    <w:rsid w:val="00DA3F04"/>
    <w:rsid w:val="00DA4512"/>
    <w:rsid w:val="00DA48C9"/>
    <w:rsid w:val="00DA4A61"/>
    <w:rsid w:val="00DA4D03"/>
    <w:rsid w:val="00DA4EAF"/>
    <w:rsid w:val="00DA5A16"/>
    <w:rsid w:val="00DA6949"/>
    <w:rsid w:val="00DA7D0B"/>
    <w:rsid w:val="00DB07CA"/>
    <w:rsid w:val="00DB0823"/>
    <w:rsid w:val="00DB0A27"/>
    <w:rsid w:val="00DB0E2A"/>
    <w:rsid w:val="00DB111E"/>
    <w:rsid w:val="00DB1815"/>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0C6"/>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BEE"/>
    <w:rsid w:val="00DC5ED6"/>
    <w:rsid w:val="00DC5F7A"/>
    <w:rsid w:val="00DC6513"/>
    <w:rsid w:val="00DC693E"/>
    <w:rsid w:val="00DC723A"/>
    <w:rsid w:val="00DC7C31"/>
    <w:rsid w:val="00DD0C3F"/>
    <w:rsid w:val="00DD1AA9"/>
    <w:rsid w:val="00DD1CDA"/>
    <w:rsid w:val="00DD1F41"/>
    <w:rsid w:val="00DD232E"/>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9BD"/>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0EB"/>
    <w:rsid w:val="00DF4216"/>
    <w:rsid w:val="00DF46B7"/>
    <w:rsid w:val="00DF46C8"/>
    <w:rsid w:val="00DF476B"/>
    <w:rsid w:val="00DF4978"/>
    <w:rsid w:val="00DF55D6"/>
    <w:rsid w:val="00DF58F4"/>
    <w:rsid w:val="00DF5AAF"/>
    <w:rsid w:val="00DF6074"/>
    <w:rsid w:val="00DF67F6"/>
    <w:rsid w:val="00DF6BF4"/>
    <w:rsid w:val="00DF6FD0"/>
    <w:rsid w:val="00DF73B6"/>
    <w:rsid w:val="00DF781C"/>
    <w:rsid w:val="00E0004E"/>
    <w:rsid w:val="00E00270"/>
    <w:rsid w:val="00E008D8"/>
    <w:rsid w:val="00E00C6B"/>
    <w:rsid w:val="00E00D29"/>
    <w:rsid w:val="00E02641"/>
    <w:rsid w:val="00E02A3C"/>
    <w:rsid w:val="00E02F70"/>
    <w:rsid w:val="00E032F6"/>
    <w:rsid w:val="00E03431"/>
    <w:rsid w:val="00E039F5"/>
    <w:rsid w:val="00E03F4C"/>
    <w:rsid w:val="00E03F4E"/>
    <w:rsid w:val="00E0439C"/>
    <w:rsid w:val="00E049A5"/>
    <w:rsid w:val="00E051FB"/>
    <w:rsid w:val="00E056B0"/>
    <w:rsid w:val="00E05984"/>
    <w:rsid w:val="00E05C27"/>
    <w:rsid w:val="00E05C4F"/>
    <w:rsid w:val="00E063DE"/>
    <w:rsid w:val="00E0671B"/>
    <w:rsid w:val="00E06E82"/>
    <w:rsid w:val="00E07453"/>
    <w:rsid w:val="00E07737"/>
    <w:rsid w:val="00E07DB1"/>
    <w:rsid w:val="00E07E7B"/>
    <w:rsid w:val="00E07F6A"/>
    <w:rsid w:val="00E10117"/>
    <w:rsid w:val="00E1064A"/>
    <w:rsid w:val="00E1077C"/>
    <w:rsid w:val="00E10961"/>
    <w:rsid w:val="00E10EA5"/>
    <w:rsid w:val="00E111AD"/>
    <w:rsid w:val="00E118AB"/>
    <w:rsid w:val="00E11C81"/>
    <w:rsid w:val="00E11E0F"/>
    <w:rsid w:val="00E11E5E"/>
    <w:rsid w:val="00E12077"/>
    <w:rsid w:val="00E121E9"/>
    <w:rsid w:val="00E129D1"/>
    <w:rsid w:val="00E12F2F"/>
    <w:rsid w:val="00E12FBA"/>
    <w:rsid w:val="00E1319F"/>
    <w:rsid w:val="00E13A48"/>
    <w:rsid w:val="00E13FB6"/>
    <w:rsid w:val="00E1415C"/>
    <w:rsid w:val="00E14ACF"/>
    <w:rsid w:val="00E14BAD"/>
    <w:rsid w:val="00E14D14"/>
    <w:rsid w:val="00E159EC"/>
    <w:rsid w:val="00E15AC4"/>
    <w:rsid w:val="00E15C68"/>
    <w:rsid w:val="00E16A5E"/>
    <w:rsid w:val="00E16E4C"/>
    <w:rsid w:val="00E173EF"/>
    <w:rsid w:val="00E177CD"/>
    <w:rsid w:val="00E20A78"/>
    <w:rsid w:val="00E20B50"/>
    <w:rsid w:val="00E20B5E"/>
    <w:rsid w:val="00E20F69"/>
    <w:rsid w:val="00E20FC3"/>
    <w:rsid w:val="00E21906"/>
    <w:rsid w:val="00E221AF"/>
    <w:rsid w:val="00E224BF"/>
    <w:rsid w:val="00E22732"/>
    <w:rsid w:val="00E22B39"/>
    <w:rsid w:val="00E22F22"/>
    <w:rsid w:val="00E2398E"/>
    <w:rsid w:val="00E23A5C"/>
    <w:rsid w:val="00E2406F"/>
    <w:rsid w:val="00E240BC"/>
    <w:rsid w:val="00E24570"/>
    <w:rsid w:val="00E2459F"/>
    <w:rsid w:val="00E24B98"/>
    <w:rsid w:val="00E2527D"/>
    <w:rsid w:val="00E25D12"/>
    <w:rsid w:val="00E262A9"/>
    <w:rsid w:val="00E2688C"/>
    <w:rsid w:val="00E2693C"/>
    <w:rsid w:val="00E26C16"/>
    <w:rsid w:val="00E26F87"/>
    <w:rsid w:val="00E2710F"/>
    <w:rsid w:val="00E274BB"/>
    <w:rsid w:val="00E3047D"/>
    <w:rsid w:val="00E3066D"/>
    <w:rsid w:val="00E30AF9"/>
    <w:rsid w:val="00E3182B"/>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077"/>
    <w:rsid w:val="00E3745E"/>
    <w:rsid w:val="00E3763A"/>
    <w:rsid w:val="00E37A35"/>
    <w:rsid w:val="00E37B12"/>
    <w:rsid w:val="00E37BEF"/>
    <w:rsid w:val="00E37D65"/>
    <w:rsid w:val="00E403C7"/>
    <w:rsid w:val="00E4049C"/>
    <w:rsid w:val="00E40A27"/>
    <w:rsid w:val="00E41042"/>
    <w:rsid w:val="00E41074"/>
    <w:rsid w:val="00E4127C"/>
    <w:rsid w:val="00E41B14"/>
    <w:rsid w:val="00E41DD4"/>
    <w:rsid w:val="00E4219A"/>
    <w:rsid w:val="00E42241"/>
    <w:rsid w:val="00E422B6"/>
    <w:rsid w:val="00E424A0"/>
    <w:rsid w:val="00E425C4"/>
    <w:rsid w:val="00E42698"/>
    <w:rsid w:val="00E426C9"/>
    <w:rsid w:val="00E4274A"/>
    <w:rsid w:val="00E433FB"/>
    <w:rsid w:val="00E4381F"/>
    <w:rsid w:val="00E43B12"/>
    <w:rsid w:val="00E43E66"/>
    <w:rsid w:val="00E443AB"/>
    <w:rsid w:val="00E4440A"/>
    <w:rsid w:val="00E444BC"/>
    <w:rsid w:val="00E450AD"/>
    <w:rsid w:val="00E4510E"/>
    <w:rsid w:val="00E45294"/>
    <w:rsid w:val="00E46906"/>
    <w:rsid w:val="00E4697F"/>
    <w:rsid w:val="00E46A8F"/>
    <w:rsid w:val="00E46B21"/>
    <w:rsid w:val="00E46EA3"/>
    <w:rsid w:val="00E47D3D"/>
    <w:rsid w:val="00E47E7C"/>
    <w:rsid w:val="00E50223"/>
    <w:rsid w:val="00E50354"/>
    <w:rsid w:val="00E5059B"/>
    <w:rsid w:val="00E50F61"/>
    <w:rsid w:val="00E51502"/>
    <w:rsid w:val="00E5156A"/>
    <w:rsid w:val="00E51789"/>
    <w:rsid w:val="00E51C1B"/>
    <w:rsid w:val="00E52143"/>
    <w:rsid w:val="00E52D13"/>
    <w:rsid w:val="00E52FD1"/>
    <w:rsid w:val="00E5332C"/>
    <w:rsid w:val="00E53353"/>
    <w:rsid w:val="00E535A6"/>
    <w:rsid w:val="00E53C45"/>
    <w:rsid w:val="00E53CE0"/>
    <w:rsid w:val="00E53DA7"/>
    <w:rsid w:val="00E540FC"/>
    <w:rsid w:val="00E54245"/>
    <w:rsid w:val="00E54C11"/>
    <w:rsid w:val="00E55DB0"/>
    <w:rsid w:val="00E56721"/>
    <w:rsid w:val="00E5703B"/>
    <w:rsid w:val="00E57254"/>
    <w:rsid w:val="00E5752B"/>
    <w:rsid w:val="00E577EC"/>
    <w:rsid w:val="00E57C4D"/>
    <w:rsid w:val="00E602BD"/>
    <w:rsid w:val="00E61A8D"/>
    <w:rsid w:val="00E62337"/>
    <w:rsid w:val="00E62809"/>
    <w:rsid w:val="00E62FAF"/>
    <w:rsid w:val="00E63321"/>
    <w:rsid w:val="00E634AD"/>
    <w:rsid w:val="00E635BD"/>
    <w:rsid w:val="00E63675"/>
    <w:rsid w:val="00E638A7"/>
    <w:rsid w:val="00E63F2C"/>
    <w:rsid w:val="00E63FAC"/>
    <w:rsid w:val="00E64141"/>
    <w:rsid w:val="00E645AB"/>
    <w:rsid w:val="00E645E9"/>
    <w:rsid w:val="00E646D8"/>
    <w:rsid w:val="00E64A4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D84"/>
    <w:rsid w:val="00E72E0E"/>
    <w:rsid w:val="00E72FE7"/>
    <w:rsid w:val="00E73D0E"/>
    <w:rsid w:val="00E74A39"/>
    <w:rsid w:val="00E75609"/>
    <w:rsid w:val="00E75790"/>
    <w:rsid w:val="00E75BCD"/>
    <w:rsid w:val="00E76031"/>
    <w:rsid w:val="00E76714"/>
    <w:rsid w:val="00E80437"/>
    <w:rsid w:val="00E81031"/>
    <w:rsid w:val="00E81525"/>
    <w:rsid w:val="00E817FE"/>
    <w:rsid w:val="00E8184C"/>
    <w:rsid w:val="00E81B55"/>
    <w:rsid w:val="00E823A0"/>
    <w:rsid w:val="00E824EF"/>
    <w:rsid w:val="00E82AF9"/>
    <w:rsid w:val="00E82CEF"/>
    <w:rsid w:val="00E8350B"/>
    <w:rsid w:val="00E83A79"/>
    <w:rsid w:val="00E83B1E"/>
    <w:rsid w:val="00E83D05"/>
    <w:rsid w:val="00E83DC4"/>
    <w:rsid w:val="00E83DCE"/>
    <w:rsid w:val="00E842A8"/>
    <w:rsid w:val="00E84360"/>
    <w:rsid w:val="00E84746"/>
    <w:rsid w:val="00E847B3"/>
    <w:rsid w:val="00E84E89"/>
    <w:rsid w:val="00E84EFD"/>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070"/>
    <w:rsid w:val="00E942AE"/>
    <w:rsid w:val="00E949C6"/>
    <w:rsid w:val="00E94CDE"/>
    <w:rsid w:val="00E96274"/>
    <w:rsid w:val="00E9641D"/>
    <w:rsid w:val="00E96B3D"/>
    <w:rsid w:val="00E96D36"/>
    <w:rsid w:val="00E9702A"/>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CDB"/>
    <w:rsid w:val="00EB5DB5"/>
    <w:rsid w:val="00EB600D"/>
    <w:rsid w:val="00EB672B"/>
    <w:rsid w:val="00EB6A2C"/>
    <w:rsid w:val="00EB6B83"/>
    <w:rsid w:val="00EB6DA9"/>
    <w:rsid w:val="00EB6E4C"/>
    <w:rsid w:val="00EB7804"/>
    <w:rsid w:val="00EC0343"/>
    <w:rsid w:val="00EC08AD"/>
    <w:rsid w:val="00EC0F29"/>
    <w:rsid w:val="00EC1828"/>
    <w:rsid w:val="00EC1B2E"/>
    <w:rsid w:val="00EC22DD"/>
    <w:rsid w:val="00EC2514"/>
    <w:rsid w:val="00EC287C"/>
    <w:rsid w:val="00EC2AB4"/>
    <w:rsid w:val="00EC2B87"/>
    <w:rsid w:val="00EC3089"/>
    <w:rsid w:val="00EC4214"/>
    <w:rsid w:val="00EC4338"/>
    <w:rsid w:val="00EC45B6"/>
    <w:rsid w:val="00EC4966"/>
    <w:rsid w:val="00EC4ABA"/>
    <w:rsid w:val="00EC4FF0"/>
    <w:rsid w:val="00EC5263"/>
    <w:rsid w:val="00EC5708"/>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038"/>
    <w:rsid w:val="00EE0119"/>
    <w:rsid w:val="00EE0BC0"/>
    <w:rsid w:val="00EE0E63"/>
    <w:rsid w:val="00EE11C7"/>
    <w:rsid w:val="00EE123E"/>
    <w:rsid w:val="00EE1558"/>
    <w:rsid w:val="00EE171D"/>
    <w:rsid w:val="00EE210F"/>
    <w:rsid w:val="00EE22BE"/>
    <w:rsid w:val="00EE298D"/>
    <w:rsid w:val="00EE2B5D"/>
    <w:rsid w:val="00EE2BB3"/>
    <w:rsid w:val="00EE2EAC"/>
    <w:rsid w:val="00EE31A7"/>
    <w:rsid w:val="00EE3291"/>
    <w:rsid w:val="00EE343A"/>
    <w:rsid w:val="00EE37A3"/>
    <w:rsid w:val="00EE3E91"/>
    <w:rsid w:val="00EE49A6"/>
    <w:rsid w:val="00EE4E61"/>
    <w:rsid w:val="00EE4F91"/>
    <w:rsid w:val="00EE6737"/>
    <w:rsid w:val="00EE6D5C"/>
    <w:rsid w:val="00EE7093"/>
    <w:rsid w:val="00EE70C3"/>
    <w:rsid w:val="00EE7375"/>
    <w:rsid w:val="00EE7465"/>
    <w:rsid w:val="00EE75B5"/>
    <w:rsid w:val="00EE7644"/>
    <w:rsid w:val="00EE7E8F"/>
    <w:rsid w:val="00EF03CC"/>
    <w:rsid w:val="00EF098C"/>
    <w:rsid w:val="00EF2215"/>
    <w:rsid w:val="00EF302F"/>
    <w:rsid w:val="00EF3061"/>
    <w:rsid w:val="00EF3B49"/>
    <w:rsid w:val="00EF440B"/>
    <w:rsid w:val="00EF45CF"/>
    <w:rsid w:val="00EF4B52"/>
    <w:rsid w:val="00EF4C86"/>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D31"/>
    <w:rsid w:val="00F03FC4"/>
    <w:rsid w:val="00F03FF1"/>
    <w:rsid w:val="00F0477C"/>
    <w:rsid w:val="00F04BF2"/>
    <w:rsid w:val="00F04FA5"/>
    <w:rsid w:val="00F05790"/>
    <w:rsid w:val="00F05CF9"/>
    <w:rsid w:val="00F068C9"/>
    <w:rsid w:val="00F06960"/>
    <w:rsid w:val="00F06967"/>
    <w:rsid w:val="00F0721F"/>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80"/>
    <w:rsid w:val="00F14ED0"/>
    <w:rsid w:val="00F14FBA"/>
    <w:rsid w:val="00F15ED6"/>
    <w:rsid w:val="00F15F5B"/>
    <w:rsid w:val="00F16210"/>
    <w:rsid w:val="00F164D5"/>
    <w:rsid w:val="00F16A67"/>
    <w:rsid w:val="00F1792F"/>
    <w:rsid w:val="00F17A56"/>
    <w:rsid w:val="00F20151"/>
    <w:rsid w:val="00F20474"/>
    <w:rsid w:val="00F209A2"/>
    <w:rsid w:val="00F20E9E"/>
    <w:rsid w:val="00F21AB6"/>
    <w:rsid w:val="00F22340"/>
    <w:rsid w:val="00F223D4"/>
    <w:rsid w:val="00F223D5"/>
    <w:rsid w:val="00F2283A"/>
    <w:rsid w:val="00F22A84"/>
    <w:rsid w:val="00F22A8F"/>
    <w:rsid w:val="00F22CA7"/>
    <w:rsid w:val="00F22CD5"/>
    <w:rsid w:val="00F22ED6"/>
    <w:rsid w:val="00F23DFC"/>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19B"/>
    <w:rsid w:val="00F3192A"/>
    <w:rsid w:val="00F31E2D"/>
    <w:rsid w:val="00F322C3"/>
    <w:rsid w:val="00F3240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37DA3"/>
    <w:rsid w:val="00F40730"/>
    <w:rsid w:val="00F40A31"/>
    <w:rsid w:val="00F40CC5"/>
    <w:rsid w:val="00F40E48"/>
    <w:rsid w:val="00F410B5"/>
    <w:rsid w:val="00F41836"/>
    <w:rsid w:val="00F41A8A"/>
    <w:rsid w:val="00F41AF4"/>
    <w:rsid w:val="00F41DE0"/>
    <w:rsid w:val="00F425B9"/>
    <w:rsid w:val="00F42FBC"/>
    <w:rsid w:val="00F4385E"/>
    <w:rsid w:val="00F43B0D"/>
    <w:rsid w:val="00F43BFB"/>
    <w:rsid w:val="00F43EA7"/>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1C1D"/>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C7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1C3C"/>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6C3"/>
    <w:rsid w:val="00F8095A"/>
    <w:rsid w:val="00F81308"/>
    <w:rsid w:val="00F8143C"/>
    <w:rsid w:val="00F81441"/>
    <w:rsid w:val="00F81476"/>
    <w:rsid w:val="00F81681"/>
    <w:rsid w:val="00F81731"/>
    <w:rsid w:val="00F81E11"/>
    <w:rsid w:val="00F81EDE"/>
    <w:rsid w:val="00F8260F"/>
    <w:rsid w:val="00F8301D"/>
    <w:rsid w:val="00F831F9"/>
    <w:rsid w:val="00F83228"/>
    <w:rsid w:val="00F834A7"/>
    <w:rsid w:val="00F846CD"/>
    <w:rsid w:val="00F847A0"/>
    <w:rsid w:val="00F85ABF"/>
    <w:rsid w:val="00F85D19"/>
    <w:rsid w:val="00F860A3"/>
    <w:rsid w:val="00F864FC"/>
    <w:rsid w:val="00F86808"/>
    <w:rsid w:val="00F87387"/>
    <w:rsid w:val="00F8741E"/>
    <w:rsid w:val="00F87492"/>
    <w:rsid w:val="00F8760E"/>
    <w:rsid w:val="00F87620"/>
    <w:rsid w:val="00F8773E"/>
    <w:rsid w:val="00F9082B"/>
    <w:rsid w:val="00F90A1D"/>
    <w:rsid w:val="00F9142D"/>
    <w:rsid w:val="00F915A4"/>
    <w:rsid w:val="00F91EF0"/>
    <w:rsid w:val="00F92104"/>
    <w:rsid w:val="00F9227B"/>
    <w:rsid w:val="00F92733"/>
    <w:rsid w:val="00F92E2B"/>
    <w:rsid w:val="00F92FDD"/>
    <w:rsid w:val="00F93676"/>
    <w:rsid w:val="00F93A3D"/>
    <w:rsid w:val="00F93C72"/>
    <w:rsid w:val="00F93C99"/>
    <w:rsid w:val="00F93DCD"/>
    <w:rsid w:val="00F94009"/>
    <w:rsid w:val="00F9412A"/>
    <w:rsid w:val="00F945FC"/>
    <w:rsid w:val="00F9466A"/>
    <w:rsid w:val="00F94C16"/>
    <w:rsid w:val="00F94D3F"/>
    <w:rsid w:val="00F94EB4"/>
    <w:rsid w:val="00F955C0"/>
    <w:rsid w:val="00F9591A"/>
    <w:rsid w:val="00F9689E"/>
    <w:rsid w:val="00F96F26"/>
    <w:rsid w:val="00F970A3"/>
    <w:rsid w:val="00F975F4"/>
    <w:rsid w:val="00F97A71"/>
    <w:rsid w:val="00F97F91"/>
    <w:rsid w:val="00FA03A6"/>
    <w:rsid w:val="00FA03D6"/>
    <w:rsid w:val="00FA066D"/>
    <w:rsid w:val="00FA0956"/>
    <w:rsid w:val="00FA0FB3"/>
    <w:rsid w:val="00FA1118"/>
    <w:rsid w:val="00FA1126"/>
    <w:rsid w:val="00FA1816"/>
    <w:rsid w:val="00FA1B03"/>
    <w:rsid w:val="00FA23D2"/>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70B"/>
    <w:rsid w:val="00FA7846"/>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7C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595"/>
    <w:rsid w:val="00FD58EF"/>
    <w:rsid w:val="00FD5BC9"/>
    <w:rsid w:val="00FD620D"/>
    <w:rsid w:val="00FD64B8"/>
    <w:rsid w:val="00FD667B"/>
    <w:rsid w:val="00FD6DF4"/>
    <w:rsid w:val="00FD7165"/>
    <w:rsid w:val="00FE00CF"/>
    <w:rsid w:val="00FE013B"/>
    <w:rsid w:val="00FE0207"/>
    <w:rsid w:val="00FE0C90"/>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84E"/>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6D7"/>
    <w:rsid w:val="00FF3803"/>
    <w:rsid w:val="00FF4871"/>
    <w:rsid w:val="00FF4A4D"/>
    <w:rsid w:val="00FF556E"/>
    <w:rsid w:val="00FF5630"/>
    <w:rsid w:val="00FF5813"/>
    <w:rsid w:val="00FF5E54"/>
    <w:rsid w:val="00FF5E85"/>
    <w:rsid w:val="00FF66D4"/>
    <w:rsid w:val="00FF680F"/>
    <w:rsid w:val="00FF69CB"/>
    <w:rsid w:val="00FF6AD9"/>
    <w:rsid w:val="00FF6AE2"/>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14:defaultImageDpi w14:val="32767"/>
  <w14:docId w14:val="4D1A3F2C"/>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aliases w:val="כותרת תחתונה תו תו תו Char,כותרת תחתונה תו תו תו תו תו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Char,FOOTNOTES,Footnote Text - Sharp,Footnote Text - Sharp Char,Footnote Text - Sharp Char Char,Footnote Text Char Char Char Char Char,Footnote reference,Sharp - Footnote Text,Sharp - Footnote Text1 Char,fn,footnote text,single space"/>
    <w:basedOn w:val="Normal"/>
    <w:link w:val="FootnoteTextChar"/>
    <w:qFormat/>
    <w:rsid w:val="00574579"/>
    <w:pPr>
      <w:spacing w:line="240" w:lineRule="auto"/>
      <w:ind w:left="720" w:hanging="720"/>
    </w:pPr>
    <w:rPr>
      <w:szCs w:val="20"/>
    </w:rPr>
  </w:style>
  <w:style w:type="character" w:customStyle="1" w:styleId="FootnoteTextChar">
    <w:name w:val="Footnote Text Char"/>
    <w:aliases w:val=" Char Char,FOOTNOTES Char,Footnote Text - Sharp Char Char Char,Footnote Text - Sharp Char Char1,Footnote Text - Sharp Char1,Footnote Text Char Char Char Char Char Char,Footnote reference Char,Sharp - Footnote Text Char,fn Char"/>
    <w:basedOn w:val="DefaultParagraphFont"/>
    <w:link w:val="FootnoteText"/>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Bullet List,Dell,FooterText,LP1,List Paragraph1,List Paragraph_0,List Paragraph_1,List Paragraph_2,Paragraphe de liste1,lp1,numbered,style 2,פיסקת bullets"/>
    <w:basedOn w:val="Normal"/>
    <w:link w:val="ListParagraphChar"/>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5">
    <w:name w:val="75א פעולות ביקורת"/>
    <w:basedOn w:val="214"/>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0">
    <w:name w:val="73א קוביה רצה תו"/>
    <w:basedOn w:val="DefaultParagraphFont"/>
    <w:link w:val="7315"/>
    <w:rsid w:val="004B039B"/>
    <w:rPr>
      <w:rFonts w:ascii="Tahoma" w:eastAsia="Times New Roman" w:hAnsi="Tahoma" w:cs="Tahoma"/>
      <w:color w:val="0D0D0D" w:themeColor="text1" w:themeTint="F2"/>
      <w:sz w:val="18"/>
      <w:szCs w:val="18"/>
      <w:shd w:val="solid" w:color="CEEAF5" w:fill="auto"/>
      <w:lang w:eastAsia="he-IL"/>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
    <w:name w:val="תואר"/>
    <w:basedOn w:val="Normal"/>
    <w:link w:val="a0"/>
    <w:qFormat/>
    <w:rsid w:val="00417266"/>
    <w:pPr>
      <w:spacing w:line="240" w:lineRule="auto"/>
      <w:jc w:val="center"/>
    </w:pPr>
    <w:rPr>
      <w:rFonts w:eastAsia="Times New Roman" w:cs="Times New Roman"/>
      <w:b/>
      <w:bCs/>
      <w:sz w:val="32"/>
      <w:szCs w:val="32"/>
      <w:lang w:eastAsia="he-IL"/>
    </w:rPr>
  </w:style>
  <w:style w:type="character" w:customStyle="1" w:styleId="a0">
    <w:name w:val="תואר תו"/>
    <w:link w:val="a"/>
    <w:locked/>
    <w:rsid w:val="00417266"/>
    <w:rPr>
      <w:rFonts w:eastAsia="Times New Roman" w:cs="Times New Roman"/>
      <w:b/>
      <w:bCs/>
      <w:sz w:val="32"/>
      <w:szCs w:val="32"/>
      <w:lang w:eastAsia="he-IL"/>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Heading3Char"/>
    <w:link w:val="733155"/>
    <w:rsid w:val="00092EAB"/>
    <w:rPr>
      <w:rFonts w:ascii="Tahoma" w:eastAsia="Times New Roman" w:hAnsi="Tahoma" w:cs="Tahoma"/>
      <w:b/>
      <w:bCs/>
      <w:color w:val="00305F"/>
      <w:sz w:val="31"/>
      <w:szCs w:val="31"/>
      <w:u w:val="single"/>
    </w:rPr>
  </w:style>
  <w:style w:type="paragraph" w:customStyle="1" w:styleId="732">
    <w:name w:val="73א הערות שוליים"/>
    <w:basedOn w:val="FootnoteText"/>
    <w:link w:val="7325"/>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3">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Bullet List Char,Dell Char,FooterText Char,LP1 Char,List Paragraph1 Char,List Paragraph_0 Char,List Paragraph_1 Char,List Paragraph_2 Char,Paragraphe de liste1 Char,lp1 Char,numbered Char,style 2 Char,פיסקת bullets Char"/>
    <w:link w:val="ListParagraph"/>
    <w:uiPriority w:val="34"/>
    <w:rsid w:val="00DD7B55"/>
  </w:style>
  <w:style w:type="paragraph" w:customStyle="1" w:styleId="750">
    <w:name w:val="75א הזחה ראשונה מספר"/>
    <w:basedOn w:val="ListParagraph"/>
    <w:link w:val="75Char1"/>
    <w:qFormat/>
    <w:rsid w:val="003346F8"/>
    <w:pPr>
      <w:spacing w:after="180" w:line="260" w:lineRule="exact"/>
      <w:ind w:left="454" w:hanging="454"/>
      <w:contextualSpacing w:val="0"/>
    </w:pPr>
    <w:rPr>
      <w:rFonts w:ascii="Tahoma" w:hAnsi="Tahoma" w:cs="Tahoma"/>
      <w:color w:val="0D0D0D" w:themeColor="text1" w:themeTint="F2"/>
      <w:sz w:val="18"/>
      <w:szCs w:val="18"/>
    </w:rPr>
  </w:style>
  <w:style w:type="paragraph" w:customStyle="1" w:styleId="734">
    <w:name w:val="73א הזחה שנייה ריק"/>
    <w:basedOn w:val="BodyTextIndent"/>
    <w:link w:val="739"/>
    <w:qFormat/>
    <w:rsid w:val="0074714A"/>
    <w:pPr>
      <w:spacing w:after="180" w:line="260" w:lineRule="exact"/>
      <w:ind w:left="794"/>
    </w:pPr>
    <w:rPr>
      <w:color w:val="0D0D0D" w:themeColor="text1" w:themeTint="F2"/>
      <w:sz w:val="18"/>
      <w:szCs w:val="18"/>
    </w:rPr>
  </w:style>
  <w:style w:type="paragraph" w:customStyle="1" w:styleId="735">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51">
    <w:name w:val="75א מקרא+הערות לתרשים/לוח/תמונה"/>
    <w:basedOn w:val="732"/>
    <w:link w:val="75Char0"/>
    <w:qFormat/>
    <w:rsid w:val="00DE1F29"/>
    <w:pPr>
      <w:keepLines w:val="0"/>
      <w:spacing w:before="120" w:after="240" w:line="260" w:lineRule="exact"/>
      <w:ind w:left="0" w:firstLine="0"/>
    </w:pPr>
    <w:rPr>
      <w:sz w:val="16"/>
      <w:szCs w:val="16"/>
    </w:rPr>
  </w:style>
  <w:style w:type="paragraph" w:customStyle="1" w:styleId="736">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7">
    <w:name w:val="73א קוביה כחולה בתוך הזחה ראשונה"/>
    <w:basedOn w:val="736"/>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8">
    <w:name w:val="73א הזחה שנייה ללא מספר"/>
    <w:basedOn w:val="734"/>
    <w:link w:val="7310"/>
    <w:qFormat/>
    <w:rsid w:val="00543F8A"/>
  </w:style>
  <w:style w:type="character" w:customStyle="1" w:styleId="739">
    <w:name w:val="73א הזחה שנייה ריק תו"/>
    <w:basedOn w:val="BodyTextIndentChar"/>
    <w:link w:val="734"/>
    <w:rsid w:val="0074714A"/>
    <w:rPr>
      <w:rFonts w:ascii="Tahoma" w:hAnsi="Tahoma" w:cs="Tahoma"/>
      <w:color w:val="0D0D0D" w:themeColor="text1" w:themeTint="F2"/>
      <w:sz w:val="18"/>
      <w:szCs w:val="18"/>
    </w:rPr>
  </w:style>
  <w:style w:type="character" w:customStyle="1" w:styleId="7310">
    <w:name w:val="73א הזחה שנייה ללא מספר תו"/>
    <w:basedOn w:val="739"/>
    <w:link w:val="738"/>
    <w:rsid w:val="00543F8A"/>
    <w:rPr>
      <w:rFonts w:ascii="Tahoma" w:hAnsi="Tahoma" w:cs="Tahoma"/>
      <w:color w:val="0D0D0D" w:themeColor="text1" w:themeTint="F2"/>
      <w:sz w:val="18"/>
      <w:szCs w:val="18"/>
    </w:rPr>
  </w:style>
  <w:style w:type="paragraph" w:customStyle="1" w:styleId="7311">
    <w:name w:val="73א מספור הערות שוליים"/>
    <w:basedOn w:val="732"/>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1">
    <w:name w:val="כניסה שלישית"/>
    <w:basedOn w:val="ListParagraph"/>
    <w:qFormat/>
    <w:rsid w:val="008E5512"/>
    <w:pPr>
      <w:spacing w:after="120"/>
      <w:ind w:left="0"/>
    </w:pPr>
    <w:rPr>
      <w:rFonts w:ascii="Tahoma" w:hAnsi="Tahoma" w:cs="Tahoma"/>
      <w:szCs w:val="20"/>
    </w:rPr>
  </w:style>
  <w:style w:type="paragraph" w:customStyle="1" w:styleId="7312">
    <w:name w:val="73א הזחה שלישית"/>
    <w:basedOn w:val="738"/>
    <w:qFormat/>
    <w:rsid w:val="00591F15"/>
    <w:pPr>
      <w:ind w:left="1191"/>
    </w:pPr>
  </w:style>
  <w:style w:type="paragraph" w:customStyle="1" w:styleId="7313">
    <w:name w:val="73א קוביה כחולה הזחה שלישית"/>
    <w:basedOn w:val="736"/>
    <w:qFormat/>
    <w:rsid w:val="00FF6AD9"/>
    <w:pPr>
      <w:framePr w:wrap="around" w:vAnchor="text" w:hAnchor="text" w:y="1"/>
      <w:shd w:val="solid" w:color="CEEAF6" w:fill="CEEAF6"/>
      <w:spacing w:after="120"/>
      <w:ind w:left="1474"/>
    </w:pPr>
  </w:style>
  <w:style w:type="paragraph" w:customStyle="1" w:styleId="11">
    <w:name w:val="קוביה הזחה 1"/>
    <w:basedOn w:val="736"/>
    <w:qFormat/>
    <w:rsid w:val="005C2859"/>
    <w:pPr>
      <w:ind w:left="680"/>
    </w:pPr>
  </w:style>
  <w:style w:type="paragraph" w:customStyle="1" w:styleId="7314">
    <w:name w:val="73א הזחה ראשונה ללא מספר"/>
    <w:basedOn w:val="738"/>
    <w:qFormat/>
    <w:rsid w:val="003570AC"/>
    <w:pPr>
      <w:ind w:left="397"/>
    </w:pPr>
  </w:style>
  <w:style w:type="paragraph" w:customStyle="1" w:styleId="7315">
    <w:name w:val="73א קוביה רצה"/>
    <w:basedOn w:val="737"/>
    <w:link w:val="730"/>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6">
    <w:name w:val="73א הזחה בתוך קוביה"/>
    <w:basedOn w:val="7315"/>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17">
    <w:name w:val="73א מספרים בתוך קוביה"/>
    <w:basedOn w:val="7316"/>
    <w:rsid w:val="00520550"/>
  </w:style>
  <w:style w:type="paragraph" w:customStyle="1" w:styleId="7318">
    <w:name w:val="73א אותיות בתוך קוביה 1"/>
    <w:basedOn w:val="7317"/>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3">
    <w:name w:val="כותרת עליונה1"/>
    <w:basedOn w:val="Normal"/>
    <w:link w:val="a2"/>
    <w:uiPriority w:val="99"/>
    <w:unhideWhenUsed/>
    <w:rsid w:val="002516DF"/>
    <w:pPr>
      <w:tabs>
        <w:tab w:val="center" w:pos="4153"/>
        <w:tab w:val="right" w:pos="8306"/>
      </w:tabs>
      <w:spacing w:line="240" w:lineRule="auto"/>
    </w:pPr>
    <w:rPr>
      <w:rFonts w:eastAsia="Calibri"/>
    </w:rPr>
  </w:style>
  <w:style w:type="character" w:customStyle="1" w:styleId="a2">
    <w:name w:val="כותרת עליונה תו"/>
    <w:basedOn w:val="DefaultParagraphFont"/>
    <w:link w:val="13"/>
    <w:uiPriority w:val="99"/>
    <w:rsid w:val="002516DF"/>
    <w:rPr>
      <w:rFonts w:eastAsia="Calibri"/>
    </w:rPr>
  </w:style>
  <w:style w:type="paragraph" w:customStyle="1" w:styleId="14">
    <w:name w:val="כותרת תחת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תחתונה תו"/>
    <w:basedOn w:val="DefaultParagraphFont"/>
    <w:link w:val="14"/>
    <w:uiPriority w:val="99"/>
    <w:rsid w:val="002516DF"/>
    <w:rPr>
      <w:rFonts w:eastAsia="Calibri"/>
    </w:rPr>
  </w:style>
  <w:style w:type="paragraph" w:customStyle="1" w:styleId="15">
    <w:name w:val="תאריך1"/>
    <w:basedOn w:val="Normal"/>
    <w:next w:val="Normal"/>
    <w:link w:val="a4"/>
    <w:uiPriority w:val="99"/>
    <w:unhideWhenUsed/>
    <w:rsid w:val="002516DF"/>
    <w:pPr>
      <w:spacing w:before="120" w:line="240" w:lineRule="auto"/>
    </w:pPr>
    <w:rPr>
      <w:rFonts w:eastAsia="Calibri"/>
    </w:rPr>
  </w:style>
  <w:style w:type="character" w:customStyle="1" w:styleId="a4">
    <w:name w:val="תאריך תו"/>
    <w:basedOn w:val="DefaultParagraphFont"/>
    <w:link w:val="15"/>
    <w:uiPriority w:val="99"/>
    <w:rsid w:val="002516DF"/>
    <w:rPr>
      <w:rFonts w:eastAsia="Calibri"/>
    </w:rPr>
  </w:style>
  <w:style w:type="character" w:customStyle="1" w:styleId="a5">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rsid w:val="002516DF"/>
    <w:rPr>
      <w:szCs w:val="20"/>
    </w:rPr>
  </w:style>
  <w:style w:type="paragraph" w:customStyle="1" w:styleId="16">
    <w:name w:val="פיסקת רשימה1"/>
    <w:basedOn w:val="Normal"/>
    <w:uiPriority w:val="34"/>
    <w:qFormat/>
    <w:rsid w:val="002516DF"/>
    <w:pPr>
      <w:ind w:left="720"/>
      <w:contextualSpacing/>
    </w:pPr>
    <w:rPr>
      <w:rFonts w:eastAsia="Calibri"/>
    </w:rPr>
  </w:style>
  <w:style w:type="paragraph" w:customStyle="1" w:styleId="a6">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7">
    <w:name w:val="טקסט בלונים1"/>
    <w:basedOn w:val="Normal"/>
    <w:link w:val="a7"/>
    <w:uiPriority w:val="99"/>
    <w:semiHidden/>
    <w:unhideWhenUsed/>
    <w:rsid w:val="002516DF"/>
    <w:pPr>
      <w:spacing w:line="240" w:lineRule="auto"/>
    </w:pPr>
    <w:rPr>
      <w:rFonts w:ascii="Tahoma" w:eastAsia="Calibri" w:hAnsi="Tahoma" w:cs="Tahoma"/>
      <w:sz w:val="18"/>
      <w:szCs w:val="18"/>
    </w:rPr>
  </w:style>
  <w:style w:type="character" w:customStyle="1" w:styleId="a7">
    <w:name w:val="טקסט בלונים תו"/>
    <w:link w:val="17"/>
    <w:uiPriority w:val="99"/>
    <w:semiHidden/>
    <w:rsid w:val="002516DF"/>
    <w:rPr>
      <w:rFonts w:ascii="Tahoma" w:eastAsia="Calibri" w:hAnsi="Tahoma" w:cs="Tahoma"/>
      <w:sz w:val="18"/>
      <w:szCs w:val="18"/>
    </w:rPr>
  </w:style>
  <w:style w:type="character" w:customStyle="1" w:styleId="18">
    <w:name w:val="כותרת תחתונה תו1"/>
    <w:uiPriority w:val="99"/>
    <w:rsid w:val="002516DF"/>
    <w:rPr>
      <w:rFonts w:cs="David"/>
      <w:sz w:val="24"/>
      <w:szCs w:val="24"/>
    </w:rPr>
  </w:style>
  <w:style w:type="character" w:customStyle="1" w:styleId="19">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1">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2">
    <w:name w:val="טקסט הערה1"/>
    <w:basedOn w:val="Normal"/>
    <w:link w:val="a8"/>
    <w:uiPriority w:val="99"/>
    <w:unhideWhenUsed/>
    <w:rsid w:val="002516DF"/>
    <w:pPr>
      <w:spacing w:line="240" w:lineRule="auto"/>
    </w:pPr>
    <w:rPr>
      <w:rFonts w:eastAsia="Calibri"/>
      <w:szCs w:val="20"/>
    </w:rPr>
  </w:style>
  <w:style w:type="character" w:customStyle="1" w:styleId="a8">
    <w:name w:val="טקסט הערה תו"/>
    <w:link w:val="112"/>
    <w:uiPriority w:val="99"/>
    <w:rsid w:val="002516DF"/>
    <w:rPr>
      <w:rFonts w:eastAsia="Calibri"/>
      <w:szCs w:val="20"/>
    </w:rPr>
  </w:style>
  <w:style w:type="paragraph" w:customStyle="1" w:styleId="113">
    <w:name w:val="נושא הערה1"/>
    <w:basedOn w:val="112"/>
    <w:next w:val="112"/>
    <w:link w:val="a9"/>
    <w:uiPriority w:val="99"/>
    <w:semiHidden/>
    <w:unhideWhenUsed/>
    <w:rsid w:val="002516DF"/>
    <w:rPr>
      <w:b/>
      <w:bCs/>
    </w:rPr>
  </w:style>
  <w:style w:type="character" w:customStyle="1" w:styleId="a9">
    <w:name w:val="נושא הערה תו"/>
    <w:link w:val="113"/>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4">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5">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19">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0">
    <w:name w:val="73א כוכבית בתוך קוביה"/>
    <w:basedOn w:val="7315"/>
    <w:qFormat/>
    <w:rsid w:val="001F0DE8"/>
    <w:pPr>
      <w:jc w:val="center"/>
    </w:pPr>
    <w:rPr>
      <w:rFonts w:ascii="Segoe UI Symbol" w:hAnsi="Segoe UI Symbol" w:cs="Segoe UI Symbol"/>
    </w:rPr>
  </w:style>
  <w:style w:type="paragraph" w:customStyle="1" w:styleId="7321">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2">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0">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1">
    <w:name w:val="טבלה הערות מתחת"/>
    <w:basedOn w:val="732"/>
    <w:qFormat/>
    <w:rsid w:val="00771BEC"/>
    <w:pPr>
      <w:spacing w:before="120"/>
    </w:pPr>
  </w:style>
  <w:style w:type="paragraph" w:customStyle="1" w:styleId="7323">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2">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3">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5">
    <w:name w:val="ציטוט בג&quot;צ Char"/>
    <w:link w:val="a14"/>
    <w:locked/>
    <w:rsid w:val="00CF1EB5"/>
    <w:rPr>
      <w:bCs/>
      <w:noProof/>
      <w:sz w:val="24"/>
      <w:lang w:eastAsia="he-IL"/>
    </w:rPr>
  </w:style>
  <w:style w:type="paragraph" w:customStyle="1" w:styleId="a14">
    <w:name w:val="ציטוט בג&quot;צ"/>
    <w:basedOn w:val="Normal"/>
    <w:link w:val="Char5"/>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16">
    <w:name w:val="כותרת טקסט1"/>
    <w:basedOn w:val="DefaultParagraphFont"/>
    <w:rsid w:val="00D81F77"/>
  </w:style>
  <w:style w:type="paragraph" w:customStyle="1" w:styleId="a15">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16">
    <w:name w:val="טקסט רץ"/>
    <w:basedOn w:val="100"/>
    <w:link w:val="Char6"/>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6">
    <w:name w:val="טקסט רץ Char"/>
    <w:basedOn w:val="10Char"/>
    <w:link w:val="a16"/>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2">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3">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2"/>
    <w:rsid w:val="00454096"/>
    <w:rPr>
      <w:rFonts w:ascii="Tahoma" w:hAnsi="Tahoma" w:eastAsiaTheme="minorEastAsia" w:cs="Tahoma"/>
      <w:b/>
      <w:bCs/>
      <w:color w:val="00305F"/>
      <w:sz w:val="34"/>
      <w:szCs w:val="32"/>
    </w:rPr>
  </w:style>
  <w:style w:type="paragraph" w:customStyle="1" w:styleId="214">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3"/>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4"/>
    <w:rsid w:val="00454096"/>
    <w:rPr>
      <w:rFonts w:ascii="Tahoma" w:hAnsi="Tahoma" w:eastAsiaTheme="minorEastAsia" w:cs="Tahoma"/>
      <w:b w:val="0"/>
      <w:bCs/>
      <w:color w:val="00305F"/>
      <w:sz w:val="32"/>
      <w:szCs w:val="32"/>
    </w:rPr>
  </w:style>
  <w:style w:type="paragraph" w:customStyle="1" w:styleId="215">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17">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4">
    <w:name w:val="73א כותרת סיכום"/>
    <w:basedOn w:val="733155"/>
    <w:qFormat/>
    <w:rsid w:val="00662020"/>
    <w:rPr>
      <w:b w:val="0"/>
    </w:rPr>
  </w:style>
  <w:style w:type="paragraph" w:customStyle="1" w:styleId="752">
    <w:name w:val="75א תמונת המצב העולה מן הביקורת"/>
    <w:basedOn w:val="214"/>
    <w:link w:val="75Char"/>
    <w:qFormat/>
    <w:rsid w:val="006F49D3"/>
    <w:pPr>
      <w:keepNext/>
      <w:keepLines/>
      <w:pBdr>
        <w:top w:val="single" w:sz="12" w:space="5" w:color="auto"/>
      </w:pBdr>
      <w:spacing w:before="360" w:after="240"/>
      <w:outlineLvl w:val="9"/>
    </w:pPr>
    <w:rPr>
      <w:sz w:val="31"/>
      <w:szCs w:val="31"/>
    </w:rPr>
  </w:style>
  <w:style w:type="character" w:customStyle="1" w:styleId="75Char">
    <w:name w:val="75א תמונת המצב העולה מן הביקורת Char"/>
    <w:basedOn w:val="21Char1"/>
    <w:link w:val="752"/>
    <w:rsid w:val="006F49D3"/>
    <w:rPr>
      <w:rFonts w:ascii="Tahoma" w:hAnsi="Tahoma" w:eastAsiaTheme="minorEastAsia" w:cs="Tahoma"/>
      <w:b w:val="0"/>
      <w:bCs/>
      <w:color w:val="00305F"/>
      <w:sz w:val="31"/>
      <w:szCs w:val="31"/>
    </w:rPr>
  </w:style>
  <w:style w:type="paragraph" w:customStyle="1" w:styleId="7520">
    <w:name w:val="75א כותרת 2"/>
    <w:link w:val="752Char"/>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52Char">
    <w:name w:val="75א כותרת 2 Char"/>
    <w:basedOn w:val="DefaultParagraphFont"/>
    <w:link w:val="7520"/>
    <w:rsid w:val="00BB0517"/>
    <w:rPr>
      <w:rFonts w:ascii="Tahoma" w:hAnsi="Tahoma" w:cs="Tahoma"/>
      <w:b/>
      <w:bCs/>
      <w:color w:val="00305F"/>
      <w:sz w:val="34"/>
      <w:szCs w:val="34"/>
    </w:rPr>
  </w:style>
  <w:style w:type="character" w:customStyle="1" w:styleId="7325">
    <w:name w:val="73א הערות שוליים תו"/>
    <w:basedOn w:val="FootnoteTextChar"/>
    <w:link w:val="732"/>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51"/>
    <w:link w:val="7301"/>
    <w:qFormat/>
    <w:rsid w:val="00050995"/>
    <w:pPr>
      <w:spacing w:after="0"/>
    </w:pPr>
  </w:style>
  <w:style w:type="character" w:customStyle="1" w:styleId="75Char0">
    <w:name w:val="75א מקרא+הערות לתרשים/לוח/תמונה Char"/>
    <w:basedOn w:val="7325"/>
    <w:link w:val="751"/>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5Char0"/>
    <w:link w:val="7300"/>
    <w:rsid w:val="00050995"/>
    <w:rPr>
      <w:rFonts w:ascii="Tahoma" w:hAnsi="Tahoma" w:cs="Tahoma"/>
      <w:color w:val="0D0D0D" w:themeColor="text1" w:themeTint="F2"/>
      <w:sz w:val="16"/>
      <w:szCs w:val="16"/>
    </w:rPr>
  </w:style>
  <w:style w:type="paragraph" w:customStyle="1" w:styleId="7390">
    <w:name w:val="73א בולד 9 בתוך שורה"/>
    <w:basedOn w:val="215"/>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5"/>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0">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0"/>
    <w:rsid w:val="001F3363"/>
    <w:rPr>
      <w:rFonts w:ascii="Tahoma" w:hAnsi="Tahoma" w:cs="Tahoma"/>
      <w:color w:val="0D0D0D" w:themeColor="text1" w:themeTint="F2"/>
      <w:sz w:val="18"/>
      <w:szCs w:val="18"/>
    </w:rPr>
  </w:style>
  <w:style w:type="paragraph" w:customStyle="1" w:styleId="73110">
    <w:name w:val="73א מרווח של 1 בטקס רץ"/>
    <w:basedOn w:val="Normal"/>
    <w:link w:val="73111"/>
    <w:qFormat/>
    <w:rsid w:val="001F3363"/>
    <w:pPr>
      <w:spacing w:after="180" w:line="260" w:lineRule="exact"/>
    </w:pPr>
    <w:rPr>
      <w:rFonts w:ascii="Tahoma" w:hAnsi="Tahoma" w:cs="Tahoma"/>
      <w:color w:val="0D0D0D" w:themeColor="text1" w:themeTint="F2"/>
      <w:spacing w:val="20"/>
      <w:sz w:val="18"/>
      <w:szCs w:val="18"/>
    </w:rPr>
  </w:style>
  <w:style w:type="character" w:customStyle="1" w:styleId="73111">
    <w:name w:val="73א מרווח של 1 בטקס רץ תו"/>
    <w:basedOn w:val="DefaultParagraphFont"/>
    <w:link w:val="73110"/>
    <w:rsid w:val="001F3363"/>
    <w:rPr>
      <w:rFonts w:ascii="Tahoma" w:hAnsi="Tahoma" w:cs="Tahoma"/>
      <w:color w:val="0D0D0D" w:themeColor="text1" w:themeTint="F2"/>
      <w:spacing w:val="20"/>
      <w:sz w:val="18"/>
      <w:szCs w:val="18"/>
    </w:rPr>
  </w:style>
  <w:style w:type="paragraph" w:customStyle="1" w:styleId="a18">
    <w:name w:val="כותרת לבנה בתוך תבנית אדומה בתקציר"/>
    <w:basedOn w:val="Normal"/>
    <w:link w:val="Char7"/>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26">
    <w:name w:val="73א כותרת לבנה בתוך תבנית אדומה בתקציר"/>
    <w:basedOn w:val="a18"/>
    <w:link w:val="7327"/>
    <w:qFormat/>
    <w:rsid w:val="00524400"/>
    <w:pPr>
      <w:keepNext/>
      <w:keepLines/>
      <w:spacing w:before="0"/>
    </w:pPr>
  </w:style>
  <w:style w:type="character" w:customStyle="1" w:styleId="Char7">
    <w:name w:val="כותרת לבנה בתוך תבנית אדומה בתקציר Char"/>
    <w:basedOn w:val="DefaultParagraphFont"/>
    <w:link w:val="a18"/>
    <w:rsid w:val="009D41AC"/>
    <w:rPr>
      <w:rFonts w:ascii="Tahoma" w:hAnsi="Tahoma" w:cs="Tahoma"/>
      <w:b/>
      <w:bCs/>
      <w:color w:val="FFFFFF" w:themeColor="background1"/>
      <w:sz w:val="22"/>
      <w:szCs w:val="22"/>
    </w:rPr>
  </w:style>
  <w:style w:type="character" w:customStyle="1" w:styleId="7327">
    <w:name w:val="73א כותרת לבנה בתוך תבנית אדומה בתקציר תו"/>
    <w:basedOn w:val="Char7"/>
    <w:link w:val="7326"/>
    <w:rsid w:val="00524400"/>
    <w:rPr>
      <w:rFonts w:ascii="Tahoma" w:hAnsi="Tahoma" w:cs="Tahoma"/>
      <w:b/>
      <w:bCs/>
      <w:color w:val="FFFFFF" w:themeColor="background1"/>
      <w:sz w:val="22"/>
      <w:szCs w:val="22"/>
    </w:rPr>
  </w:style>
  <w:style w:type="paragraph" w:customStyle="1" w:styleId="73112">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28">
    <w:name w:val="73א היפרלינק"/>
    <w:basedOn w:val="732"/>
    <w:link w:val="7329"/>
    <w:qFormat/>
    <w:rsid w:val="009578F0"/>
    <w:pPr>
      <w:bidi w:val="0"/>
    </w:pPr>
    <w:rPr>
      <w:color w:val="6090CC"/>
      <w:u w:val="single"/>
    </w:rPr>
  </w:style>
  <w:style w:type="character" w:customStyle="1" w:styleId="7329">
    <w:name w:val="73א היפרלינק תו"/>
    <w:basedOn w:val="7325"/>
    <w:link w:val="7328"/>
    <w:rsid w:val="009578F0"/>
    <w:rPr>
      <w:rFonts w:ascii="Tahoma" w:hAnsi="Tahoma" w:cs="Tahoma"/>
      <w:color w:val="6090CC"/>
      <w:sz w:val="14"/>
      <w:szCs w:val="14"/>
      <w:u w:val="single"/>
    </w:rPr>
  </w:style>
  <w:style w:type="paragraph" w:customStyle="1" w:styleId="7330">
    <w:name w:val="73א קוביה כחולה עם מספר מוזח"/>
    <w:basedOn w:val="750"/>
    <w:link w:val="7331"/>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5Char1">
    <w:name w:val="75א הזחה ראשונה מספר Char"/>
    <w:basedOn w:val="ListParagraphChar"/>
    <w:link w:val="750"/>
    <w:rsid w:val="003346F8"/>
    <w:rPr>
      <w:rFonts w:ascii="Tahoma" w:hAnsi="Tahoma" w:cs="Tahoma"/>
      <w:color w:val="0D0D0D" w:themeColor="text1" w:themeTint="F2"/>
      <w:sz w:val="18"/>
      <w:szCs w:val="18"/>
    </w:rPr>
  </w:style>
  <w:style w:type="character" w:customStyle="1" w:styleId="7331">
    <w:name w:val="73א קוביה כחולה עם מספר מוזח תו"/>
    <w:basedOn w:val="75Char1"/>
    <w:link w:val="7330"/>
    <w:rsid w:val="00FF6AD9"/>
    <w:rPr>
      <w:rFonts w:ascii="Tahoma" w:hAnsi="Tahoma" w:cs="Tahoma"/>
      <w:color w:val="0D0D0D" w:themeColor="text1" w:themeTint="F2"/>
      <w:sz w:val="18"/>
      <w:szCs w:val="18"/>
      <w:shd w:val="clear" w:color="auto" w:fill="CEEAF6"/>
    </w:rPr>
  </w:style>
  <w:style w:type="paragraph" w:customStyle="1" w:styleId="7332">
    <w:name w:val="73א כותרת טקסט רץ מודגשת"/>
    <w:basedOn w:val="Normal"/>
    <w:link w:val="7333"/>
    <w:qFormat/>
    <w:rsid w:val="001F3363"/>
    <w:pPr>
      <w:spacing w:after="180" w:line="260" w:lineRule="exact"/>
    </w:pPr>
    <w:rPr>
      <w:rFonts w:ascii="Tahoma" w:hAnsi="Tahoma" w:cs="Tahoma"/>
      <w:b/>
      <w:bCs/>
      <w:color w:val="0D0D0D" w:themeColor="text1" w:themeTint="F2"/>
      <w:sz w:val="18"/>
      <w:szCs w:val="18"/>
    </w:rPr>
  </w:style>
  <w:style w:type="character" w:customStyle="1" w:styleId="7333">
    <w:name w:val="73א כותרת טקסט רץ מודגשת תו"/>
    <w:basedOn w:val="DefaultParagraphFont"/>
    <w:link w:val="7332"/>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5Char1"/>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19">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0">
    <w:name w:val="נבנצאל תו"/>
    <w:basedOn w:val="DefaultParagraphFont"/>
    <w:link w:val="a21"/>
    <w:uiPriority w:val="99"/>
    <w:locked/>
    <w:rsid w:val="00905FB1"/>
    <w:rPr>
      <w:szCs w:val="20"/>
    </w:rPr>
  </w:style>
  <w:style w:type="paragraph" w:customStyle="1" w:styleId="a21">
    <w:name w:val="נבנצאל"/>
    <w:basedOn w:val="Normal"/>
    <w:next w:val="Normal"/>
    <w:link w:val="a20"/>
    <w:uiPriority w:val="99"/>
    <w:rsid w:val="00905FB1"/>
    <w:pPr>
      <w:ind w:left="-567"/>
    </w:pPr>
    <w:rPr>
      <w:szCs w:val="20"/>
    </w:rPr>
  </w:style>
  <w:style w:type="paragraph" w:styleId="DocumentMap">
    <w:name w:val="Document Map"/>
    <w:basedOn w:val="Normal"/>
    <w:link w:val="DocumentMapChar"/>
    <w:uiPriority w:val="99"/>
    <w:semiHidden/>
    <w:unhideWhenUsed/>
    <w:rsid w:val="0030451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451F"/>
    <w:rPr>
      <w:rFonts w:ascii="Tahoma" w:hAnsi="Tahoma" w:cs="Tahoma"/>
      <w:sz w:val="16"/>
      <w:szCs w:val="16"/>
    </w:rPr>
  </w:style>
  <w:style w:type="paragraph" w:customStyle="1" w:styleId="117">
    <w:name w:val="סגנון1"/>
    <w:basedOn w:val="Caption"/>
    <w:qFormat/>
    <w:rsid w:val="0030451F"/>
    <w:pPr>
      <w:jc w:val="center"/>
    </w:pPr>
    <w:rPr>
      <w:b/>
      <w:bCs/>
      <w:iCs w:val="0"/>
      <w:color w:val="000000" w:themeColor="text1"/>
      <w:sz w:val="24"/>
      <w:szCs w:val="24"/>
    </w:rPr>
  </w:style>
  <w:style w:type="paragraph" w:customStyle="1" w:styleId="23">
    <w:name w:val="סגנון2"/>
    <w:basedOn w:val="Caption"/>
    <w:autoRedefine/>
    <w:qFormat/>
    <w:rsid w:val="0030451F"/>
    <w:pPr>
      <w:jc w:val="center"/>
    </w:pPr>
    <w:rPr>
      <w:b/>
      <w:bCs/>
      <w:iCs w:val="0"/>
      <w:color w:val="000000" w:themeColor="text1"/>
      <w:sz w:val="24"/>
      <w:szCs w:val="24"/>
    </w:rPr>
  </w:style>
  <w:style w:type="paragraph" w:customStyle="1" w:styleId="32">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34">
    <w:name w:val="73א מקרא+הערות לתרשים/לוח/תמונה כוכבית"/>
    <w:basedOn w:val="751"/>
    <w:qFormat/>
    <w:rsid w:val="002F430E"/>
    <w:pPr>
      <w:framePr w:wrap="around" w:vAnchor="text" w:hAnchor="text" w:y="1"/>
    </w:pPr>
  </w:style>
  <w:style w:type="paragraph" w:customStyle="1" w:styleId="a23">
    <w:name w:val="הערות לתרשימים"/>
    <w:basedOn w:val="751"/>
    <w:next w:val="732"/>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2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16"/>
    <w:link w:val="7393"/>
    <w:qFormat/>
    <w:rsid w:val="00222C5D"/>
    <w:rPr>
      <w:color w:val="0D0D0D" w:themeColor="text1" w:themeTint="F2"/>
      <w:sz w:val="18"/>
    </w:rPr>
  </w:style>
  <w:style w:type="character" w:customStyle="1" w:styleId="7393">
    <w:name w:val="73א טקסט רץ 9 תו"/>
    <w:basedOn w:val="Char6"/>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6"/>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3"/>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18">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2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26">
    <w:name w:val="תאריך הדוח"/>
    <w:qFormat/>
    <w:rsid w:val="000F5023"/>
    <w:pPr>
      <w:ind w:left="2268"/>
      <w:jc w:val="left"/>
    </w:pPr>
    <w:rPr>
      <w:rFonts w:ascii="Tahoma" w:hAnsi="Tahoma" w:cs="Tahoma"/>
      <w:sz w:val="18"/>
      <w:szCs w:val="18"/>
    </w:rPr>
  </w:style>
  <w:style w:type="paragraph" w:customStyle="1" w:styleId="70">
    <w:name w:val="סגנון7"/>
    <w:basedOn w:val="7330"/>
    <w:qFormat/>
    <w:rsid w:val="00F1103C"/>
    <w:pPr>
      <w:numPr>
        <w:numId w:val="9"/>
      </w:numPr>
      <w:ind w:left="850" w:right="284" w:hanging="425"/>
    </w:pPr>
    <w:rPr>
      <w:noProof/>
      <w:lang w:val="he-IL"/>
    </w:rPr>
  </w:style>
  <w:style w:type="paragraph" w:customStyle="1" w:styleId="710">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1">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FootnoteTextChar"/>
    <w:link w:val="711"/>
    <w:rsid w:val="002507E8"/>
    <w:rPr>
      <w:rFonts w:ascii="Tahoma" w:hAnsi="Tahoma" w:cs="Tahoma"/>
      <w:color w:val="0D0D0D" w:themeColor="text1" w:themeTint="F2"/>
      <w:sz w:val="14"/>
      <w:szCs w:val="14"/>
    </w:rPr>
  </w:style>
  <w:style w:type="paragraph" w:customStyle="1" w:styleId="712">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52"/>
    <w:qFormat/>
    <w:rsid w:val="00AB2F78"/>
  </w:style>
  <w:style w:type="paragraph" w:customStyle="1" w:styleId="a27">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1">
    <w:name w:val="footnote reference"/>
    <w:aliases w:val="Footnote Reference_0,Footnote Reference_0_0,Footnote Reference_0_0_0,Footnote Reference_0_0_0_0,Footnote Reference_1,Footnote Reference_2,Footnote Reference_3,Footnote Reference_3_0,Footnote Reference_4,fr,הפניה להערת שוליים חדש,מ"/>
    <w:basedOn w:val="DefaultParagraphFont"/>
    <w:unhideWhenUsed/>
    <w:rsid w:val="00C00585"/>
    <w:rPr>
      <w:vertAlign w:val="superscript"/>
    </w:rPr>
  </w:style>
  <w:style w:type="character" w:styleId="CommentReference">
    <w:name w:val="annotation reference"/>
    <w:basedOn w:val="DefaultParagraphFont"/>
    <w:uiPriority w:val="99"/>
    <w:semiHidden/>
    <w:unhideWhenUsed/>
    <w:rsid w:val="0079701E"/>
    <w:rPr>
      <w:sz w:val="16"/>
      <w:szCs w:val="16"/>
    </w:rPr>
  </w:style>
  <w:style w:type="paragraph" w:customStyle="1" w:styleId="713">
    <w:name w:val="71ג לוחות/תרשימים/תמונות/אינפוגרפיקה/מפות"/>
    <w:basedOn w:val="Normal"/>
    <w:qFormat/>
    <w:rsid w:val="0079701E"/>
    <w:pPr>
      <w:keepNext/>
      <w:spacing w:before="240" w:after="240" w:line="260" w:lineRule="exact"/>
      <w:jc w:val="center"/>
    </w:pPr>
    <w:rPr>
      <w:rFonts w:ascii="Tahoma" w:hAnsi="Tahoma" w:eastAsiaTheme="minorEastAsia" w:cs="Tahoma"/>
      <w:b/>
      <w:bCs/>
      <w:color w:val="0D0D0D" w:themeColor="text1" w:themeTint="F2"/>
      <w:szCs w:val="20"/>
    </w:rPr>
  </w:style>
  <w:style w:type="character" w:customStyle="1" w:styleId="119">
    <w:name w:val="אזכור לא מזוהה1"/>
    <w:basedOn w:val="DefaultParagraphFont"/>
    <w:uiPriority w:val="99"/>
    <w:semiHidden/>
    <w:unhideWhenUsed/>
    <w:rsid w:val="0079701E"/>
    <w:rPr>
      <w:color w:val="605E5C"/>
      <w:shd w:val="clear" w:color="auto" w:fill="E1DFDD"/>
    </w:rPr>
  </w:style>
  <w:style w:type="paragraph" w:customStyle="1" w:styleId="a28">
    <w:name w:val="פרטי הדוח ממה"/>
    <w:basedOn w:val="Normal"/>
    <w:qFormat/>
    <w:rsid w:val="009F04C6"/>
    <w:pPr>
      <w:spacing w:before="600" w:line="240" w:lineRule="auto"/>
      <w:ind w:left="284"/>
      <w:jc w:val="left"/>
    </w:pPr>
    <w:rPr>
      <w:rFonts w:ascii="Calibri" w:eastAsia="Calibri" w:hAnsi="Calibri" w:cs="Calibri"/>
      <w:noProof/>
      <w:color w:val="FFFFFF" w:themeColor="background1"/>
      <w:sz w:val="24"/>
    </w:rPr>
  </w:style>
  <w:style w:type="paragraph" w:customStyle="1" w:styleId="a29">
    <w:name w:val="כותרת הדוח ממה"/>
    <w:basedOn w:val="Normal"/>
    <w:link w:val="a30"/>
    <w:qFormat/>
    <w:rsid w:val="009F04C6"/>
    <w:pPr>
      <w:widowControl w:val="0"/>
      <w:spacing w:before="600" w:line="240" w:lineRule="auto"/>
      <w:ind w:left="284"/>
      <w:jc w:val="left"/>
    </w:pPr>
    <w:rPr>
      <w:rFonts w:ascii="Calibri" w:hAnsi="Calibri" w:cs="Calibri"/>
      <w:b/>
      <w:bCs/>
      <w:color w:val="FFFFFF" w:themeColor="background1"/>
      <w:sz w:val="60"/>
      <w:szCs w:val="60"/>
    </w:rPr>
  </w:style>
  <w:style w:type="character" w:customStyle="1" w:styleId="a30">
    <w:name w:val="כותרת הדוח ממה תו"/>
    <w:basedOn w:val="DefaultParagraphFont"/>
    <w:link w:val="a29"/>
    <w:rsid w:val="009F04C6"/>
    <w:rPr>
      <w:rFonts w:ascii="Calibri" w:hAnsi="Calibri" w:cs="Calibri"/>
      <w:b/>
      <w:bCs/>
      <w:color w:val="FFFFFF" w:themeColor="background1"/>
      <w:sz w:val="60"/>
      <w:szCs w:val="60"/>
    </w:rPr>
  </w:style>
  <w:style w:type="paragraph" w:customStyle="1" w:styleId="a31">
    <w:name w:val="טקסט שם מונח ממה"/>
    <w:basedOn w:val="Normal"/>
    <w:qFormat/>
    <w:rsid w:val="009F04C6"/>
    <w:pPr>
      <w:suppressAutoHyphens/>
      <w:autoSpaceDE w:val="0"/>
      <w:autoSpaceDN w:val="0"/>
      <w:adjustRightInd w:val="0"/>
      <w:spacing w:before="60" w:after="60"/>
      <w:ind w:left="57" w:right="170"/>
      <w:jc w:val="left"/>
      <w:textAlignment w:val="center"/>
    </w:pPr>
    <w:rPr>
      <w:rFonts w:ascii="Calibri" w:eastAsia="DengXian" w:hAnsi="Calibri" w:cs="Calibri"/>
      <w:b/>
      <w:bCs/>
      <w:color w:val="002060"/>
      <w:sz w:val="24"/>
      <w:lang w:val="en-GB"/>
    </w:rPr>
  </w:style>
  <w:style w:type="paragraph" w:customStyle="1" w:styleId="a32">
    <w:name w:val="טקסט הגדרת מונח ממה"/>
    <w:link w:val="a33"/>
    <w:qFormat/>
    <w:rsid w:val="009F04C6"/>
    <w:pPr>
      <w:suppressAutoHyphens/>
      <w:autoSpaceDE w:val="0"/>
      <w:autoSpaceDN w:val="0"/>
      <w:bidi/>
      <w:adjustRightInd w:val="0"/>
      <w:spacing w:before="60" w:after="60" w:line="312" w:lineRule="auto"/>
      <w:ind w:left="57" w:right="170"/>
      <w:jc w:val="left"/>
      <w:textAlignment w:val="center"/>
    </w:pPr>
    <w:rPr>
      <w:rFonts w:ascii="Calibri" w:eastAsia="DengXian" w:hAnsi="Calibri" w:cs="Calibri"/>
      <w:color w:val="002060"/>
      <w:sz w:val="24"/>
      <w:lang w:val="en-GB"/>
    </w:rPr>
  </w:style>
  <w:style w:type="character" w:customStyle="1" w:styleId="a33">
    <w:name w:val="טקסט הגדרת מונח ממה תו"/>
    <w:basedOn w:val="DefaultParagraphFont"/>
    <w:link w:val="a32"/>
    <w:rsid w:val="009F04C6"/>
    <w:rPr>
      <w:rFonts w:ascii="Calibri" w:eastAsia="DengXian" w:hAnsi="Calibri" w:cs="Calibri"/>
      <w:color w:val="002060"/>
      <w:sz w:val="24"/>
      <w:lang w:val="en-GB"/>
    </w:rPr>
  </w:style>
  <w:style w:type="paragraph" w:customStyle="1" w:styleId="a34">
    <w:name w:val="מבוא ממה"/>
    <w:basedOn w:val="Normal"/>
    <w:next w:val="Normal"/>
    <w:link w:val="a35"/>
    <w:autoRedefine/>
    <w:qFormat/>
    <w:rsid w:val="009F04C6"/>
    <w:pPr>
      <w:pageBreakBefore/>
      <w:widowControl w:val="0"/>
      <w:shd w:val="clear" w:color="F3F7FF" w:fill="FFFFFF" w:themeFill="background1"/>
      <w:spacing w:before="120" w:line="276" w:lineRule="auto"/>
      <w:ind w:left="1134"/>
      <w:outlineLvl w:val="0"/>
    </w:pPr>
    <w:rPr>
      <w:rFonts w:ascii="Calibri" w:eastAsia="Calibri" w:hAnsi="Calibri" w:cs="Calibri"/>
      <w:color w:val="FFFFFF" w:themeColor="background1"/>
      <w:position w:val="6"/>
      <w:sz w:val="2"/>
      <w:szCs w:val="2"/>
      <w:u w:color="FFFFFF"/>
    </w:rPr>
  </w:style>
  <w:style w:type="character" w:customStyle="1" w:styleId="a35">
    <w:name w:val="מבוא ממה תו"/>
    <w:basedOn w:val="DefaultParagraphFont"/>
    <w:link w:val="a34"/>
    <w:rsid w:val="009F04C6"/>
    <w:rPr>
      <w:rFonts w:ascii="Calibri" w:eastAsia="Calibri" w:hAnsi="Calibri" w:cs="Calibri"/>
      <w:color w:val="FFFFFF" w:themeColor="background1"/>
      <w:position w:val="6"/>
      <w:sz w:val="2"/>
      <w:szCs w:val="2"/>
      <w:u w:color="FFFFFF"/>
      <w:shd w:val="clear" w:color="F3F7FF" w:fill="FFFFFF" w:themeFill="background1"/>
    </w:rPr>
  </w:style>
  <w:style w:type="paragraph" w:customStyle="1" w:styleId="a36">
    <w:name w:val="מראה מקום ממה"/>
    <w:basedOn w:val="Normal"/>
    <w:next w:val="Normal"/>
    <w:link w:val="a37"/>
    <w:qFormat/>
    <w:rsid w:val="009F04C6"/>
    <w:pPr>
      <w:widowControl w:val="0"/>
      <w:pBdr>
        <w:top w:val="single" w:sz="18" w:space="1" w:color="1CADE4" w:themeColor="accent1"/>
      </w:pBdr>
      <w:shd w:val="solid" w:color="F3F7FF" w:fill="auto"/>
      <w:spacing w:before="120" w:line="240" w:lineRule="auto"/>
      <w:ind w:left="1134"/>
    </w:pPr>
    <w:rPr>
      <w:rFonts w:ascii="Calibri" w:eastAsia="Calibri" w:hAnsi="Calibri" w:cs="Calibri"/>
      <w:b/>
      <w:bCs/>
      <w:color w:val="002060"/>
      <w:sz w:val="18"/>
      <w:szCs w:val="18"/>
    </w:rPr>
  </w:style>
  <w:style w:type="character" w:customStyle="1" w:styleId="a37">
    <w:name w:val="מראה מקום ממה תו"/>
    <w:basedOn w:val="DefaultParagraphFont"/>
    <w:link w:val="a36"/>
    <w:rsid w:val="009F04C6"/>
    <w:rPr>
      <w:rFonts w:ascii="Calibri" w:eastAsia="Calibri" w:hAnsi="Calibri" w:cs="Calibri"/>
      <w:b/>
      <w:bCs/>
      <w:color w:val="002060"/>
      <w:sz w:val="18"/>
      <w:szCs w:val="18"/>
      <w:shd w:val="solid" w:color="F3F7FF" w:fill="auto"/>
    </w:rPr>
  </w:style>
  <w:style w:type="paragraph" w:customStyle="1" w:styleId="a38">
    <w:name w:val="כותרת עליונה ממה"/>
    <w:basedOn w:val="Normal"/>
    <w:next w:val="Normal"/>
    <w:link w:val="a39"/>
    <w:qFormat/>
    <w:rsid w:val="009F04C6"/>
    <w:pPr>
      <w:spacing w:line="240" w:lineRule="auto"/>
      <w:ind w:left="737"/>
      <w:jc w:val="left"/>
    </w:pPr>
    <w:rPr>
      <w:rFonts w:ascii="Calibri" w:eastAsia="Calibri" w:hAnsi="Calibri" w:cs="Calibri"/>
      <w:color w:val="002060"/>
      <w:sz w:val="18"/>
      <w:szCs w:val="18"/>
    </w:rPr>
  </w:style>
  <w:style w:type="character" w:customStyle="1" w:styleId="a39">
    <w:name w:val="כותרת עליונה ממה תו"/>
    <w:basedOn w:val="DefaultParagraphFont"/>
    <w:link w:val="a38"/>
    <w:rsid w:val="009F04C6"/>
    <w:rPr>
      <w:rFonts w:ascii="Calibri" w:eastAsia="Calibri" w:hAnsi="Calibri" w:cs="Calibri"/>
      <w:color w:val="002060"/>
      <w:sz w:val="18"/>
      <w:szCs w:val="18"/>
    </w:rPr>
  </w:style>
  <w:style w:type="paragraph" w:customStyle="1" w:styleId="120">
    <w:name w:val="כותרת 1 ממה"/>
    <w:basedOn w:val="Normal"/>
    <w:next w:val="Normal"/>
    <w:link w:val="122"/>
    <w:qFormat/>
    <w:rsid w:val="009F04C6"/>
    <w:pPr>
      <w:keepNext/>
      <w:widowControl w:val="0"/>
      <w:numPr>
        <w:numId w:val="10"/>
      </w:numPr>
      <w:spacing w:before="240" w:after="120" w:line="440" w:lineRule="exact"/>
      <w:jc w:val="left"/>
      <w:outlineLvl w:val="0"/>
    </w:pPr>
    <w:rPr>
      <w:rFonts w:ascii="Calibri" w:eastAsia="Calibri" w:hAnsi="Calibri" w:cs="Calibri"/>
      <w:b/>
      <w:bCs/>
      <w:color w:val="002060"/>
      <w:sz w:val="40"/>
      <w:szCs w:val="40"/>
    </w:rPr>
  </w:style>
  <w:style w:type="character" w:customStyle="1" w:styleId="122">
    <w:name w:val="כותרת 1 ממה תו"/>
    <w:basedOn w:val="DefaultParagraphFont"/>
    <w:link w:val="120"/>
    <w:rsid w:val="009F04C6"/>
    <w:rPr>
      <w:rFonts w:ascii="Calibri" w:eastAsia="Calibri" w:hAnsi="Calibri" w:cs="Calibri"/>
      <w:b/>
      <w:bCs/>
      <w:color w:val="002060"/>
      <w:sz w:val="40"/>
      <w:szCs w:val="40"/>
    </w:rPr>
  </w:style>
  <w:style w:type="paragraph" w:customStyle="1" w:styleId="24">
    <w:name w:val="כותרת 2 ממה"/>
    <w:basedOn w:val="Normal"/>
    <w:next w:val="Normal"/>
    <w:link w:val="25"/>
    <w:qFormat/>
    <w:rsid w:val="009F04C6"/>
    <w:pPr>
      <w:keepNext/>
      <w:widowControl w:val="0"/>
      <w:numPr>
        <w:numId w:val="11"/>
      </w:numPr>
      <w:spacing w:before="240" w:line="280" w:lineRule="exact"/>
      <w:jc w:val="left"/>
      <w:outlineLvl w:val="1"/>
    </w:pPr>
    <w:rPr>
      <w:rFonts w:ascii="Calibri" w:eastAsia="Calibri" w:hAnsi="Calibri" w:cs="Calibri"/>
      <w:b/>
      <w:bCs/>
      <w:color w:val="002060"/>
      <w:sz w:val="36"/>
      <w:szCs w:val="36"/>
    </w:rPr>
  </w:style>
  <w:style w:type="character" w:customStyle="1" w:styleId="25">
    <w:name w:val="כותרת 2 ממה תו"/>
    <w:basedOn w:val="22"/>
    <w:link w:val="24"/>
    <w:rsid w:val="009F04C6"/>
    <w:rPr>
      <w:rFonts w:ascii="Calibri" w:eastAsia="Calibri" w:hAnsi="Calibri" w:cs="Calibri"/>
      <w:b/>
      <w:bCs/>
      <w:color w:val="002060"/>
      <w:sz w:val="36"/>
      <w:szCs w:val="36"/>
    </w:rPr>
  </w:style>
  <w:style w:type="paragraph" w:customStyle="1" w:styleId="33">
    <w:name w:val="כותרת 3 ממה"/>
    <w:basedOn w:val="Normal"/>
    <w:next w:val="Normal"/>
    <w:link w:val="34"/>
    <w:qFormat/>
    <w:rsid w:val="009F04C6"/>
    <w:pPr>
      <w:widowControl w:val="0"/>
      <w:numPr>
        <w:numId w:val="12"/>
      </w:numPr>
      <w:spacing w:before="240" w:line="280" w:lineRule="exact"/>
      <w:jc w:val="left"/>
    </w:pPr>
    <w:rPr>
      <w:rFonts w:ascii="Calibri" w:eastAsia="Calibri" w:hAnsi="Calibri" w:cs="Calibri"/>
      <w:b/>
      <w:bCs/>
      <w:color w:val="002060"/>
      <w:sz w:val="28"/>
      <w:szCs w:val="28"/>
      <w:u w:val="single"/>
    </w:rPr>
  </w:style>
  <w:style w:type="character" w:customStyle="1" w:styleId="34">
    <w:name w:val="כותרת 3 ממה תו"/>
    <w:basedOn w:val="3"/>
    <w:link w:val="33"/>
    <w:rsid w:val="009F04C6"/>
    <w:rPr>
      <w:rFonts w:ascii="Calibri" w:eastAsia="Calibri" w:hAnsi="Calibri" w:cs="Calibri"/>
      <w:b/>
      <w:bCs/>
      <w:color w:val="002060"/>
      <w:sz w:val="28"/>
      <w:szCs w:val="28"/>
      <w:u w:val="single"/>
    </w:rPr>
  </w:style>
  <w:style w:type="paragraph" w:customStyle="1" w:styleId="42">
    <w:name w:val="כותרת 4 ממה"/>
    <w:basedOn w:val="Normal"/>
    <w:next w:val="Normal"/>
    <w:link w:val="43"/>
    <w:qFormat/>
    <w:rsid w:val="009F04C6"/>
    <w:pPr>
      <w:keepNext/>
      <w:widowControl w:val="0"/>
      <w:spacing w:before="240" w:line="280" w:lineRule="exact"/>
      <w:ind w:left="1134"/>
      <w:jc w:val="left"/>
      <w:outlineLvl w:val="3"/>
    </w:pPr>
    <w:rPr>
      <w:rFonts w:ascii="Calibri" w:eastAsia="Calibri" w:hAnsi="Calibri" w:cs="Calibri"/>
      <w:color w:val="002060"/>
      <w:sz w:val="28"/>
      <w:szCs w:val="28"/>
    </w:rPr>
  </w:style>
  <w:style w:type="character" w:customStyle="1" w:styleId="43">
    <w:name w:val="כותרת 4 ממה תו"/>
    <w:basedOn w:val="DefaultParagraphFont"/>
    <w:link w:val="42"/>
    <w:rsid w:val="009F04C6"/>
    <w:rPr>
      <w:rFonts w:ascii="Calibri" w:eastAsia="Calibri" w:hAnsi="Calibri" w:cs="Calibri"/>
      <w:color w:val="002060"/>
      <w:sz w:val="28"/>
      <w:szCs w:val="28"/>
    </w:rPr>
  </w:style>
  <w:style w:type="paragraph" w:customStyle="1" w:styleId="123">
    <w:name w:val="רשימה1 ממה"/>
    <w:basedOn w:val="Normal"/>
    <w:link w:val="124"/>
    <w:qFormat/>
    <w:rsid w:val="009F04C6"/>
    <w:pPr>
      <w:widowControl w:val="0"/>
      <w:numPr>
        <w:numId w:val="13"/>
      </w:numPr>
      <w:spacing w:line="280" w:lineRule="exact"/>
    </w:pPr>
    <w:rPr>
      <w:rFonts w:ascii="Calibri" w:eastAsia="Calibri" w:hAnsi="Calibri" w:cs="Calibri"/>
      <w:color w:val="002060"/>
      <w:sz w:val="24"/>
    </w:rPr>
  </w:style>
  <w:style w:type="character" w:customStyle="1" w:styleId="124">
    <w:name w:val="רשימה1 ממה תו"/>
    <w:basedOn w:val="DefaultParagraphFont"/>
    <w:link w:val="123"/>
    <w:rsid w:val="009F04C6"/>
    <w:rPr>
      <w:rFonts w:ascii="Calibri" w:eastAsia="Calibri" w:hAnsi="Calibri" w:cs="Calibri"/>
      <w:color w:val="002060"/>
      <w:sz w:val="24"/>
    </w:rPr>
  </w:style>
  <w:style w:type="paragraph" w:customStyle="1" w:styleId="26">
    <w:name w:val="רשימה2 ממה"/>
    <w:basedOn w:val="Normal"/>
    <w:link w:val="27"/>
    <w:qFormat/>
    <w:rsid w:val="009F04C6"/>
    <w:pPr>
      <w:widowControl w:val="0"/>
      <w:spacing w:line="280" w:lineRule="exact"/>
      <w:ind w:left="1871"/>
    </w:pPr>
    <w:rPr>
      <w:rFonts w:ascii="Calibri" w:eastAsia="Calibri" w:hAnsi="Calibri" w:cs="Calibri"/>
      <w:color w:val="002060"/>
      <w:sz w:val="24"/>
    </w:rPr>
  </w:style>
  <w:style w:type="character" w:customStyle="1" w:styleId="27">
    <w:name w:val="רשימה2 ממה תו"/>
    <w:basedOn w:val="DefaultParagraphFont"/>
    <w:link w:val="26"/>
    <w:rsid w:val="009F04C6"/>
    <w:rPr>
      <w:rFonts w:ascii="Calibri" w:eastAsia="Calibri" w:hAnsi="Calibri" w:cs="Calibri"/>
      <w:color w:val="002060"/>
      <w:sz w:val="24"/>
    </w:rPr>
  </w:style>
  <w:style w:type="paragraph" w:customStyle="1" w:styleId="35">
    <w:name w:val="רשימה3 ממה"/>
    <w:basedOn w:val="Normal"/>
    <w:link w:val="36"/>
    <w:qFormat/>
    <w:rsid w:val="009F04C6"/>
    <w:pPr>
      <w:widowControl w:val="0"/>
      <w:numPr>
        <w:numId w:val="14"/>
      </w:numPr>
      <w:spacing w:line="280" w:lineRule="exact"/>
    </w:pPr>
    <w:rPr>
      <w:rFonts w:ascii="Calibri" w:eastAsia="Calibri" w:hAnsi="Calibri" w:cs="Calibri"/>
      <w:color w:val="002060"/>
      <w:sz w:val="24"/>
    </w:rPr>
  </w:style>
  <w:style w:type="character" w:customStyle="1" w:styleId="36">
    <w:name w:val="רשימה3 ממה תו"/>
    <w:basedOn w:val="DefaultParagraphFont"/>
    <w:link w:val="35"/>
    <w:rsid w:val="009F04C6"/>
    <w:rPr>
      <w:rFonts w:ascii="Calibri" w:eastAsia="Calibri" w:hAnsi="Calibri" w:cs="Calibri"/>
      <w:color w:val="002060"/>
      <w:sz w:val="24"/>
    </w:rPr>
  </w:style>
  <w:style w:type="paragraph" w:customStyle="1" w:styleId="44">
    <w:name w:val="רשימה4 ממה"/>
    <w:basedOn w:val="Normal"/>
    <w:link w:val="45"/>
    <w:qFormat/>
    <w:rsid w:val="009F04C6"/>
    <w:pPr>
      <w:widowControl w:val="0"/>
      <w:spacing w:line="280" w:lineRule="exact"/>
      <w:ind w:left="2552"/>
    </w:pPr>
    <w:rPr>
      <w:rFonts w:ascii="Calibri" w:eastAsia="Calibri" w:hAnsi="Calibri" w:cs="Calibri"/>
      <w:color w:val="002060"/>
      <w:sz w:val="24"/>
    </w:rPr>
  </w:style>
  <w:style w:type="character" w:customStyle="1" w:styleId="45">
    <w:name w:val="רשימה4 ממה תו"/>
    <w:basedOn w:val="DefaultParagraphFont"/>
    <w:link w:val="44"/>
    <w:rsid w:val="009F04C6"/>
    <w:rPr>
      <w:rFonts w:ascii="Calibri" w:eastAsia="Calibri" w:hAnsi="Calibri" w:cs="Calibri"/>
      <w:color w:val="002060"/>
      <w:sz w:val="24"/>
    </w:rPr>
  </w:style>
  <w:style w:type="paragraph" w:customStyle="1" w:styleId="52">
    <w:name w:val="רשימה5 ממה"/>
    <w:basedOn w:val="Normal"/>
    <w:link w:val="53"/>
    <w:qFormat/>
    <w:rsid w:val="009F04C6"/>
    <w:pPr>
      <w:widowControl w:val="0"/>
      <w:numPr>
        <w:numId w:val="15"/>
      </w:numPr>
      <w:spacing w:line="280" w:lineRule="exact"/>
    </w:pPr>
    <w:rPr>
      <w:rFonts w:ascii="Calibri" w:eastAsia="Calibri" w:hAnsi="Calibri" w:cs="Calibri"/>
      <w:color w:val="002060"/>
      <w:sz w:val="24"/>
    </w:rPr>
  </w:style>
  <w:style w:type="character" w:customStyle="1" w:styleId="53">
    <w:name w:val="רשימה5 ממה תו"/>
    <w:basedOn w:val="DefaultParagraphFont"/>
    <w:link w:val="52"/>
    <w:rsid w:val="009F04C6"/>
    <w:rPr>
      <w:rFonts w:ascii="Calibri" w:eastAsia="Calibri" w:hAnsi="Calibri" w:cs="Calibri"/>
      <w:color w:val="002060"/>
      <w:sz w:val="24"/>
    </w:rPr>
  </w:style>
  <w:style w:type="paragraph" w:customStyle="1" w:styleId="a40">
    <w:name w:val="הערת שוליים ממה"/>
    <w:basedOn w:val="Normal"/>
    <w:link w:val="a41"/>
    <w:qFormat/>
    <w:rsid w:val="009F04C6"/>
    <w:pPr>
      <w:widowControl w:val="0"/>
      <w:spacing w:line="280" w:lineRule="exact"/>
      <w:ind w:left="1985" w:hanging="851"/>
    </w:pPr>
    <w:rPr>
      <w:rFonts w:ascii="Calibri" w:eastAsia="Calibri" w:hAnsi="Calibri" w:cs="Calibri"/>
      <w:color w:val="002060"/>
      <w:sz w:val="24"/>
      <w:szCs w:val="20"/>
    </w:rPr>
  </w:style>
  <w:style w:type="character" w:customStyle="1" w:styleId="a41">
    <w:name w:val="הערת שוליים ממה תו"/>
    <w:basedOn w:val="DefaultParagraphFont"/>
    <w:link w:val="a40"/>
    <w:rsid w:val="009F04C6"/>
    <w:rPr>
      <w:rFonts w:ascii="Calibri" w:eastAsia="Calibri" w:hAnsi="Calibri" w:cs="Calibri"/>
      <w:color w:val="002060"/>
      <w:sz w:val="24"/>
      <w:szCs w:val="20"/>
    </w:rPr>
  </w:style>
  <w:style w:type="paragraph" w:customStyle="1" w:styleId="a42">
    <w:name w:val="הערת סיום ממה"/>
    <w:basedOn w:val="Normal"/>
    <w:link w:val="a43"/>
    <w:qFormat/>
    <w:rsid w:val="009F04C6"/>
    <w:pPr>
      <w:widowControl w:val="0"/>
      <w:spacing w:line="240" w:lineRule="auto"/>
      <w:ind w:left="1134"/>
    </w:pPr>
    <w:rPr>
      <w:rFonts w:ascii="Calibri" w:eastAsia="Calibri" w:hAnsi="Calibri" w:cs="Calibri"/>
      <w:color w:val="002060"/>
      <w:sz w:val="24"/>
      <w:szCs w:val="20"/>
    </w:rPr>
  </w:style>
  <w:style w:type="character" w:customStyle="1" w:styleId="a43">
    <w:name w:val="הערת סיום ממה תו"/>
    <w:basedOn w:val="DefaultParagraphFont"/>
    <w:link w:val="a42"/>
    <w:rsid w:val="009F04C6"/>
    <w:rPr>
      <w:rFonts w:ascii="Calibri" w:eastAsia="Calibri" w:hAnsi="Calibri" w:cs="Calibri"/>
      <w:color w:val="002060"/>
      <w:sz w:val="24"/>
      <w:szCs w:val="20"/>
    </w:rPr>
  </w:style>
  <w:style w:type="paragraph" w:customStyle="1" w:styleId="125">
    <w:name w:val="ליקוי/ממצא חיובי/המלצה1 ממה"/>
    <w:next w:val="Normal"/>
    <w:link w:val="126"/>
    <w:qFormat/>
    <w:rsid w:val="009F04C6"/>
    <w:pPr>
      <w:keepNext/>
      <w:keepLines/>
      <w:widowControl w:val="0"/>
      <w:pBdr>
        <w:bottom w:val="single" w:sz="2" w:space="1" w:color="002060"/>
      </w:pBdr>
      <w:bidi/>
      <w:spacing w:after="0" w:line="280" w:lineRule="exact"/>
      <w:ind w:left="1134"/>
      <w:outlineLvl w:val="8"/>
    </w:pPr>
    <w:rPr>
      <w:rFonts w:ascii="Calibri" w:eastAsia="Calibri" w:hAnsi="Calibri" w:cs="Calibri"/>
      <w:color w:val="002060"/>
      <w:sz w:val="24"/>
    </w:rPr>
  </w:style>
  <w:style w:type="character" w:customStyle="1" w:styleId="126">
    <w:name w:val="ליקוי/ממצא חיובי/המלצה1 ממה תו"/>
    <w:basedOn w:val="DefaultParagraphFont"/>
    <w:link w:val="125"/>
    <w:rsid w:val="009F04C6"/>
    <w:rPr>
      <w:rFonts w:ascii="Calibri" w:eastAsia="Calibri" w:hAnsi="Calibri" w:cs="Calibri"/>
      <w:color w:val="002060"/>
      <w:sz w:val="24"/>
    </w:rPr>
  </w:style>
  <w:style w:type="paragraph" w:customStyle="1" w:styleId="28">
    <w:name w:val="ליקוי/ממצא חיובי/המלצה2 ממה"/>
    <w:basedOn w:val="Normal"/>
    <w:next w:val="Normal"/>
    <w:link w:val="29"/>
    <w:qFormat/>
    <w:rsid w:val="009F04C6"/>
    <w:pPr>
      <w:keepNext/>
      <w:keepLines/>
      <w:widowControl w:val="0"/>
      <w:pBdr>
        <w:bottom w:val="single" w:sz="2" w:space="1" w:color="002060"/>
      </w:pBdr>
      <w:spacing w:line="280" w:lineRule="exact"/>
      <w:ind w:left="1871"/>
      <w:outlineLvl w:val="8"/>
    </w:pPr>
    <w:rPr>
      <w:rFonts w:ascii="Calibri" w:eastAsia="Calibri" w:hAnsi="Calibri" w:cs="Calibri"/>
      <w:color w:val="002060"/>
      <w:sz w:val="24"/>
    </w:rPr>
  </w:style>
  <w:style w:type="character" w:customStyle="1" w:styleId="29">
    <w:name w:val="ליקוי/ממצא חיובי/המלצה2 ממה תו"/>
    <w:basedOn w:val="126"/>
    <w:link w:val="28"/>
    <w:rsid w:val="009F04C6"/>
    <w:rPr>
      <w:rFonts w:ascii="Calibri" w:eastAsia="Calibri" w:hAnsi="Calibri" w:cs="Calibri"/>
      <w:color w:val="002060"/>
      <w:sz w:val="24"/>
    </w:rPr>
  </w:style>
  <w:style w:type="paragraph" w:customStyle="1" w:styleId="37">
    <w:name w:val="ליקוי/ממצא חיובי/המלצה3 ממה"/>
    <w:basedOn w:val="Normal"/>
    <w:link w:val="38"/>
    <w:qFormat/>
    <w:rsid w:val="009F04C6"/>
    <w:pPr>
      <w:keepNext/>
      <w:keepLines/>
      <w:widowControl w:val="0"/>
      <w:pBdr>
        <w:bottom w:val="single" w:sz="4" w:space="1" w:color="002060"/>
      </w:pBdr>
      <w:spacing w:line="280" w:lineRule="exact"/>
      <w:ind w:left="2552"/>
      <w:outlineLvl w:val="8"/>
    </w:pPr>
    <w:rPr>
      <w:rFonts w:ascii="Calibri" w:eastAsia="Calibri" w:hAnsi="Calibri" w:cs="Calibri"/>
      <w:color w:val="002060"/>
      <w:sz w:val="24"/>
    </w:rPr>
  </w:style>
  <w:style w:type="character" w:customStyle="1" w:styleId="38">
    <w:name w:val="ליקוי/ממצא חיובי/המלצה3 ממה תו"/>
    <w:basedOn w:val="DefaultParagraphFont"/>
    <w:link w:val="37"/>
    <w:rsid w:val="009F04C6"/>
    <w:rPr>
      <w:rFonts w:ascii="Calibri" w:eastAsia="Calibri" w:hAnsi="Calibri" w:cs="Calibri"/>
      <w:color w:val="002060"/>
      <w:sz w:val="24"/>
    </w:rPr>
  </w:style>
  <w:style w:type="paragraph" w:customStyle="1" w:styleId="a44">
    <w:name w:val="נבנצאל ממה"/>
    <w:basedOn w:val="Normal"/>
    <w:next w:val="Normal"/>
    <w:link w:val="a45"/>
    <w:uiPriority w:val="99"/>
    <w:qFormat/>
    <w:rsid w:val="009F04C6"/>
    <w:pPr>
      <w:keepNext/>
      <w:spacing w:line="280" w:lineRule="exact"/>
      <w:jc w:val="left"/>
    </w:pPr>
    <w:rPr>
      <w:rFonts w:ascii="Calibri" w:eastAsia="Calibri" w:hAnsi="Calibri" w:cs="Calibri"/>
      <w:color w:val="002060"/>
      <w:szCs w:val="20"/>
    </w:rPr>
  </w:style>
  <w:style w:type="character" w:customStyle="1" w:styleId="a45">
    <w:name w:val="נבנצאל ממה תו"/>
    <w:basedOn w:val="DefaultParagraphFont"/>
    <w:link w:val="a44"/>
    <w:uiPriority w:val="99"/>
    <w:rsid w:val="009F04C6"/>
    <w:rPr>
      <w:rFonts w:ascii="Calibri" w:eastAsia="Calibri" w:hAnsi="Calibri" w:cs="Calibri"/>
      <w:color w:val="002060"/>
      <w:szCs w:val="20"/>
    </w:rPr>
  </w:style>
  <w:style w:type="paragraph" w:customStyle="1" w:styleId="a46">
    <w:name w:val="רגיל ממה"/>
    <w:basedOn w:val="Normal"/>
    <w:link w:val="a47"/>
    <w:qFormat/>
    <w:rsid w:val="009F04C6"/>
    <w:pPr>
      <w:widowControl w:val="0"/>
      <w:spacing w:line="280" w:lineRule="exact"/>
      <w:ind w:left="1134"/>
    </w:pPr>
    <w:rPr>
      <w:rFonts w:ascii="Calibri" w:eastAsia="Calibri" w:hAnsi="Calibri" w:cs="Calibri"/>
      <w:color w:val="002060"/>
      <w:sz w:val="24"/>
    </w:rPr>
  </w:style>
  <w:style w:type="character" w:customStyle="1" w:styleId="a47">
    <w:name w:val="רגיל ממה תו"/>
    <w:basedOn w:val="DefaultParagraphFont"/>
    <w:link w:val="a46"/>
    <w:rsid w:val="009F04C6"/>
    <w:rPr>
      <w:rFonts w:ascii="Calibri" w:eastAsia="Calibri" w:hAnsi="Calibri" w:cs="Calibri"/>
      <w:color w:val="002060"/>
      <w:sz w:val="24"/>
    </w:rPr>
  </w:style>
  <w:style w:type="paragraph" w:customStyle="1" w:styleId="a48">
    <w:name w:val="סיכום ממה"/>
    <w:basedOn w:val="Normal"/>
    <w:next w:val="Normal"/>
    <w:link w:val="a49"/>
    <w:qFormat/>
    <w:rsid w:val="009F04C6"/>
    <w:pPr>
      <w:spacing w:line="276" w:lineRule="auto"/>
      <w:ind w:left="1140"/>
    </w:pPr>
    <w:rPr>
      <w:rFonts w:ascii="Calibri" w:eastAsia="Calibri" w:hAnsi="Calibri" w:cs="Calibri"/>
      <w:b/>
      <w:bCs/>
      <w:color w:val="FFFFFF" w:themeColor="background1"/>
      <w:sz w:val="2"/>
      <w:szCs w:val="2"/>
    </w:rPr>
  </w:style>
  <w:style w:type="character" w:customStyle="1" w:styleId="a49">
    <w:name w:val="סיכום ממה תו"/>
    <w:basedOn w:val="DefaultParagraphFont"/>
    <w:link w:val="a48"/>
    <w:rsid w:val="009F04C6"/>
    <w:rPr>
      <w:rFonts w:ascii="Calibri" w:eastAsia="Calibri" w:hAnsi="Calibri" w:cs="Calibri"/>
      <w:b/>
      <w:bCs/>
      <w:color w:val="FFFFFF" w:themeColor="background1"/>
      <w:sz w:val="2"/>
      <w:szCs w:val="2"/>
    </w:rPr>
  </w:style>
  <w:style w:type="paragraph" w:customStyle="1" w:styleId="a50">
    <w:name w:val="טקסט סיכום ממה"/>
    <w:basedOn w:val="Normal"/>
    <w:next w:val="Normal"/>
    <w:qFormat/>
    <w:rsid w:val="009F04C6"/>
    <w:pPr>
      <w:widowControl w:val="0"/>
      <w:spacing w:after="240" w:line="280" w:lineRule="exact"/>
      <w:ind w:left="1140"/>
    </w:pPr>
    <w:rPr>
      <w:rFonts w:ascii="Calibri" w:eastAsia="Calibri" w:hAnsi="Calibri" w:cs="Calibri"/>
      <w:bCs/>
      <w:color w:val="002060"/>
      <w:sz w:val="24"/>
    </w:rPr>
  </w:style>
  <w:style w:type="paragraph" w:customStyle="1" w:styleId="a51">
    <w:name w:val="סיכום ביניים ממה"/>
    <w:basedOn w:val="Normal"/>
    <w:next w:val="Normal"/>
    <w:qFormat/>
    <w:rsid w:val="009F04C6"/>
    <w:pPr>
      <w:widowControl w:val="0"/>
      <w:spacing w:before="240" w:after="240"/>
      <w:ind w:left="1134"/>
    </w:pPr>
    <w:rPr>
      <w:rFonts w:ascii="Calibri" w:eastAsia="Calibri" w:hAnsi="Calibri" w:cs="Calibri"/>
      <w:noProof/>
      <w:color w:val="002060"/>
      <w:sz w:val="24"/>
    </w:rPr>
  </w:style>
  <w:style w:type="paragraph" w:customStyle="1" w:styleId="a52">
    <w:name w:val="טקסט סיכום ביניים ממה"/>
    <w:basedOn w:val="Normal"/>
    <w:next w:val="Normal"/>
    <w:qFormat/>
    <w:rsid w:val="009F04C6"/>
    <w:pPr>
      <w:widowControl w:val="0"/>
      <w:spacing w:after="240" w:line="280" w:lineRule="exact"/>
      <w:ind w:left="1134"/>
    </w:pPr>
    <w:rPr>
      <w:rFonts w:ascii="Calibri" w:eastAsia="Calibri" w:hAnsi="Calibri" w:cs="Calibri"/>
      <w:bCs/>
      <w:color w:val="002060"/>
      <w:sz w:val="24"/>
    </w:rPr>
  </w:style>
  <w:style w:type="paragraph" w:customStyle="1" w:styleId="a53">
    <w:name w:val="תרשים ממה"/>
    <w:basedOn w:val="Normal"/>
    <w:next w:val="Normal"/>
    <w:link w:val="a54"/>
    <w:qFormat/>
    <w:rsid w:val="009F04C6"/>
    <w:pPr>
      <w:keepNext/>
      <w:keepLines/>
      <w:widowControl w:val="0"/>
      <w:numPr>
        <w:numId w:val="16"/>
      </w:numPr>
      <w:spacing w:line="280" w:lineRule="exact"/>
      <w:jc w:val="center"/>
      <w:outlineLvl w:val="6"/>
    </w:pPr>
    <w:rPr>
      <w:rFonts w:ascii="Calibri" w:eastAsia="Calibri" w:hAnsi="Calibri" w:cs="Calibri"/>
      <w:b/>
      <w:bCs/>
      <w:color w:val="002060"/>
      <w:sz w:val="24"/>
    </w:rPr>
  </w:style>
  <w:style w:type="character" w:customStyle="1" w:styleId="a54">
    <w:name w:val="תרשים ממה תו"/>
    <w:basedOn w:val="DefaultParagraphFont"/>
    <w:link w:val="a53"/>
    <w:rsid w:val="009F04C6"/>
    <w:rPr>
      <w:rFonts w:ascii="Calibri" w:eastAsia="Calibri" w:hAnsi="Calibri" w:cs="Calibri"/>
      <w:b/>
      <w:bCs/>
      <w:color w:val="002060"/>
      <w:sz w:val="24"/>
    </w:rPr>
  </w:style>
  <w:style w:type="paragraph" w:customStyle="1" w:styleId="a55">
    <w:name w:val="תמונה ממה"/>
    <w:basedOn w:val="Normal"/>
    <w:next w:val="Normal"/>
    <w:link w:val="a56"/>
    <w:qFormat/>
    <w:rsid w:val="009F04C6"/>
    <w:pPr>
      <w:keepNext/>
      <w:keepLines/>
      <w:widowControl w:val="0"/>
      <w:numPr>
        <w:numId w:val="17"/>
      </w:numPr>
      <w:spacing w:line="280" w:lineRule="exact"/>
      <w:jc w:val="center"/>
      <w:outlineLvl w:val="6"/>
    </w:pPr>
    <w:rPr>
      <w:rFonts w:ascii="Calibri" w:eastAsia="Calibri" w:hAnsi="Calibri" w:cs="Calibri"/>
      <w:b/>
      <w:bCs/>
      <w:color w:val="002060"/>
      <w:sz w:val="24"/>
    </w:rPr>
  </w:style>
  <w:style w:type="character" w:customStyle="1" w:styleId="a56">
    <w:name w:val="תמונה ממה תו"/>
    <w:basedOn w:val="DefaultParagraphFont"/>
    <w:link w:val="a55"/>
    <w:rsid w:val="009F04C6"/>
    <w:rPr>
      <w:rFonts w:ascii="Calibri" w:eastAsia="Calibri" w:hAnsi="Calibri" w:cs="Calibri"/>
      <w:b/>
      <w:bCs/>
      <w:color w:val="002060"/>
      <w:sz w:val="24"/>
    </w:rPr>
  </w:style>
  <w:style w:type="paragraph" w:customStyle="1" w:styleId="a57">
    <w:name w:val="לוח ממה"/>
    <w:basedOn w:val="Normal"/>
    <w:next w:val="Normal"/>
    <w:link w:val="a58"/>
    <w:qFormat/>
    <w:rsid w:val="009F04C6"/>
    <w:pPr>
      <w:keepNext/>
      <w:keepLines/>
      <w:widowControl w:val="0"/>
      <w:numPr>
        <w:numId w:val="18"/>
      </w:numPr>
      <w:spacing w:line="280" w:lineRule="exact"/>
      <w:jc w:val="center"/>
      <w:outlineLvl w:val="6"/>
    </w:pPr>
    <w:rPr>
      <w:rFonts w:ascii="Calibri" w:eastAsia="Calibri" w:hAnsi="Calibri" w:cs="Calibri"/>
      <w:b/>
      <w:bCs/>
      <w:color w:val="002060"/>
      <w:sz w:val="24"/>
    </w:rPr>
  </w:style>
  <w:style w:type="character" w:customStyle="1" w:styleId="a58">
    <w:name w:val="לוח ממה תו"/>
    <w:basedOn w:val="DefaultParagraphFont"/>
    <w:link w:val="a57"/>
    <w:rsid w:val="009F04C6"/>
    <w:rPr>
      <w:rFonts w:ascii="Calibri" w:eastAsia="Calibri" w:hAnsi="Calibri" w:cs="Calibri"/>
      <w:b/>
      <w:bCs/>
      <w:color w:val="002060"/>
      <w:sz w:val="24"/>
    </w:rPr>
  </w:style>
  <w:style w:type="paragraph" w:customStyle="1" w:styleId="a59">
    <w:name w:val="מפה ממה"/>
    <w:basedOn w:val="Normal"/>
    <w:next w:val="Normal"/>
    <w:link w:val="a60"/>
    <w:qFormat/>
    <w:rsid w:val="009F04C6"/>
    <w:pPr>
      <w:keepNext/>
      <w:keepLines/>
      <w:widowControl w:val="0"/>
      <w:numPr>
        <w:numId w:val="19"/>
      </w:numPr>
      <w:spacing w:line="280" w:lineRule="exact"/>
      <w:jc w:val="center"/>
      <w:outlineLvl w:val="6"/>
    </w:pPr>
    <w:rPr>
      <w:rFonts w:ascii="Calibri" w:eastAsia="Calibri" w:hAnsi="Calibri" w:cs="Calibri"/>
      <w:b/>
      <w:bCs/>
      <w:color w:val="002060"/>
      <w:sz w:val="24"/>
    </w:rPr>
  </w:style>
  <w:style w:type="character" w:customStyle="1" w:styleId="a60">
    <w:name w:val="מפה ממה תו"/>
    <w:basedOn w:val="DefaultParagraphFont"/>
    <w:link w:val="a59"/>
    <w:rsid w:val="009F04C6"/>
    <w:rPr>
      <w:rFonts w:ascii="Calibri" w:eastAsia="Calibri" w:hAnsi="Calibri" w:cs="Calibri"/>
      <w:b/>
      <w:bCs/>
      <w:color w:val="002060"/>
      <w:sz w:val="24"/>
    </w:rPr>
  </w:style>
  <w:style w:type="paragraph" w:customStyle="1" w:styleId="a61">
    <w:name w:val="מקור ממה"/>
    <w:basedOn w:val="Normal"/>
    <w:next w:val="Normal"/>
    <w:qFormat/>
    <w:rsid w:val="009F04C6"/>
    <w:pPr>
      <w:keepNext/>
      <w:keepLines/>
      <w:widowControl w:val="0"/>
      <w:ind w:left="1134"/>
    </w:pPr>
    <w:rPr>
      <w:rFonts w:ascii="Calibri" w:eastAsia="Calibri" w:hAnsi="Calibri" w:cs="Calibri"/>
      <w:color w:val="002060"/>
      <w:szCs w:val="20"/>
    </w:rPr>
  </w:style>
  <w:style w:type="paragraph" w:customStyle="1" w:styleId="a62">
    <w:name w:val="אובייקט ממה"/>
    <w:basedOn w:val="Normal"/>
    <w:next w:val="Normal"/>
    <w:qFormat/>
    <w:rsid w:val="009F04C6"/>
    <w:pPr>
      <w:keepNext/>
      <w:widowControl w:val="0"/>
      <w:spacing w:line="269" w:lineRule="auto"/>
      <w:ind w:left="1134"/>
    </w:pPr>
    <w:rPr>
      <w:rFonts w:ascii="Calibri" w:eastAsia="Calibri" w:hAnsi="Calibri" w:cs="Calibri"/>
      <w:noProof/>
      <w:color w:val="002060"/>
      <w:sz w:val="24"/>
    </w:rPr>
  </w:style>
  <w:style w:type="paragraph" w:customStyle="1" w:styleId="a63">
    <w:name w:val="רכיבי המבוא ממה"/>
    <w:basedOn w:val="Normal"/>
    <w:link w:val="a64"/>
    <w:qFormat/>
    <w:rsid w:val="009F04C6"/>
    <w:pPr>
      <w:pBdr>
        <w:bottom w:val="single" w:sz="8" w:space="1" w:color="F2F2F2"/>
      </w:pBdr>
      <w:spacing w:before="60" w:after="60" w:line="280" w:lineRule="exact"/>
      <w:ind w:left="170" w:right="57"/>
    </w:pPr>
    <w:rPr>
      <w:rFonts w:ascii="Calibri" w:eastAsia="Calibri" w:hAnsi="Calibri" w:cs="Calibri"/>
      <w:color w:val="002060"/>
      <w:szCs w:val="20"/>
    </w:rPr>
  </w:style>
  <w:style w:type="character" w:customStyle="1" w:styleId="a64">
    <w:name w:val="רכיבי המבוא ממה תו"/>
    <w:basedOn w:val="DefaultParagraphFont"/>
    <w:link w:val="a63"/>
    <w:rsid w:val="009F04C6"/>
    <w:rPr>
      <w:rFonts w:ascii="Calibri" w:eastAsia="Calibri" w:hAnsi="Calibri" w:cs="Calibri"/>
      <w:color w:val="002060"/>
      <w:szCs w:val="20"/>
    </w:rPr>
  </w:style>
  <w:style w:type="paragraph" w:customStyle="1" w:styleId="a65">
    <w:name w:val="אייקון במבוא ממה"/>
    <w:basedOn w:val="Normal"/>
    <w:link w:val="a66"/>
    <w:qFormat/>
    <w:rsid w:val="009F04C6"/>
    <w:pPr>
      <w:pBdr>
        <w:bottom w:val="single" w:sz="8" w:space="1" w:color="F2F2F2"/>
      </w:pBdr>
      <w:spacing w:line="240" w:lineRule="auto"/>
      <w:jc w:val="center"/>
    </w:pPr>
    <w:rPr>
      <w:rFonts w:ascii="Calibri" w:eastAsia="Calibri" w:hAnsi="Calibri" w:cs="Calibri"/>
      <w:bCs/>
      <w:color w:val="002060"/>
      <w:sz w:val="24"/>
      <w:szCs w:val="20"/>
    </w:rPr>
  </w:style>
  <w:style w:type="character" w:customStyle="1" w:styleId="a66">
    <w:name w:val="אייקון במבוא ממה תו"/>
    <w:basedOn w:val="DefaultParagraphFont"/>
    <w:link w:val="a65"/>
    <w:rsid w:val="009F04C6"/>
    <w:rPr>
      <w:rFonts w:ascii="Calibri" w:eastAsia="Calibri" w:hAnsi="Calibri" w:cs="Calibri"/>
      <w:bCs/>
      <w:color w:val="002060"/>
      <w:sz w:val="24"/>
      <w:szCs w:val="20"/>
    </w:rPr>
  </w:style>
  <w:style w:type="paragraph" w:customStyle="1" w:styleId="753">
    <w:name w:val="75א מספור הערות שוליים"/>
    <w:basedOn w:val="732"/>
    <w:qFormat/>
    <w:rsid w:val="007F4A1C"/>
  </w:style>
  <w:style w:type="paragraph" w:customStyle="1" w:styleId="759">
    <w:name w:val="75א טקסט רץ 9"/>
    <w:basedOn w:val="a16"/>
    <w:link w:val="759Char"/>
    <w:qFormat/>
    <w:rsid w:val="007F4A1C"/>
    <w:rPr>
      <w:color w:val="0D0D0D" w:themeColor="text1" w:themeTint="F2"/>
      <w:sz w:val="18"/>
    </w:rPr>
  </w:style>
  <w:style w:type="character" w:customStyle="1" w:styleId="759Char">
    <w:name w:val="75א טקסט רץ 9 Char"/>
    <w:basedOn w:val="Char6"/>
    <w:link w:val="759"/>
    <w:rsid w:val="007F4A1C"/>
    <w:rPr>
      <w:rFonts w:ascii="Tahoma" w:hAnsi="Tahoma" w:cs="Tahoma"/>
      <w:color w:val="0D0D0D" w:themeColor="text1" w:themeTint="F2"/>
      <w:sz w:val="18"/>
      <w:szCs w:val="18"/>
    </w:rPr>
  </w:style>
  <w:style w:type="paragraph" w:customStyle="1" w:styleId="752024">
    <w:name w:val="75א כיתוב בתוך טבלת תקציר 2024"/>
    <w:basedOn w:val="20210"/>
    <w:link w:val="752024Char"/>
    <w:qFormat/>
    <w:rsid w:val="00A541A4"/>
  </w:style>
  <w:style w:type="character" w:customStyle="1" w:styleId="752024Char">
    <w:name w:val="75א כיתוב בתוך טבלת תקציר 2024 Char"/>
    <w:basedOn w:val="2021Char0"/>
    <w:link w:val="752024"/>
    <w:rsid w:val="00A541A4"/>
    <w:rPr>
      <w:rFonts w:ascii="Tahoma" w:hAnsi="Tahoma" w:eastAsiaTheme="minorEastAsia" w:cs="Tahoma"/>
      <w:color w:val="0D0D0D" w:themeColor="text1" w:themeTint="F2"/>
      <w:w w:val="90"/>
      <w:sz w:val="18"/>
      <w:szCs w:val="18"/>
    </w:rPr>
  </w:style>
  <w:style w:type="paragraph" w:customStyle="1" w:styleId="754">
    <w:name w:val="75א הזחה שנייה עם בולטס"/>
    <w:basedOn w:val="738"/>
    <w:qFormat/>
    <w:rsid w:val="00E63F2C"/>
    <w:pPr>
      <w:numPr>
        <w:numId w:val="20"/>
      </w:numPr>
      <w:ind w:left="754" w:hanging="357"/>
    </w:pPr>
  </w:style>
  <w:style w:type="paragraph" w:customStyle="1" w:styleId="755">
    <w:name w:val="75א הזחה ראשונה ללא מספר"/>
    <w:basedOn w:val="738"/>
    <w:qFormat/>
    <w:rsid w:val="00487083"/>
    <w:pPr>
      <w:ind w:left="397"/>
    </w:pPr>
  </w:style>
  <w:style w:type="paragraph" w:customStyle="1" w:styleId="714">
    <w:name w:val="71ג הזחה ראשונה ללא מספר"/>
    <w:basedOn w:val="Normal"/>
    <w:qFormat/>
    <w:rsid w:val="00487083"/>
    <w:pPr>
      <w:spacing w:after="180" w:line="260" w:lineRule="exact"/>
      <w:ind w:left="397"/>
    </w:pPr>
    <w:rPr>
      <w:rFonts w:ascii="Tahoma" w:hAnsi="Tahoma" w:cs="Tahoma"/>
      <w:color w:val="0D0D0D" w:themeColor="text1" w:themeTint="F2"/>
      <w:sz w:val="18"/>
      <w:szCs w:val="18"/>
    </w:rPr>
  </w:style>
  <w:style w:type="paragraph" w:customStyle="1" w:styleId="75R">
    <w:name w:val="75א  טבלה טקסט R"/>
    <w:basedOn w:val="Normal"/>
    <w:qFormat/>
    <w:rsid w:val="00BA7B4B"/>
    <w:pPr>
      <w:spacing w:before="120" w:after="120" w:line="240" w:lineRule="exact"/>
      <w:jc w:val="left"/>
    </w:pPr>
    <w:rPr>
      <w:rFonts w:ascii="Tahoma" w:hAnsi="Tahoma" w:eastAsiaTheme="minorEastAsia" w:cs="Tahoma"/>
      <w:color w:val="000000" w:themeColor="text1"/>
      <w:sz w:val="16"/>
      <w:szCs w:val="16"/>
    </w:rPr>
  </w:style>
  <w:style w:type="paragraph" w:customStyle="1" w:styleId="756">
    <w:name w:val="75א סיכום"/>
    <w:basedOn w:val="75"/>
    <w:qFormat/>
    <w:rsid w:val="001D6BF7"/>
  </w:style>
  <w:style w:type="paragraph" w:customStyle="1" w:styleId="75-">
    <w:name w:val="75א - הזחת בולטס"/>
    <w:basedOn w:val="754"/>
    <w:qFormat/>
    <w:rsid w:val="00E63F2C"/>
  </w:style>
  <w:style w:type="table" w:customStyle="1" w:styleId="39">
    <w:name w:val="רשת טבלה3"/>
    <w:basedOn w:val="TableNormal"/>
    <w:next w:val="TableGrid"/>
    <w:uiPriority w:val="59"/>
    <w:rsid w:val="00BB7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57">
    <w:name w:val="75א הזחת בולטס כחול"/>
    <w:basedOn w:val="75-"/>
    <w:qFormat/>
    <w:rsid w:val="00974614"/>
    <w:pPr>
      <w:ind w:left="927"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header" Target="header3.xml" /><Relationship Id="rId16" Type="http://schemas.openxmlformats.org/officeDocument/2006/relationships/image" Target="media/image5.jpeg" /><Relationship Id="rId17" Type="http://schemas.openxmlformats.org/officeDocument/2006/relationships/header" Target="header4.xml" /><Relationship Id="rId18" Type="http://schemas.openxmlformats.org/officeDocument/2006/relationships/footer" Target="footer2.xml" /><Relationship Id="rId19" Type="http://schemas.openxmlformats.org/officeDocument/2006/relationships/image" Target="media/image6.jpeg" /><Relationship Id="rId2" Type="http://schemas.openxmlformats.org/officeDocument/2006/relationships/endnotes" Target="endnotes.xml" /><Relationship Id="rId20" Type="http://schemas.openxmlformats.org/officeDocument/2006/relationships/image" Target="media/image7.jpeg" /><Relationship Id="rId21" Type="http://schemas.openxmlformats.org/officeDocument/2006/relationships/image" Target="media/image8.jpeg" /><Relationship Id="rId22" Type="http://schemas.openxmlformats.org/officeDocument/2006/relationships/image" Target="media/image9.jpeg" /><Relationship Id="rId23" Type="http://schemas.openxmlformats.org/officeDocument/2006/relationships/image" Target="media/image10.jpeg" /><Relationship Id="rId24" Type="http://schemas.openxmlformats.org/officeDocument/2006/relationships/image" Target="media/image11.jpeg" /><Relationship Id="rId25" Type="http://schemas.openxmlformats.org/officeDocument/2006/relationships/image" Target="media/image12.jpeg" /><Relationship Id="rId26" Type="http://schemas.openxmlformats.org/officeDocument/2006/relationships/image" Target="media/image13.jpeg" /><Relationship Id="rId27" Type="http://schemas.openxmlformats.org/officeDocument/2006/relationships/image" Target="media/image14.jpeg" /><Relationship Id="rId28" Type="http://schemas.openxmlformats.org/officeDocument/2006/relationships/image" Target="media/image15.jpeg" /><Relationship Id="rId29" Type="http://schemas.openxmlformats.org/officeDocument/2006/relationships/image" Target="media/image16.jpeg" /><Relationship Id="rId3" Type="http://schemas.openxmlformats.org/officeDocument/2006/relationships/settings" Target="settings.xml" /><Relationship Id="rId30" Type="http://schemas.openxmlformats.org/officeDocument/2006/relationships/image" Target="media/image17.jpeg" /><Relationship Id="rId31" Type="http://schemas.openxmlformats.org/officeDocument/2006/relationships/header" Target="header5.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4.jpeg" /></Relationships>
</file>

<file path=word/_rels/header3.xml.rels><?xml version="1.0" encoding="utf-8" standalone="yes"?><Relationships xmlns="http://schemas.openxmlformats.org/package/2006/relationships"><Relationship Id="rId1" Type="http://schemas.openxmlformats.org/officeDocument/2006/relationships/image" Target="media/image3.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4.jpeg" /></Relationships>
</file>

<file path=word/theme/_rels/theme1.xml.rels><?xml version="1.0" encoding="utf-8" standalone="yes"?><Relationships xmlns="http://schemas.openxmlformats.org/package/2006/relationships"><Relationship Id="rId1" Type="http://schemas.openxmlformats.org/officeDocument/2006/relationships/image" Target="../media/image18.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2.xml><?xml version="1.0" encoding="utf-8"?>
<ds:datastoreItem xmlns:ds="http://schemas.openxmlformats.org/officeDocument/2006/customXml" ds:itemID="{84A332FA-9A0F-40E8-880E-A135C410482A}"/>
</file>

<file path=customXml/itemProps3.xml><?xml version="1.0" encoding="utf-8"?>
<ds:datastoreItem xmlns:ds="http://schemas.openxmlformats.org/officeDocument/2006/customXml" ds:itemID="{981BCB5C-4941-496E-9A8E-88C5F79007C9}">
  <ds:schemaRefs>
    <ds:schemaRef ds:uri="http://schemas.openxmlformats.org/officeDocument/2006/bibliography"/>
  </ds:schemaRefs>
</ds:datastoreItem>
</file>

<file path=customXml/itemProps4.xml><?xml version="1.0" encoding="utf-8"?>
<ds:datastoreItem xmlns:ds="http://schemas.openxmlformats.org/officeDocument/2006/customXml" ds:itemID="{F7603606-5E1C-4A20-A662-7530344C0C79}">
  <ds:schemaRefs>
    <ds:schemaRef ds:uri="http://www.w3.org/XML/1998/namespace"/>
    <ds:schemaRef ds:uri="http://schemas.microsoft.com/office/infopath/2007/PartnerControls"/>
    <ds:schemaRef ds:uri="http://purl.org/dc/terms/"/>
    <ds:schemaRef ds:uri="http://purl.org/dc/elements/1.1/"/>
    <ds:schemaRef ds:uri="http://purl.org/dc/dcmitype/"/>
    <ds:schemaRef ds:uri="http://schemas.microsoft.com/sharepoint/v3"/>
    <ds:schemaRef ds:uri="http://schemas.microsoft.com/office/2006/metadata/properties"/>
    <ds:schemaRef ds:uri="http://schemas.microsoft.com/office/2006/documentManagement/typ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4859</Words>
  <Characters>27699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שושנה שחר שחר</cp:lastModifiedBy>
  <cp:revision>11</cp:revision>
  <cp:lastPrinted>2024-07-10T06:05:00Z</cp:lastPrinted>
  <dcterms:created xsi:type="dcterms:W3CDTF">2024-07-09T20:38:00Z</dcterms:created>
  <dcterms:modified xsi:type="dcterms:W3CDTF">2024-07-10T13:31:00Z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