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1.xml" ContentType="application/xml"/>
  <Override PartName="/customXml/item2.xml" ContentType="application/xml"/>
  <Override PartName="/customXml/item3.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ackground w:color="ffffff">
    <v:background id="_x0000_s1025" filled="t"/>
  </w:background>
  <w:body>
    <w:p w:rsidR="008B2E28" w:rsidP="001F3363" w14:paraId="77BCECBB" w14:textId="51892374">
      <w:pPr>
        <w:rPr>
          <w:rtl/>
        </w:rPr>
      </w:pPr>
      <w:r>
        <w:rPr>
          <w:noProof/>
        </w:rPr>
        <mc:AlternateContent>
          <mc:Choice Requires="wps">
            <w:drawing>
              <wp:anchor distT="0" distB="0" distL="114300" distR="114300" simplePos="0" relativeHeight="251671552"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3904"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D2BB18" w14:textId="3C856FC3">
      <w:pPr>
        <w:rPr>
          <w:rtl/>
        </w:rPr>
      </w:pPr>
    </w:p>
    <w:p w:rsidR="008B2E28" w:rsidP="008D2388" w14:paraId="2060569F" w14:textId="56F8F81F">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2AE7CF81" w14:textId="1E5C22D5">
      <w:pPr>
        <w:spacing w:line="240" w:lineRule="atLeast"/>
        <w:jc w:val="center"/>
        <w:rPr>
          <w:rFonts w:ascii="Tahoma" w:hAnsi="Tahoma" w:cs="Tahoma"/>
          <w:sz w:val="22"/>
          <w:szCs w:val="22"/>
          <w:rtl/>
        </w:rPr>
      </w:pPr>
    </w:p>
    <w:p w:rsidR="008B2E28" w:rsidP="008D2388" w14:paraId="1A10551E" w14:textId="7519C86C">
      <w:pPr>
        <w:spacing w:line="240" w:lineRule="atLeast"/>
        <w:jc w:val="center"/>
        <w:rPr>
          <w:rFonts w:ascii="Tahoma" w:hAnsi="Tahoma" w:cs="Tahoma"/>
          <w:sz w:val="22"/>
          <w:szCs w:val="22"/>
          <w:rtl/>
        </w:rPr>
      </w:pPr>
    </w:p>
    <w:p w:rsidR="003C32FE" w:rsidRPr="00170230" w:rsidP="003C32FE" w14:paraId="7F9E1DC9" w14:textId="73EE0E1D">
      <w:pPr>
        <w:spacing w:line="240" w:lineRule="atLeast"/>
        <w:jc w:val="center"/>
        <w:rPr>
          <w:rFonts w:ascii="Tahoma" w:hAnsi="Tahoma" w:cs="Tahoma"/>
          <w:szCs w:val="18"/>
          <w:rtl/>
        </w:rPr>
      </w:pPr>
    </w:p>
    <w:p w:rsidR="003C32FE" w:rsidP="003C32FE" w14:paraId="6FE9A991" w14:textId="5EA4D4B1">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5408" behindDoc="0" locked="0" layoutInCell="1" allowOverlap="1">
                <wp:simplePos x="0" y="0"/>
                <wp:positionH relativeFrom="column">
                  <wp:posOffset>3052776</wp:posOffset>
                </wp:positionH>
                <wp:positionV relativeFrom="paragraph">
                  <wp:posOffset>258445</wp:posOffset>
                </wp:positionV>
                <wp:extent cx="0" cy="2813050"/>
                <wp:effectExtent l="19050" t="0" r="38100" b="4445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281305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6432" from="240.4pt,20.35pt" to="240.4pt,241.85pt" strokecolor="white" strokeweight="4pt"/>
            </w:pict>
          </mc:Fallback>
        </mc:AlternateContent>
      </w:r>
      <w:r w:rsidRPr="0030415A" w:rsidR="006C5E1D">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-525780</wp:posOffset>
                </wp:positionH>
                <wp:positionV relativeFrom="paragraph">
                  <wp:posOffset>332105</wp:posOffset>
                </wp:positionV>
                <wp:extent cx="4994275" cy="4273550"/>
                <wp:effectExtent l="0" t="0" r="0" b="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99427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1370CF" w:rsidRPr="0052031E" w:rsidP="001370CF" w14:textId="626A98FF">
                            <w:pPr>
                              <w:pStyle w:val="a26"/>
                              <w:bidi/>
                              <w:rPr>
                                <w:rtl/>
                              </w:rPr>
                            </w:pPr>
                            <w:r>
                              <w:rPr>
                                <w:rFonts w:hint="cs"/>
                                <w:rtl/>
                              </w:rPr>
                              <w:t xml:space="preserve">מבקר המדינה | </w:t>
                            </w:r>
                            <w:r>
                              <w:rPr>
                                <w:rFonts w:hint="cs"/>
                                <w:rtl/>
                              </w:rPr>
                              <w:t xml:space="preserve">דוח </w:t>
                            </w:r>
                            <w:r w:rsidR="009560EE">
                              <w:rPr>
                                <w:rFonts w:hint="cs"/>
                                <w:rtl/>
                              </w:rPr>
                              <w:t>על הביקורת ב</w:t>
                            </w:r>
                            <w:r w:rsidR="00B54001">
                              <w:rPr>
                                <w:rFonts w:hint="cs"/>
                                <w:rtl/>
                              </w:rPr>
                              <w:t xml:space="preserve">שלטון </w:t>
                            </w:r>
                            <w:r w:rsidR="009560EE">
                              <w:rPr>
                                <w:rFonts w:hint="cs"/>
                                <w:rtl/>
                              </w:rPr>
                              <w:t>ה</w:t>
                            </w:r>
                            <w:r w:rsidR="00B54001">
                              <w:rPr>
                                <w:rFonts w:hint="cs"/>
                                <w:rtl/>
                              </w:rPr>
                              <w:t xml:space="preserve">מקומי </w:t>
                            </w:r>
                            <w:r w:rsidRPr="0052031E">
                              <w:rPr>
                                <w:rtl/>
                              </w:rPr>
                              <w:t>|</w:t>
                            </w:r>
                            <w:r>
                              <w:rPr>
                                <w:rFonts w:hint="cs"/>
                                <w:rtl/>
                              </w:rPr>
                              <w:t xml:space="preserve"> </w:t>
                            </w:r>
                            <w:r w:rsidRPr="00AF3B73">
                              <w:rPr>
                                <w:rtl/>
                              </w:rPr>
                              <w:t>התשפ"ד</w:t>
                            </w:r>
                            <w:r>
                              <w:rPr>
                                <w:rFonts w:hint="cs"/>
                                <w:rtl/>
                              </w:rPr>
                              <w:t>-</w:t>
                            </w:r>
                            <w:r>
                              <w:rPr>
                                <w:rFonts w:hint="cs"/>
                                <w:rtl/>
                              </w:rPr>
                              <w:t>2024</w:t>
                            </w:r>
                          </w:p>
                          <w:p w:rsidR="008A71D4" w:rsidRPr="0052031E" w:rsidP="008A71D4" w14:textId="0C20DA9A">
                            <w:pPr>
                              <w:pStyle w:val="a26"/>
                              <w:bidi/>
                              <w:rPr>
                                <w:rtl/>
                              </w:rPr>
                            </w:pPr>
                          </w:p>
                          <w:p w:rsidR="00F73EE0" w:rsidP="0052031E" w14:textId="77777777">
                            <w:pPr>
                              <w:ind w:left="2268"/>
                              <w:rPr>
                                <w:rtl/>
                              </w:rPr>
                            </w:pPr>
                          </w:p>
                          <w:p w:rsidR="005D0F8C" w:rsidRPr="000A3ED4" w:rsidP="000F5023" w14:textId="551925CE">
                            <w:pPr>
                              <w:pStyle w:val="-1"/>
                              <w:rPr>
                                <w:rtl/>
                              </w:rPr>
                            </w:pPr>
                            <w:r>
                              <w:rPr>
                                <w:rFonts w:hint="cs"/>
                                <w:rtl/>
                              </w:rPr>
                              <w:t>המרחב העירוני</w:t>
                            </w:r>
                          </w:p>
                          <w:p w:rsidR="00F73EE0" w:rsidRPr="000F5023" w:rsidP="0072357A" w14:textId="7EC26DA9">
                            <w:pPr>
                              <w:pStyle w:val="a25"/>
                              <w:bidi/>
                              <w:spacing w:before="120"/>
                              <w:rPr>
                                <w:rtl/>
                              </w:rPr>
                            </w:pPr>
                            <w:r w:rsidRPr="006A5F7C">
                              <w:rPr>
                                <w:rtl/>
                              </w:rPr>
                              <w:t xml:space="preserve">גבייה של היטלי </w:t>
                            </w:r>
                            <w:r w:rsidR="006C5E1D">
                              <w:rPr>
                                <w:rFonts w:hint="cs"/>
                                <w:rtl/>
                              </w:rPr>
                              <w:t xml:space="preserve"> </w:t>
                            </w:r>
                            <w:r w:rsidRPr="006A5F7C">
                              <w:rPr>
                                <w:rtl/>
                              </w:rPr>
                              <w:t>השבחה והשימוש בהם</w:t>
                            </w:r>
                            <w:r w:rsidR="00C24294">
                              <w:rPr>
                                <w:rFonts w:hint="cs"/>
                                <w:rtl/>
                              </w:rPr>
                              <w:t xml:space="preserve"> </w:t>
                            </w:r>
                          </w:p>
                          <w:p w:rsidR="00C30482" w:rsidRPr="000F5023" w:rsidP="000F5023" w14:textId="66C24F23">
                            <w:pPr>
                              <w:pStyle w:val="a25"/>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alt="&quot;&quot;" style="width:393.25pt;height:336.5pt;margin-top:26.15pt;margin-left:-41.4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1BD45611" w14:textId="77777777">
                      <w:pPr>
                        <w:ind w:left="2268"/>
                        <w:rPr>
                          <w:rFonts w:ascii="Tahoma" w:hAnsi="Tahoma" w:cs="Tahoma"/>
                          <w:sz w:val="18"/>
                          <w:szCs w:val="18"/>
                          <w:rtl/>
                        </w:rPr>
                      </w:pPr>
                    </w:p>
                    <w:p w:rsidR="00F73EE0" w:rsidP="0052031E" w14:paraId="3BF6855F" w14:textId="77777777">
                      <w:pPr>
                        <w:ind w:left="2268"/>
                        <w:rPr>
                          <w:rFonts w:ascii="Tahoma" w:hAnsi="Tahoma" w:cs="Tahoma"/>
                          <w:sz w:val="18"/>
                          <w:szCs w:val="18"/>
                          <w:rtl/>
                        </w:rPr>
                      </w:pPr>
                    </w:p>
                    <w:p w:rsidR="001370CF" w:rsidRPr="0052031E" w:rsidP="001370CF" w14:paraId="636F0CD3" w14:textId="626A98FF">
                      <w:pPr>
                        <w:pStyle w:val="a26"/>
                        <w:bidi/>
                        <w:rPr>
                          <w:rtl/>
                        </w:rPr>
                      </w:pPr>
                      <w:r>
                        <w:rPr>
                          <w:rFonts w:hint="cs"/>
                          <w:rtl/>
                        </w:rPr>
                        <w:t xml:space="preserve">מבקר המדינה | </w:t>
                      </w:r>
                      <w:r>
                        <w:rPr>
                          <w:rFonts w:hint="cs"/>
                          <w:rtl/>
                        </w:rPr>
                        <w:t xml:space="preserve">דוח </w:t>
                      </w:r>
                      <w:r w:rsidR="009560EE">
                        <w:rPr>
                          <w:rFonts w:hint="cs"/>
                          <w:rtl/>
                        </w:rPr>
                        <w:t>על הביקורת ב</w:t>
                      </w:r>
                      <w:r w:rsidR="00B54001">
                        <w:rPr>
                          <w:rFonts w:hint="cs"/>
                          <w:rtl/>
                        </w:rPr>
                        <w:t xml:space="preserve">שלטון </w:t>
                      </w:r>
                      <w:r w:rsidR="009560EE">
                        <w:rPr>
                          <w:rFonts w:hint="cs"/>
                          <w:rtl/>
                        </w:rPr>
                        <w:t>ה</w:t>
                      </w:r>
                      <w:r w:rsidR="00B54001">
                        <w:rPr>
                          <w:rFonts w:hint="cs"/>
                          <w:rtl/>
                        </w:rPr>
                        <w:t xml:space="preserve">מקומי </w:t>
                      </w:r>
                      <w:r w:rsidRPr="0052031E">
                        <w:rPr>
                          <w:rtl/>
                        </w:rPr>
                        <w:t>|</w:t>
                      </w:r>
                      <w:r>
                        <w:rPr>
                          <w:rFonts w:hint="cs"/>
                          <w:rtl/>
                        </w:rPr>
                        <w:t xml:space="preserve"> </w:t>
                      </w:r>
                      <w:r w:rsidRPr="00AF3B73">
                        <w:rPr>
                          <w:rtl/>
                        </w:rPr>
                        <w:t>התשפ"ד</w:t>
                      </w:r>
                      <w:r>
                        <w:rPr>
                          <w:rFonts w:hint="cs"/>
                          <w:rtl/>
                        </w:rPr>
                        <w:t>-</w:t>
                      </w:r>
                      <w:r>
                        <w:rPr>
                          <w:rFonts w:hint="cs"/>
                          <w:rtl/>
                        </w:rPr>
                        <w:t>2024</w:t>
                      </w:r>
                    </w:p>
                    <w:p w:rsidR="008A71D4" w:rsidRPr="0052031E" w:rsidP="008A71D4" w14:paraId="7B675404" w14:textId="0C20DA9A">
                      <w:pPr>
                        <w:pStyle w:val="a26"/>
                        <w:bidi/>
                        <w:rPr>
                          <w:rtl/>
                        </w:rPr>
                      </w:pPr>
                    </w:p>
                    <w:p w:rsidR="00F73EE0" w:rsidP="0052031E" w14:paraId="460F1ABC" w14:textId="77777777">
                      <w:pPr>
                        <w:ind w:left="2268"/>
                        <w:rPr>
                          <w:rtl/>
                        </w:rPr>
                      </w:pPr>
                    </w:p>
                    <w:p w:rsidR="005D0F8C" w:rsidRPr="000A3ED4" w:rsidP="000F5023" w14:paraId="547BD7F9" w14:textId="551925CE">
                      <w:pPr>
                        <w:pStyle w:val="-1"/>
                        <w:rPr>
                          <w:rtl/>
                        </w:rPr>
                      </w:pPr>
                      <w:r>
                        <w:rPr>
                          <w:rFonts w:hint="cs"/>
                          <w:rtl/>
                        </w:rPr>
                        <w:t>המרחב העירוני</w:t>
                      </w:r>
                    </w:p>
                    <w:p w:rsidR="00F73EE0" w:rsidRPr="000F5023" w:rsidP="0072357A" w14:paraId="2E194D77" w14:textId="7EC26DA9">
                      <w:pPr>
                        <w:pStyle w:val="a25"/>
                        <w:bidi/>
                        <w:spacing w:before="120"/>
                        <w:rPr>
                          <w:rtl/>
                        </w:rPr>
                      </w:pPr>
                      <w:r w:rsidRPr="006A5F7C">
                        <w:rPr>
                          <w:rtl/>
                        </w:rPr>
                        <w:t xml:space="preserve">גבייה של היטלי </w:t>
                      </w:r>
                      <w:r w:rsidR="006C5E1D">
                        <w:rPr>
                          <w:rFonts w:hint="cs"/>
                          <w:rtl/>
                        </w:rPr>
                        <w:t xml:space="preserve"> </w:t>
                      </w:r>
                      <w:r w:rsidRPr="006A5F7C">
                        <w:rPr>
                          <w:rtl/>
                        </w:rPr>
                        <w:t>השבחה והשימוש בהם</w:t>
                      </w:r>
                      <w:r w:rsidR="00C24294">
                        <w:rPr>
                          <w:rFonts w:hint="cs"/>
                          <w:rtl/>
                        </w:rPr>
                        <w:t xml:space="preserve"> </w:t>
                      </w:r>
                    </w:p>
                    <w:p w:rsidR="00C30482" w:rsidRPr="000F5023" w:rsidP="000F5023" w14:paraId="1BBD9830" w14:textId="66C24F23">
                      <w:pPr>
                        <w:pStyle w:val="a25"/>
                        <w:bidi/>
                        <w:rPr>
                          <w:rtl/>
                        </w:rPr>
                      </w:pPr>
                    </w:p>
                  </w:txbxContent>
                </v:textbox>
                <w10:wrap type="square"/>
              </v:shape>
            </w:pict>
          </mc:Fallback>
        </mc:AlternateContent>
      </w:r>
      <w:r w:rsidR="00FA1FC6">
        <w:rPr>
          <w:noProof/>
        </w:rPr>
        <w:drawing>
          <wp:anchor distT="0" distB="0" distL="114300" distR="114300" simplePos="0" relativeHeight="251707392" behindDoc="0" locked="0" layoutInCell="1" allowOverlap="1">
            <wp:simplePos x="0" y="0"/>
            <wp:positionH relativeFrom="column">
              <wp:posOffset>3258820</wp:posOffset>
            </wp:positionH>
            <wp:positionV relativeFrom="paragraph">
              <wp:posOffset>488315</wp:posOffset>
            </wp:positionV>
            <wp:extent cx="948055" cy="617855"/>
            <wp:effectExtent l="0" t="0" r="4445"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948055" cy="617855"/>
                    </a:xfrm>
                    <a:prstGeom prst="rect">
                      <a:avLst/>
                    </a:prstGeom>
                  </pic:spPr>
                </pic:pic>
              </a:graphicData>
            </a:graphic>
            <wp14:sizeRelH relativeFrom="margin">
              <wp14:pctWidth>0</wp14:pctWidth>
            </wp14:sizeRelH>
            <wp14:sizeRelV relativeFrom="margin">
              <wp14:pctHeight>0</wp14:pctHeight>
            </wp14:sizeRelV>
          </wp:anchor>
        </w:drawing>
      </w:r>
      <w:r w:rsidR="009560EE">
        <w:rPr>
          <w:rFonts w:ascii="Tahoma" w:hAnsi="Tahoma" w:cs="Tahoma"/>
          <w:noProof/>
          <w:sz w:val="22"/>
          <w:szCs w:val="22"/>
          <w:rtl/>
          <w:lang w:val="he-IL"/>
        </w:rPr>
        <mc:AlternateContent>
          <mc:Choice Requires="wps">
            <w:drawing>
              <wp:anchor distT="0" distB="0" distL="114300" distR="114300" simplePos="0" relativeHeight="251667456" behindDoc="0" locked="0" layoutInCell="1" allowOverlap="1">
                <wp:simplePos x="0" y="0"/>
                <wp:positionH relativeFrom="column">
                  <wp:posOffset>-138430</wp:posOffset>
                </wp:positionH>
                <wp:positionV relativeFrom="paragraph">
                  <wp:posOffset>1845945</wp:posOffset>
                </wp:positionV>
                <wp:extent cx="3082290" cy="0"/>
                <wp:effectExtent l="0" t="0" r="0" b="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308229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1" style="flip:x;mso-height-percent:0;mso-height-relative:margin;mso-width-percent:0;mso-width-relative:margin;mso-wrap-distance-bottom:0;mso-wrap-distance-left:9pt;mso-wrap-distance-right:9pt;mso-wrap-distance-top:0;mso-wrap-style:square;position:absolute;visibility:visible;z-index:251668480" from="-10.9pt,145.35pt" to="231.8pt,145.35pt" strokecolor="white" strokeweight="1.5pt"/>
            </w:pict>
          </mc:Fallback>
        </mc:AlternateContent>
      </w:r>
    </w:p>
    <w:p w:rsidR="003C32FE" w:rsidP="003C32FE" w14:paraId="721B2220" w14:textId="77777777">
      <w:pPr>
        <w:spacing w:line="240" w:lineRule="atLeast"/>
        <w:jc w:val="center"/>
        <w:rPr>
          <w:rFonts w:ascii="Tahoma" w:hAnsi="Tahoma" w:cs="Tahoma"/>
          <w:sz w:val="22"/>
          <w:szCs w:val="22"/>
          <w:rtl/>
        </w:rPr>
      </w:pPr>
    </w:p>
    <w:p w:rsidR="00E35DF9" w:rsidRPr="00406E80" w:rsidP="008D2388" w14:paraId="15F9089C" w14:textId="77777777">
      <w:pPr>
        <w:spacing w:line="240" w:lineRule="atLeast"/>
        <w:jc w:val="center"/>
        <w:rPr>
          <w:rFonts w:ascii="Tahoma" w:hAnsi="Tahoma" w:cs="Tahoma"/>
          <w:color w:val="C6D9F1"/>
          <w:sz w:val="22"/>
          <w:szCs w:val="22"/>
          <w:rtl/>
        </w:rPr>
      </w:pPr>
    </w:p>
    <w:p w:rsidR="008C0B8B" w:rsidP="008D2388" w14:paraId="0DCBFA34" w14:textId="77777777">
      <w:pPr>
        <w:spacing w:line="240" w:lineRule="atLeast"/>
        <w:jc w:val="center"/>
        <w:rPr>
          <w:rFonts w:ascii="Tahoma" w:hAnsi="Tahoma" w:cs="Tahoma"/>
          <w:sz w:val="22"/>
          <w:szCs w:val="22"/>
          <w:rtl/>
        </w:rPr>
      </w:pPr>
    </w:p>
    <w:p w:rsidR="008C0B8B" w:rsidP="008D2388" w14:paraId="654A52D6" w14:textId="77777777">
      <w:pPr>
        <w:spacing w:line="240" w:lineRule="atLeast"/>
        <w:jc w:val="center"/>
        <w:rPr>
          <w:rFonts w:ascii="Tahoma" w:hAnsi="Tahoma" w:cs="Tahoma"/>
          <w:sz w:val="22"/>
          <w:szCs w:val="22"/>
          <w:rtl/>
        </w:rPr>
      </w:pPr>
    </w:p>
    <w:p w:rsidR="00E35DF9" w:rsidP="008D2388" w14:paraId="6F58D38D" w14:textId="77777777">
      <w:pPr>
        <w:spacing w:line="240" w:lineRule="atLeast"/>
        <w:jc w:val="center"/>
        <w:rPr>
          <w:rFonts w:ascii="Tahoma" w:hAnsi="Tahoma" w:cs="Tahoma"/>
          <w:sz w:val="22"/>
          <w:szCs w:val="22"/>
          <w:rtl/>
        </w:rPr>
      </w:pPr>
    </w:p>
    <w:p w:rsidR="00035688" w:rsidP="008D2388" w14:paraId="3DB8B312" w14:textId="77777777">
      <w:pPr>
        <w:spacing w:line="240" w:lineRule="atLeast"/>
        <w:jc w:val="center"/>
        <w:rPr>
          <w:rFonts w:ascii="Tahoma" w:hAnsi="Tahoma" w:cs="Tahoma"/>
          <w:sz w:val="22"/>
          <w:szCs w:val="22"/>
          <w:rtl/>
        </w:rPr>
        <w:sectPr w:rsidSect="002970CC">
          <w:headerReference w:type="even" r:id="rId12"/>
          <w:headerReference w:type="default" r:id="rId13"/>
          <w:footerReference w:type="default" r:id="rId14"/>
          <w:pgSz w:w="11906" w:h="16838" w:code="9"/>
          <w:pgMar w:top="3062" w:right="2268" w:bottom="2552" w:left="2268" w:header="1134" w:footer="1361" w:gutter="0"/>
          <w:cols w:space="720"/>
          <w:titlePg/>
          <w:bidi/>
          <w:rtlGutter/>
          <w:docGrid w:linePitch="272"/>
        </w:sectPr>
      </w:pPr>
    </w:p>
    <w:p w:rsidR="00BF5BF6" w:rsidP="000E64A1" w14:paraId="71BA9446" w14:textId="77777777">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9504"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0528" fillcolor="white" stroked="f" strokeweight="1.25pt"/>
            </w:pict>
          </mc:Fallback>
        </mc:AlternateContent>
      </w:r>
    </w:p>
    <w:p w:rsidR="000E64A1" w:rsidP="000E64A1" w14:paraId="1DD7405C" w14:textId="77777777">
      <w:pPr>
        <w:jc w:val="left"/>
        <w:rPr>
          <w:rFonts w:ascii="Tahoma" w:hAnsi="Tahoma" w:cs="Tahoma"/>
          <w:sz w:val="22"/>
          <w:szCs w:val="22"/>
          <w:rtl/>
        </w:rPr>
        <w:sectPr w:rsidSect="00DA022A">
          <w:headerReference w:type="even" r:id="rId15"/>
          <w:pgSz w:w="11906" w:h="16838" w:code="9"/>
          <w:pgMar w:top="3062" w:right="2268" w:bottom="2552" w:left="2268" w:header="709" w:footer="709" w:gutter="0"/>
          <w:pgNumType w:start="2"/>
          <w:cols w:space="720"/>
          <w:bidi/>
          <w:rtlGutter/>
          <w:docGrid w:linePitch="272"/>
        </w:sectPr>
      </w:pPr>
    </w:p>
    <w:p w:rsidR="00B93C72" w:rsidRPr="00952B32" w:rsidP="00952B32" w14:paraId="65CCD7DF" w14:textId="699316B5">
      <w:pPr>
        <w:pStyle w:val="7520"/>
        <w:rPr>
          <w:rtl/>
        </w:rPr>
      </w:pPr>
      <w:r w:rsidRPr="00952B32">
        <w:rPr>
          <w:rtl/>
        </w:rPr>
        <w:t xml:space="preserve">גבייה של היטלי השבחה והשימוש בהם </w:t>
      </w:r>
    </w:p>
    <w:p w:rsidR="00135693" w:rsidP="007F4A1C" w14:paraId="69947BF9" w14:textId="4ADB05FB">
      <w:pPr>
        <w:pStyle w:val="759"/>
        <w:rPr>
          <w:rtl/>
        </w:rPr>
      </w:pPr>
      <w:r w:rsidRPr="00802F2E">
        <w:rPr>
          <w:noProof/>
          <w:rtl/>
        </w:rPr>
        <w:drawing>
          <wp:anchor distT="0" distB="0" distL="114300" distR="114300" simplePos="0" relativeHeight="251678720" behindDoc="0" locked="0" layoutInCell="1" allowOverlap="1">
            <wp:simplePos x="0" y="0"/>
            <wp:positionH relativeFrom="column">
              <wp:posOffset>3332480</wp:posOffset>
            </wp:positionH>
            <wp:positionV relativeFrom="paragraph">
              <wp:posOffset>396240</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rsidR="00135693" w:rsidRPr="00B14F47" w:rsidP="00952B32" w14:paraId="0F166AAD" w14:textId="328B6A7B">
      <w:pPr>
        <w:pStyle w:val="759"/>
        <w:rPr>
          <w:rtl/>
        </w:rPr>
      </w:pPr>
      <w:bookmarkStart w:id="0" w:name="_Hlk168217298"/>
      <w:r w:rsidRPr="008F01FF">
        <w:rPr>
          <w:rtl/>
        </w:rPr>
        <w:t>השבחה במקרקעין בשל שינוי באסדרה (ברגולציה) התכנונית, מחייבת את בעלי המקרקעין לשלם היטלי השבחה בשיעור של מחצית שווי ההשבחה. הבסיס הרעיוני להטלת ההיטל הוא עקרון הצדק החלוקתי, שלפיו ראוי שבעלי הנכסים יחלקו עם הציבור את הרווחים שיצרה ההשבחה ויישאו בחלק מהוצאות התכנון והפיתוח הפיזי-מרחבי. התקבולים מהיטלי השבחה עשויים להשפיע על מצבן הכספי של רשויות מקומיות, על הפערים הכלכליים ביניהן ועל יכולתן לעמוד באתגרי הגידול באוכלוסייה והציפוף הצפויים בעשורים הקרובים. היטלי השבחה עשויים להסתכם במאות אלפי שקלים ואף במיליוני שקלים לכל היטל; לכן להוגנות, לוודאות ולשקיפות בעניינם, וכן ליעילותם, עשויה להיות השפעה ניכרת על הפעילות בענף הנדל"ן ועל שכלול הפעילות הכלכלית בתחום</w:t>
      </w:r>
      <w:r w:rsidRPr="00B14F47" w:rsidR="00B14F47">
        <w:rPr>
          <w:rtl/>
        </w:rPr>
        <w:t>.</w:t>
      </w:r>
      <w:bookmarkEnd w:id="0"/>
    </w:p>
    <w:p w:rsidR="008F7C68" w:rsidP="007F4A1C" w14:paraId="7BF86940" w14:textId="365E3A63">
      <w:pPr>
        <w:pStyle w:val="759"/>
        <w:rPr>
          <w:rtl/>
        </w:rPr>
      </w:pPr>
    </w:p>
    <w:p w:rsidR="008930B4" w:rsidP="00C00585" w14:paraId="2B452C0D" w14:textId="77777777">
      <w:pPr>
        <w:pStyle w:val="7392"/>
        <w:rPr>
          <w:rtl/>
        </w:rPr>
        <w:sectPr w:rsidSect="00BF05FD">
          <w:headerReference w:type="even" r:id="rId17"/>
          <w:footerReference w:type="even" r:id="rId18"/>
          <w:pgSz w:w="11906" w:h="16838" w:code="9"/>
          <w:pgMar w:top="3062" w:right="2268" w:bottom="2552" w:left="2268" w:header="1134" w:footer="1361" w:gutter="0"/>
          <w:pgNumType w:start="147"/>
          <w:cols w:space="708"/>
          <w:bidi/>
          <w:rtlGutter/>
          <w:docGrid w:linePitch="360"/>
        </w:sectPr>
      </w:pPr>
    </w:p>
    <w:p w:rsidR="005D0F8C" w:rsidP="007F4A20" w14:paraId="688B4C67" w14:textId="57F2CB9E">
      <w:pPr>
        <w:pStyle w:val="7392"/>
        <w:spacing w:before="360"/>
        <w:rPr>
          <w:b/>
          <w:bCs/>
          <w:color w:val="00305F"/>
          <w:sz w:val="32"/>
          <w:szCs w:val="32"/>
          <w:rtl/>
        </w:rPr>
      </w:pPr>
      <w:r w:rsidRPr="001F3363">
        <w:rPr>
          <w:noProof/>
          <w:rtl/>
        </w:rPr>
        <w:drawing>
          <wp:anchor distT="0" distB="0" distL="114300" distR="114300" simplePos="0" relativeHeight="251673600" behindDoc="0" locked="0" layoutInCell="1" allowOverlap="1">
            <wp:simplePos x="0" y="0"/>
            <wp:positionH relativeFrom="column">
              <wp:posOffset>3263265</wp:posOffset>
            </wp:positionH>
            <wp:positionV relativeFrom="paragraph">
              <wp:posOffset>180975</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page" w:horzAnchor="margin" w:tblpXSpec="right" w:tblpY="4216"/>
        <w:bidiVisual/>
        <w:tblW w:w="7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4"/>
        <w:gridCol w:w="226"/>
        <w:gridCol w:w="1688"/>
        <w:gridCol w:w="227"/>
        <w:gridCol w:w="1752"/>
        <w:gridCol w:w="227"/>
        <w:gridCol w:w="1772"/>
      </w:tblGrid>
      <w:tr w14:paraId="7F3F42F8" w14:textId="77777777" w:rsidTr="00ED0ACE">
        <w:tblPrEx>
          <w:tblW w:w="7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721" w:type="dxa"/>
            <w:tcBorders>
              <w:bottom w:val="single" w:sz="12" w:space="0" w:color="auto"/>
            </w:tcBorders>
            <w:vAlign w:val="bottom"/>
          </w:tcPr>
          <w:p w:rsidR="00952B32" w:rsidRPr="00952B32" w:rsidP="00952B32" w14:paraId="7BF6D74B" w14:textId="77777777">
            <w:pPr>
              <w:spacing w:line="288" w:lineRule="auto"/>
              <w:jc w:val="left"/>
              <w:rPr>
                <w:rFonts w:ascii="Tahoma" w:hAnsi="Tahoma" w:cs="Tahoma"/>
                <w:b/>
                <w:bCs/>
                <w:sz w:val="34"/>
                <w:szCs w:val="34"/>
                <w:rtl/>
              </w:rPr>
            </w:pPr>
            <w:r w:rsidRPr="00952B32">
              <w:rPr>
                <w:rFonts w:ascii="Tahoma" w:hAnsi="Tahoma" w:cs="Tahoma"/>
                <w:b/>
                <w:bCs/>
                <w:sz w:val="34"/>
                <w:szCs w:val="34"/>
                <w:rtl/>
              </w:rPr>
              <w:t xml:space="preserve">8.7 </w:t>
            </w:r>
          </w:p>
          <w:p w:rsidR="00952B32" w:rsidRPr="006C6848" w:rsidP="00952B32" w14:paraId="09775EFE" w14:textId="47AE4006">
            <w:pPr>
              <w:spacing w:after="60" w:line="240" w:lineRule="auto"/>
              <w:jc w:val="left"/>
              <w:rPr>
                <w:rFonts w:ascii="Tahoma" w:hAnsi="Tahoma" w:cs="Tahoma"/>
                <w:b/>
                <w:bCs/>
                <w:spacing w:val="-18"/>
                <w:sz w:val="24"/>
                <w:rtl/>
              </w:rPr>
            </w:pPr>
            <w:r w:rsidRPr="006C6848">
              <w:rPr>
                <w:rFonts w:ascii="Tahoma" w:hAnsi="Tahoma" w:cs="Tahoma"/>
                <w:b/>
                <w:bCs/>
                <w:spacing w:val="-18"/>
                <w:sz w:val="24"/>
                <w:rtl/>
              </w:rPr>
              <w:t xml:space="preserve">מיליארדי ש"ח </w:t>
            </w:r>
          </w:p>
        </w:tc>
        <w:tc>
          <w:tcPr>
            <w:tcW w:w="227" w:type="dxa"/>
          </w:tcPr>
          <w:p w:rsidR="00952B32" w:rsidRPr="00B56334" w:rsidP="00952B32" w14:paraId="4383DD9C" w14:textId="0647E2CE">
            <w:pPr>
              <w:spacing w:after="60" w:line="240" w:lineRule="auto"/>
              <w:jc w:val="left"/>
              <w:rPr>
                <w:rFonts w:ascii="Tahoma" w:hAnsi="Tahoma" w:cs="Tahoma"/>
                <w:b/>
                <w:bCs/>
                <w:sz w:val="34"/>
                <w:szCs w:val="34"/>
                <w:rtl/>
              </w:rPr>
            </w:pPr>
          </w:p>
        </w:tc>
        <w:tc>
          <w:tcPr>
            <w:tcW w:w="1724" w:type="dxa"/>
            <w:tcBorders>
              <w:bottom w:val="single" w:sz="12" w:space="0" w:color="auto"/>
            </w:tcBorders>
            <w:vAlign w:val="bottom"/>
          </w:tcPr>
          <w:p w:rsidR="00952B32" w:rsidRPr="00952B32" w:rsidP="00952B32" w14:paraId="32E048EB" w14:textId="77777777">
            <w:pPr>
              <w:spacing w:line="288" w:lineRule="auto"/>
              <w:jc w:val="left"/>
              <w:rPr>
                <w:rFonts w:ascii="Tahoma" w:hAnsi="Tahoma" w:cs="Tahoma"/>
                <w:b/>
                <w:bCs/>
                <w:sz w:val="34"/>
                <w:szCs w:val="34"/>
                <w:rtl/>
              </w:rPr>
            </w:pPr>
            <w:r w:rsidRPr="00952B32">
              <w:rPr>
                <w:rFonts w:ascii="Tahoma" w:hAnsi="Tahoma" w:cs="Tahoma"/>
                <w:b/>
                <w:bCs/>
                <w:sz w:val="34"/>
                <w:szCs w:val="34"/>
                <w:rtl/>
              </w:rPr>
              <w:t xml:space="preserve">7.5 </w:t>
            </w:r>
          </w:p>
          <w:p w:rsidR="00952B32" w:rsidRPr="00B56334" w:rsidP="00952B32" w14:paraId="34D99160" w14:textId="615A1BA6">
            <w:pPr>
              <w:spacing w:after="60" w:line="240" w:lineRule="auto"/>
              <w:jc w:val="left"/>
              <w:rPr>
                <w:rFonts w:ascii="Tahoma" w:hAnsi="Tahoma" w:cs="Tahoma"/>
                <w:b/>
                <w:bCs/>
                <w:sz w:val="34"/>
                <w:szCs w:val="34"/>
                <w:rtl/>
              </w:rPr>
            </w:pPr>
            <w:r w:rsidRPr="006C6848">
              <w:rPr>
                <w:rFonts w:ascii="Tahoma" w:hAnsi="Tahoma" w:cs="Tahoma"/>
                <w:b/>
                <w:bCs/>
                <w:spacing w:val="-18"/>
                <w:sz w:val="24"/>
                <w:rtl/>
              </w:rPr>
              <w:t>מיליארדי ש"ח</w:t>
            </w:r>
          </w:p>
        </w:tc>
        <w:tc>
          <w:tcPr>
            <w:tcW w:w="227" w:type="dxa"/>
          </w:tcPr>
          <w:p w:rsidR="00952B32" w:rsidRPr="00B56334" w:rsidP="00952B32" w14:paraId="19AAD257" w14:textId="4BDEA691">
            <w:pPr>
              <w:spacing w:after="60" w:line="240" w:lineRule="auto"/>
              <w:jc w:val="left"/>
              <w:rPr>
                <w:rFonts w:ascii="Tahoma" w:hAnsi="Tahoma" w:cs="Tahoma"/>
                <w:b/>
                <w:bCs/>
                <w:sz w:val="34"/>
                <w:szCs w:val="34"/>
                <w:rtl/>
              </w:rPr>
            </w:pPr>
          </w:p>
        </w:tc>
        <w:tc>
          <w:tcPr>
            <w:tcW w:w="1758" w:type="dxa"/>
            <w:tcBorders>
              <w:bottom w:val="single" w:sz="12" w:space="0" w:color="auto"/>
            </w:tcBorders>
            <w:vAlign w:val="bottom"/>
          </w:tcPr>
          <w:p w:rsidR="00952B32" w:rsidRPr="002B797F" w:rsidP="00952B32" w14:paraId="49540B80" w14:textId="25BF9C2F">
            <w:pPr>
              <w:spacing w:line="288" w:lineRule="auto"/>
              <w:jc w:val="left"/>
              <w:rPr>
                <w:rFonts w:ascii="Tahoma" w:hAnsi="Tahoma" w:cs="Tahoma"/>
                <w:b/>
                <w:bCs/>
                <w:sz w:val="34"/>
                <w:szCs w:val="34"/>
                <w:rtl/>
              </w:rPr>
            </w:pPr>
            <w:r w:rsidRPr="00952B32">
              <w:rPr>
                <w:rFonts w:ascii="Tahoma" w:hAnsi="Tahoma" w:cs="Tahoma"/>
                <w:b/>
                <w:bCs/>
                <w:sz w:val="34"/>
                <w:szCs w:val="34"/>
                <w:rtl/>
              </w:rPr>
              <w:t>1,400%</w:t>
            </w:r>
          </w:p>
        </w:tc>
        <w:tc>
          <w:tcPr>
            <w:tcW w:w="227" w:type="dxa"/>
          </w:tcPr>
          <w:p w:rsidR="00952B32" w:rsidRPr="00B56334" w:rsidP="00952B32" w14:paraId="384A1AAC" w14:textId="77777777">
            <w:pPr>
              <w:spacing w:after="60" w:line="240" w:lineRule="auto"/>
              <w:jc w:val="left"/>
              <w:rPr>
                <w:rFonts w:ascii="Tahoma" w:hAnsi="Tahoma" w:cs="Tahoma"/>
                <w:b/>
                <w:bCs/>
                <w:sz w:val="34"/>
                <w:szCs w:val="34"/>
                <w:rtl/>
              </w:rPr>
            </w:pPr>
          </w:p>
        </w:tc>
        <w:tc>
          <w:tcPr>
            <w:tcW w:w="1814" w:type="dxa"/>
            <w:tcBorders>
              <w:bottom w:val="single" w:sz="12" w:space="0" w:color="auto"/>
            </w:tcBorders>
            <w:vAlign w:val="bottom"/>
          </w:tcPr>
          <w:p w:rsidR="00952B32" w:rsidRPr="002B797F" w:rsidP="00952B32" w14:paraId="0DEE04EA" w14:textId="075DD184">
            <w:pPr>
              <w:spacing w:line="288" w:lineRule="auto"/>
              <w:jc w:val="left"/>
              <w:rPr>
                <w:rFonts w:ascii="Tahoma" w:hAnsi="Tahoma" w:cs="Tahoma"/>
                <w:b/>
                <w:bCs/>
                <w:sz w:val="34"/>
                <w:szCs w:val="34"/>
                <w:rtl/>
              </w:rPr>
            </w:pPr>
            <w:r w:rsidRPr="00952B32">
              <w:rPr>
                <w:rFonts w:ascii="Tahoma" w:hAnsi="Tahoma" w:cs="Tahoma"/>
                <w:b/>
                <w:bCs/>
                <w:sz w:val="34"/>
                <w:szCs w:val="34"/>
                <w:rtl/>
              </w:rPr>
              <w:t>60%</w:t>
            </w:r>
          </w:p>
        </w:tc>
      </w:tr>
      <w:tr w14:paraId="3B2A75EF" w14:textId="77777777" w:rsidTr="00ED0ACE">
        <w:tblPrEx>
          <w:tblW w:w="7576" w:type="dxa"/>
          <w:tblLook w:val="04A0"/>
        </w:tblPrEx>
        <w:tc>
          <w:tcPr>
            <w:tcW w:w="1721" w:type="dxa"/>
            <w:tcBorders>
              <w:top w:val="single" w:sz="12" w:space="0" w:color="auto"/>
            </w:tcBorders>
          </w:tcPr>
          <w:p w:rsidR="0057297C" w:rsidRPr="002B797F" w:rsidP="0057297C" w14:paraId="38F92C9D" w14:textId="4D8DE68A">
            <w:pPr>
              <w:pStyle w:val="752024"/>
              <w:rPr>
                <w:rtl/>
              </w:rPr>
            </w:pPr>
            <w:r w:rsidRPr="008F01FF">
              <w:rPr>
                <w:rtl/>
              </w:rPr>
              <w:t xml:space="preserve">סך התקבולים מהיטלי השבחה שגבו </w:t>
            </w:r>
            <w:r w:rsidRPr="00C37FCC">
              <w:rPr>
                <w:rtl/>
              </w:rPr>
              <w:t>הרשויות</w:t>
            </w:r>
            <w:r w:rsidRPr="008F01FF">
              <w:rPr>
                <w:rtl/>
              </w:rPr>
              <w:t xml:space="preserve"> המקומיות ב-2021;</w:t>
            </w:r>
            <w:r>
              <w:rPr>
                <w:rFonts w:hint="cs"/>
                <w:rtl/>
              </w:rPr>
              <w:t xml:space="preserve"> </w:t>
            </w:r>
            <w:r w:rsidRPr="008F01FF">
              <w:rPr>
                <w:rtl/>
              </w:rPr>
              <w:t>עלייה של 171%</w:t>
            </w:r>
            <w:r w:rsidRPr="008F01FF">
              <w:t xml:space="preserve"> </w:t>
            </w:r>
            <w:r w:rsidRPr="008F01FF">
              <w:rPr>
                <w:rtl/>
              </w:rPr>
              <w:t>לעומת נתוני 2013</w:t>
            </w:r>
          </w:p>
        </w:tc>
        <w:tc>
          <w:tcPr>
            <w:tcW w:w="227" w:type="dxa"/>
          </w:tcPr>
          <w:p w:rsidR="0057297C" w:rsidP="0057297C" w14:paraId="4A315B13" w14:textId="7B8CAAD7">
            <w:pPr>
              <w:pStyle w:val="752024"/>
              <w:spacing w:after="0"/>
              <w:rPr>
                <w:rtl/>
              </w:rPr>
            </w:pPr>
          </w:p>
        </w:tc>
        <w:tc>
          <w:tcPr>
            <w:tcW w:w="1724" w:type="dxa"/>
            <w:tcBorders>
              <w:top w:val="single" w:sz="12" w:space="0" w:color="auto"/>
            </w:tcBorders>
          </w:tcPr>
          <w:p w:rsidR="0057297C" w:rsidRPr="002B797F" w:rsidP="0057297C" w14:paraId="5CADEB5F" w14:textId="7D430933">
            <w:pPr>
              <w:pStyle w:val="752024"/>
              <w:rPr>
                <w:rtl/>
              </w:rPr>
            </w:pPr>
            <w:r w:rsidRPr="0087049C">
              <w:rPr>
                <w:rtl/>
              </w:rPr>
              <w:t xml:space="preserve">יתרת הכספים שהצטברו בקרנות היטלי </w:t>
            </w:r>
            <w:r w:rsidRPr="00C37FCC">
              <w:rPr>
                <w:rtl/>
              </w:rPr>
              <w:t>השבחה</w:t>
            </w:r>
            <w:r w:rsidRPr="0087049C">
              <w:rPr>
                <w:rtl/>
              </w:rPr>
              <w:t xml:space="preserve"> </w:t>
            </w:r>
            <w:r w:rsidRPr="0087049C">
              <w:rPr>
                <w:rFonts w:hint="cs"/>
                <w:rtl/>
              </w:rPr>
              <w:t xml:space="preserve">            </w:t>
            </w:r>
            <w:r w:rsidRPr="0087049C">
              <w:rPr>
                <w:rtl/>
              </w:rPr>
              <w:t>ב-2021;</w:t>
            </w:r>
            <w:r w:rsidRPr="0087049C">
              <w:rPr>
                <w:rFonts w:hint="cs"/>
                <w:rtl/>
              </w:rPr>
              <w:t xml:space="preserve"> </w:t>
            </w:r>
            <w:r w:rsidRPr="0087049C">
              <w:rPr>
                <w:rtl/>
              </w:rPr>
              <w:t>עלייה של 275%</w:t>
            </w:r>
            <w:r w:rsidRPr="0087049C">
              <w:t xml:space="preserve"> </w:t>
            </w:r>
            <w:r w:rsidRPr="0087049C">
              <w:rPr>
                <w:rtl/>
              </w:rPr>
              <w:t>לעומת נתוני 2013</w:t>
            </w:r>
          </w:p>
        </w:tc>
        <w:tc>
          <w:tcPr>
            <w:tcW w:w="227" w:type="dxa"/>
          </w:tcPr>
          <w:p w:rsidR="0057297C" w:rsidP="0057297C" w14:paraId="172B871D" w14:textId="36A5AC9A">
            <w:pPr>
              <w:pStyle w:val="752024"/>
              <w:spacing w:after="0"/>
              <w:rPr>
                <w:rtl/>
              </w:rPr>
            </w:pPr>
          </w:p>
        </w:tc>
        <w:tc>
          <w:tcPr>
            <w:tcW w:w="1758" w:type="dxa"/>
            <w:tcBorders>
              <w:top w:val="single" w:sz="12" w:space="0" w:color="auto"/>
            </w:tcBorders>
          </w:tcPr>
          <w:p w:rsidR="0057297C" w:rsidRPr="0057297C" w:rsidP="0057297C" w14:paraId="03ED2AA1" w14:textId="082FDC26">
            <w:pPr>
              <w:pStyle w:val="752024"/>
              <w:rPr>
                <w:rtl/>
              </w:rPr>
            </w:pPr>
            <w:r w:rsidRPr="0057297C">
              <w:rPr>
                <w:rtl/>
              </w:rPr>
              <w:t xml:space="preserve">הפער בשנים           2017 - 2021 בין התקבולים לתושב מהיטלי השבחה שהיו לרשויות מקומיות בדירוג חברתי-כלכלי גבוה במרכז הארץ לבין אלו שהיו לרשויות מקומיות בדירוג </w:t>
            </w:r>
            <w:r w:rsidR="0091254D">
              <w:rPr>
                <w:rFonts w:hint="cs"/>
                <w:rtl/>
              </w:rPr>
              <w:t xml:space="preserve"> חברתי-</w:t>
            </w:r>
            <w:r w:rsidRPr="0057297C">
              <w:rPr>
                <w:rtl/>
              </w:rPr>
              <w:t xml:space="preserve">כלכלי נמוך בפריפריה (8,476 ש"ח לתושב לעומת 559 ש"ח לתושב) </w:t>
            </w:r>
          </w:p>
        </w:tc>
        <w:tc>
          <w:tcPr>
            <w:tcW w:w="227" w:type="dxa"/>
          </w:tcPr>
          <w:p w:rsidR="0057297C" w:rsidP="0057297C" w14:paraId="3C891690" w14:textId="50A159A9">
            <w:pPr>
              <w:pStyle w:val="752024"/>
              <w:spacing w:after="0"/>
              <w:jc w:val="center"/>
              <w:rPr>
                <w:rtl/>
              </w:rPr>
            </w:pPr>
          </w:p>
        </w:tc>
        <w:tc>
          <w:tcPr>
            <w:tcW w:w="1814" w:type="dxa"/>
            <w:tcBorders>
              <w:top w:val="single" w:sz="12" w:space="0" w:color="auto"/>
            </w:tcBorders>
          </w:tcPr>
          <w:p w:rsidR="0057297C" w:rsidRPr="002B797F" w:rsidP="005A752E" w14:paraId="7233755D" w14:textId="14968320">
            <w:pPr>
              <w:pStyle w:val="752024"/>
              <w:rPr>
                <w:rtl/>
              </w:rPr>
            </w:pPr>
            <w:r w:rsidRPr="008F01FF">
              <w:rPr>
                <w:rtl/>
              </w:rPr>
              <w:t xml:space="preserve">מסך היתרות הצבורות </w:t>
            </w:r>
            <w:r w:rsidRPr="0057297C">
              <w:rPr>
                <w:rtl/>
              </w:rPr>
              <w:t>בקרנות</w:t>
            </w:r>
            <w:r w:rsidRPr="008F01FF">
              <w:rPr>
                <w:rtl/>
              </w:rPr>
              <w:t xml:space="preserve"> היטלי השבחה בשנת 2021 - 4.5 מיליארדי ש"ח מתוך 7.5 מיליארדי ש"ח - היו של רשויות באשכולות</w:t>
            </w:r>
            <w:r w:rsidRPr="008F01FF">
              <w:t xml:space="preserve"> </w:t>
            </w:r>
            <w:r w:rsidRPr="008F01FF">
              <w:rPr>
                <w:rtl/>
              </w:rPr>
              <w:t xml:space="preserve">8 </w:t>
            </w:r>
            <w:r>
              <w:rPr>
                <w:rFonts w:hint="cs"/>
                <w:rtl/>
              </w:rPr>
              <w:t>-</w:t>
            </w:r>
            <w:r w:rsidRPr="008F01FF">
              <w:rPr>
                <w:rtl/>
              </w:rPr>
              <w:t xml:space="preserve"> 10 בדירוג </w:t>
            </w:r>
            <w:r w:rsidR="009D5237">
              <w:rPr>
                <w:rFonts w:hint="cs"/>
                <w:rtl/>
              </w:rPr>
              <w:t xml:space="preserve">                    </w:t>
            </w:r>
            <w:r w:rsidRPr="008F01FF">
              <w:rPr>
                <w:rtl/>
              </w:rPr>
              <w:t>החברתי-כלכלי, אשר בתחום שיפוטן מתגוררת</w:t>
            </w:r>
            <w:r w:rsidR="009D5237">
              <w:rPr>
                <w:rFonts w:hint="cs"/>
                <w:rtl/>
              </w:rPr>
              <w:t xml:space="preserve"> </w:t>
            </w:r>
            <w:r w:rsidRPr="008F01FF">
              <w:rPr>
                <w:rtl/>
              </w:rPr>
              <w:t>כ-20%</w:t>
            </w:r>
            <w:r w:rsidRPr="008F01FF">
              <w:t xml:space="preserve"> </w:t>
            </w:r>
            <w:r w:rsidRPr="008F01FF">
              <w:rPr>
                <w:rtl/>
              </w:rPr>
              <w:t>מהאוכלוסייה</w:t>
            </w:r>
          </w:p>
        </w:tc>
      </w:tr>
      <w:tr w14:paraId="1A9C8890" w14:textId="77777777" w:rsidTr="00ED0ACE">
        <w:tblPrEx>
          <w:tblW w:w="7576" w:type="dxa"/>
          <w:tblLook w:val="04A0"/>
        </w:tblPrEx>
        <w:tc>
          <w:tcPr>
            <w:tcW w:w="1721" w:type="dxa"/>
            <w:tcBorders>
              <w:bottom w:val="single" w:sz="12" w:space="0" w:color="auto"/>
            </w:tcBorders>
            <w:vAlign w:val="center"/>
          </w:tcPr>
          <w:p w:rsidR="00D6232D" w:rsidRPr="00E066B5" w:rsidP="00D6232D" w14:paraId="66FB231F" w14:textId="23099E5D">
            <w:pPr>
              <w:spacing w:after="60" w:line="240" w:lineRule="auto"/>
              <w:jc w:val="left"/>
              <w:rPr>
                <w:rFonts w:ascii="Tahoma" w:hAnsi="Tahoma" w:cs="Tahoma"/>
                <w:b/>
                <w:bCs/>
                <w:sz w:val="34"/>
                <w:szCs w:val="34"/>
                <w:rtl/>
              </w:rPr>
            </w:pPr>
            <w:r w:rsidRPr="0002619B">
              <w:rPr>
                <w:rFonts w:ascii="Tahoma" w:hAnsi="Tahoma" w:cs="Tahoma"/>
                <w:b/>
                <w:bCs/>
                <w:sz w:val="34"/>
                <w:szCs w:val="34"/>
                <w:rtl/>
              </w:rPr>
              <w:t>95%</w:t>
            </w:r>
          </w:p>
        </w:tc>
        <w:tc>
          <w:tcPr>
            <w:tcW w:w="227" w:type="dxa"/>
          </w:tcPr>
          <w:p w:rsidR="00D6232D" w:rsidRPr="008E52B9" w:rsidP="00D6232D" w14:paraId="4B7F392C" w14:textId="2C256971">
            <w:pPr>
              <w:rPr>
                <w:spacing w:val="-20"/>
                <w:rtl/>
              </w:rPr>
            </w:pPr>
          </w:p>
        </w:tc>
        <w:tc>
          <w:tcPr>
            <w:tcW w:w="1724" w:type="dxa"/>
            <w:tcBorders>
              <w:bottom w:val="single" w:sz="12" w:space="0" w:color="auto"/>
            </w:tcBorders>
            <w:vAlign w:val="center"/>
          </w:tcPr>
          <w:p w:rsidR="00D6232D" w:rsidRPr="00E066B5" w:rsidP="00D6232D" w14:paraId="6AC12FD0" w14:textId="2413BDA4">
            <w:pPr>
              <w:spacing w:after="60" w:line="240" w:lineRule="auto"/>
              <w:jc w:val="left"/>
              <w:rPr>
                <w:rFonts w:ascii="Tahoma" w:hAnsi="Tahoma" w:cs="Tahoma"/>
                <w:b/>
                <w:bCs/>
                <w:sz w:val="34"/>
                <w:szCs w:val="34"/>
                <w:rtl/>
              </w:rPr>
            </w:pPr>
            <w:r w:rsidRPr="0002619B">
              <w:rPr>
                <w:rFonts w:ascii="Tahoma" w:hAnsi="Tahoma" w:cs="Tahoma"/>
                <w:b/>
                <w:bCs/>
                <w:sz w:val="34"/>
                <w:szCs w:val="34"/>
                <w:rtl/>
              </w:rPr>
              <w:t>70%</w:t>
            </w:r>
          </w:p>
        </w:tc>
        <w:tc>
          <w:tcPr>
            <w:tcW w:w="227" w:type="dxa"/>
          </w:tcPr>
          <w:p w:rsidR="00D6232D" w:rsidRPr="008E52B9" w:rsidP="00D6232D" w14:paraId="10542ECF" w14:textId="331AA240">
            <w:pPr>
              <w:rPr>
                <w:spacing w:val="-20"/>
                <w:rtl/>
              </w:rPr>
            </w:pPr>
          </w:p>
        </w:tc>
        <w:tc>
          <w:tcPr>
            <w:tcW w:w="1758" w:type="dxa"/>
            <w:tcBorders>
              <w:bottom w:val="single" w:sz="12" w:space="0" w:color="auto"/>
            </w:tcBorders>
            <w:vAlign w:val="center"/>
          </w:tcPr>
          <w:p w:rsidR="00D6232D" w:rsidRPr="00E066B5" w:rsidP="00D6232D" w14:paraId="41F66E0E" w14:textId="054EEE10">
            <w:pPr>
              <w:spacing w:after="60" w:line="240" w:lineRule="auto"/>
              <w:jc w:val="left"/>
              <w:rPr>
                <w:rFonts w:ascii="Tahoma" w:hAnsi="Tahoma" w:cs="Tahoma"/>
                <w:b/>
                <w:bCs/>
                <w:sz w:val="34"/>
                <w:szCs w:val="34"/>
                <w:rtl/>
              </w:rPr>
            </w:pPr>
            <w:r w:rsidRPr="0002619B">
              <w:rPr>
                <w:rFonts w:ascii="Tahoma" w:hAnsi="Tahoma" w:cs="Tahoma"/>
                <w:b/>
                <w:bCs/>
                <w:sz w:val="34"/>
                <w:szCs w:val="34"/>
                <w:rtl/>
              </w:rPr>
              <w:t>כשנתיים</w:t>
            </w:r>
          </w:p>
        </w:tc>
        <w:tc>
          <w:tcPr>
            <w:tcW w:w="227" w:type="dxa"/>
          </w:tcPr>
          <w:p w:rsidR="00D6232D" w:rsidRPr="008E52B9" w:rsidP="00D6232D" w14:paraId="25E8DA3E" w14:textId="7DE67CAE">
            <w:pPr>
              <w:jc w:val="center"/>
              <w:rPr>
                <w:spacing w:val="-20"/>
                <w:rtl/>
              </w:rPr>
            </w:pPr>
          </w:p>
        </w:tc>
        <w:tc>
          <w:tcPr>
            <w:tcW w:w="1814" w:type="dxa"/>
            <w:tcBorders>
              <w:bottom w:val="single" w:sz="12" w:space="0" w:color="auto"/>
            </w:tcBorders>
            <w:vAlign w:val="center"/>
          </w:tcPr>
          <w:p w:rsidR="00D6232D" w:rsidRPr="00E066B5" w:rsidP="00D6232D" w14:paraId="09945564" w14:textId="63986C1F">
            <w:pPr>
              <w:spacing w:after="60" w:line="240" w:lineRule="auto"/>
              <w:jc w:val="left"/>
              <w:rPr>
                <w:rFonts w:ascii="Tahoma" w:hAnsi="Tahoma" w:cs="Tahoma"/>
                <w:b/>
                <w:bCs/>
                <w:sz w:val="34"/>
                <w:szCs w:val="34"/>
                <w:rtl/>
              </w:rPr>
            </w:pPr>
            <w:r w:rsidRPr="0002619B">
              <w:rPr>
                <w:rFonts w:ascii="Tahoma" w:hAnsi="Tahoma" w:cs="Tahoma"/>
                <w:b/>
                <w:bCs/>
                <w:sz w:val="34"/>
                <w:szCs w:val="34"/>
                <w:rtl/>
              </w:rPr>
              <w:t>73%</w:t>
            </w:r>
          </w:p>
        </w:tc>
      </w:tr>
      <w:tr w14:paraId="0FE605DF" w14:textId="77777777" w:rsidTr="00ED0ACE">
        <w:tblPrEx>
          <w:tblW w:w="7576" w:type="dxa"/>
          <w:tblLook w:val="04A0"/>
        </w:tblPrEx>
        <w:tc>
          <w:tcPr>
            <w:tcW w:w="1721" w:type="dxa"/>
            <w:tcBorders>
              <w:top w:val="single" w:sz="12" w:space="0" w:color="auto"/>
            </w:tcBorders>
          </w:tcPr>
          <w:p w:rsidR="00D6232D" w:rsidRPr="00D6232D" w:rsidP="00D6232D" w14:paraId="022FCEBD" w14:textId="032B89C4">
            <w:pPr>
              <w:pStyle w:val="752024"/>
              <w:rPr>
                <w:rtl/>
              </w:rPr>
            </w:pPr>
            <w:r w:rsidRPr="00D6232D">
              <w:rPr>
                <w:rtl/>
              </w:rPr>
              <w:t>שיעור המקרים שבהם שמאים מכריעים הפחיתו משומות ההשבחה שקבעו הוועדות המקומיות לתכנון ולבנייה</w:t>
            </w:r>
            <w:r w:rsidRPr="00D6232D">
              <w:t xml:space="preserve"> </w:t>
            </w:r>
            <w:r w:rsidRPr="00D6232D">
              <w:rPr>
                <w:rtl/>
              </w:rPr>
              <w:t>(שיעור ההפחתה עמד על 36% בממוצע), לפי מדגם אקראי של 60 הכרעות משנת 2022 בנוגע לשומות שהכינו 34 ועדות מקומיות</w:t>
            </w:r>
          </w:p>
        </w:tc>
        <w:tc>
          <w:tcPr>
            <w:tcW w:w="227" w:type="dxa"/>
          </w:tcPr>
          <w:p w:rsidR="00D6232D" w:rsidP="00D6232D" w14:paraId="7F1AD4A4" w14:textId="77777777">
            <w:pPr>
              <w:pStyle w:val="752024"/>
              <w:spacing w:after="0"/>
              <w:rPr>
                <w:rtl/>
              </w:rPr>
            </w:pPr>
          </w:p>
        </w:tc>
        <w:tc>
          <w:tcPr>
            <w:tcW w:w="1724" w:type="dxa"/>
            <w:tcBorders>
              <w:top w:val="single" w:sz="12" w:space="0" w:color="auto"/>
            </w:tcBorders>
          </w:tcPr>
          <w:p w:rsidR="00D6232D" w:rsidRPr="008F01FF" w:rsidP="00D6232D" w14:paraId="38D51B80" w14:textId="77777777">
            <w:pPr>
              <w:pStyle w:val="752024"/>
              <w:rPr>
                <w:rtl/>
              </w:rPr>
            </w:pPr>
            <w:r w:rsidRPr="008F01FF">
              <w:rPr>
                <w:rtl/>
              </w:rPr>
              <w:t xml:space="preserve">שיעור המקרים שבהם שמאים מכריעים הפחיתו יותר מ-25% </w:t>
            </w:r>
            <w:r w:rsidRPr="00D6232D">
              <w:rPr>
                <w:rtl/>
              </w:rPr>
              <w:t>מסכום</w:t>
            </w:r>
            <w:r w:rsidRPr="008F01FF">
              <w:rPr>
                <w:rtl/>
              </w:rPr>
              <w:t xml:space="preserve"> ההיטל שקבעו הוועדות המקומיות לתכנון ולבנייה, לפי מדגם אקראי של 60 הכרעות משנת 2022 בנוגע לשומות שהכינו 34 ועדות מקומיות</w:t>
            </w:r>
          </w:p>
          <w:p w:rsidR="00D6232D" w:rsidRPr="002B797F" w:rsidP="00D6232D" w14:paraId="435C8952" w14:textId="6E57C95E">
            <w:pPr>
              <w:pStyle w:val="752024"/>
              <w:rPr>
                <w:rtl/>
              </w:rPr>
            </w:pPr>
          </w:p>
        </w:tc>
        <w:tc>
          <w:tcPr>
            <w:tcW w:w="227" w:type="dxa"/>
          </w:tcPr>
          <w:p w:rsidR="00D6232D" w:rsidP="00D6232D" w14:paraId="500CF55E" w14:textId="77777777">
            <w:pPr>
              <w:pStyle w:val="752024"/>
              <w:spacing w:after="0"/>
              <w:rPr>
                <w:rtl/>
              </w:rPr>
            </w:pPr>
          </w:p>
        </w:tc>
        <w:tc>
          <w:tcPr>
            <w:tcW w:w="1758" w:type="dxa"/>
            <w:tcBorders>
              <w:top w:val="single" w:sz="12" w:space="0" w:color="auto"/>
            </w:tcBorders>
          </w:tcPr>
          <w:p w:rsidR="00D6232D" w:rsidRPr="00D6232D" w:rsidP="00D6232D" w14:paraId="1C2DE42D" w14:textId="01CD7CC9">
            <w:pPr>
              <w:pStyle w:val="752024"/>
              <w:rPr>
                <w:rtl/>
              </w:rPr>
            </w:pPr>
            <w:r w:rsidRPr="00D6232D">
              <w:rPr>
                <w:rtl/>
              </w:rPr>
              <w:t xml:space="preserve">פרק הזמן הממוצע שנדרש לסיום הטיפול בהליך ערר על שומת השבחה במחוז תל אביב </w:t>
            </w:r>
          </w:p>
        </w:tc>
        <w:tc>
          <w:tcPr>
            <w:tcW w:w="227" w:type="dxa"/>
          </w:tcPr>
          <w:p w:rsidR="00D6232D" w:rsidP="00D6232D" w14:paraId="279761B3" w14:textId="77777777">
            <w:pPr>
              <w:pStyle w:val="752024"/>
              <w:spacing w:after="0"/>
              <w:jc w:val="center"/>
              <w:rPr>
                <w:rtl/>
              </w:rPr>
            </w:pPr>
          </w:p>
        </w:tc>
        <w:tc>
          <w:tcPr>
            <w:tcW w:w="1814" w:type="dxa"/>
            <w:tcBorders>
              <w:top w:val="single" w:sz="12" w:space="0" w:color="auto"/>
            </w:tcBorders>
          </w:tcPr>
          <w:p w:rsidR="00D6232D" w:rsidRPr="0087049C" w:rsidP="00D6232D" w14:paraId="4812EF62" w14:textId="47D52CB3">
            <w:pPr>
              <w:pStyle w:val="752024"/>
              <w:rPr>
                <w:rtl/>
              </w:rPr>
            </w:pPr>
            <w:r w:rsidRPr="0087049C">
              <w:rPr>
                <w:rtl/>
              </w:rPr>
              <w:t xml:space="preserve">שיעור </w:t>
            </w:r>
            <w:r w:rsidRPr="0087049C">
              <w:rPr>
                <w:rtl/>
              </w:rPr>
              <w:t>העררים</w:t>
            </w:r>
            <w:r w:rsidRPr="0087049C">
              <w:rPr>
                <w:rtl/>
              </w:rPr>
              <w:t xml:space="preserve"> במחוז תל אביב שנכון למועד </w:t>
            </w:r>
            <w:r w:rsidRPr="00D6232D">
              <w:rPr>
                <w:rtl/>
              </w:rPr>
              <w:t>הביקורת</w:t>
            </w:r>
            <w:r w:rsidRPr="0087049C">
              <w:rPr>
                <w:rtl/>
              </w:rPr>
              <w:t xml:space="preserve"> לא הסתיים הטיפול בהם, מסך </w:t>
            </w:r>
            <w:r w:rsidRPr="0087049C">
              <w:rPr>
                <w:rtl/>
              </w:rPr>
              <w:t>העררים</w:t>
            </w:r>
            <w:r w:rsidRPr="0087049C">
              <w:rPr>
                <w:rtl/>
              </w:rPr>
              <w:t xml:space="preserve"> שהוגשו במחוז בשנים</w:t>
            </w:r>
            <w:r w:rsidR="00426A95">
              <w:rPr>
                <w:rFonts w:hint="cs"/>
                <w:rtl/>
              </w:rPr>
              <w:t xml:space="preserve">              </w:t>
            </w:r>
            <w:r w:rsidRPr="0087049C">
              <w:rPr>
                <w:rtl/>
              </w:rPr>
              <w:t xml:space="preserve"> 2018 - 2022 </w:t>
            </w:r>
            <w:r w:rsidR="00426A95">
              <w:rPr>
                <w:rFonts w:hint="cs"/>
                <w:rtl/>
              </w:rPr>
              <w:t xml:space="preserve">             </w:t>
            </w:r>
            <w:r w:rsidRPr="0087049C">
              <w:rPr>
                <w:rtl/>
              </w:rPr>
              <w:t>(2,296 מתוך 3,156)</w:t>
            </w:r>
          </w:p>
          <w:p w:rsidR="00D6232D" w:rsidRPr="002B797F" w:rsidP="00D6232D" w14:paraId="758BD136" w14:textId="2D0230B2">
            <w:pPr>
              <w:pStyle w:val="752024"/>
              <w:rPr>
                <w:rtl/>
              </w:rPr>
            </w:pPr>
          </w:p>
        </w:tc>
      </w:tr>
    </w:tbl>
    <w:p w:rsidR="00CE57C7" w14:paraId="5A4E3A9F" w14:textId="77777777">
      <w:pPr>
        <w:bidi w:val="0"/>
        <w:spacing w:after="200" w:line="276" w:lineRule="auto"/>
        <w:rPr>
          <w:rFonts w:ascii="Tahoma" w:hAnsi="Tahoma" w:eastAsiaTheme="minorEastAsia" w:cs="Tahoma"/>
          <w:b/>
          <w:bCs/>
          <w:noProof/>
          <w:color w:val="00305F"/>
          <w:sz w:val="31"/>
          <w:szCs w:val="31"/>
          <w:rtl/>
          <w:lang w:val="he-IL"/>
        </w:rPr>
      </w:pPr>
      <w:r>
        <w:rPr>
          <w:rtl/>
        </w:rPr>
        <w:br w:type="page"/>
      </w:r>
    </w:p>
    <w:p w:rsidR="00420374" w:rsidRPr="00C62692" w:rsidP="00420374" w14:paraId="7BCB45AA" w14:textId="6E76B016">
      <w:pPr>
        <w:pStyle w:val="75"/>
        <w:rPr>
          <w:rtl/>
        </w:rPr>
      </w:pPr>
      <w:r w:rsidRPr="00C62692">
        <w:rPr>
          <w:rtl/>
        </w:rPr>
        <w:t>פעולות הביקורת</w:t>
      </w:r>
    </w:p>
    <w:p w:rsidR="004F0B05" w:rsidP="00CE57C7" w14:paraId="403C8BA3" w14:textId="5F4ECDE7">
      <w:pPr>
        <w:pStyle w:val="7313"/>
        <w:rPr>
          <w:rtl/>
        </w:rPr>
      </w:pPr>
      <w:r w:rsidRPr="001F3363">
        <w:rPr>
          <w:noProof/>
        </w:rPr>
        <w:drawing>
          <wp:anchor distT="0" distB="0" distL="71755" distR="71755" simplePos="0" relativeHeight="251677696" behindDoc="0" locked="0" layoutInCell="1" allowOverlap="1">
            <wp:simplePos x="0" y="0"/>
            <wp:positionH relativeFrom="column">
              <wp:posOffset>4529260</wp:posOffset>
            </wp:positionH>
            <wp:positionV relativeFrom="paragraph">
              <wp:posOffset>50165</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01FF" w:rsidR="00CE57C7">
        <w:rPr>
          <w:rtl/>
        </w:rPr>
        <w:t xml:space="preserve">בחודשים יוני עד דצמבר 2023 בדק משרד מבקר המדינה סוגיות הנוגעות להליכי הגבייה של היטלי השבחה ולשימוש בכספים, ובהן פעולות הממשלה בנושא, השפעת ההיטלים </w:t>
      </w:r>
      <w:r w:rsidRPr="00CE57C7" w:rsidR="00CE57C7">
        <w:rPr>
          <w:rtl/>
        </w:rPr>
        <w:t>על</w:t>
      </w:r>
      <w:r w:rsidRPr="008F01FF" w:rsidR="00CE57C7">
        <w:rPr>
          <w:rtl/>
        </w:rPr>
        <w:t xml:space="preserve"> תקציבי </w:t>
      </w:r>
      <w:r w:rsidRPr="00CE57C7" w:rsidR="00CE57C7">
        <w:rPr>
          <w:rtl/>
        </w:rPr>
        <w:t>הרשויות</w:t>
      </w:r>
      <w:r w:rsidRPr="008F01FF" w:rsidR="00CE57C7">
        <w:rPr>
          <w:rtl/>
        </w:rPr>
        <w:t xml:space="preserve"> המקומיות ועל מצבן הכספי, משכם של הליכי הכנת השומות, משכם של הליכי בירור מחלוקות בנוגע לשומות ותוצאותיהם, יישום עקרונות מס אמת בקביעת ההיטלים, שקיפות השומות והחיובים, ואיכות השירות לתושבים. במסגרת הביקורת נותחו הדוחות הכספיים של כלל הרשויות המקומיות ונעשתה ביקורת עומק בארבע עיריות: </w:t>
      </w:r>
      <w:r w:rsidRPr="008F01FF" w:rsidR="00CE57C7">
        <w:rPr>
          <w:b/>
          <w:bCs/>
          <w:rtl/>
        </w:rPr>
        <w:t>הרצלייה</w:t>
      </w:r>
      <w:r w:rsidRPr="008F01FF" w:rsidR="00CE57C7">
        <w:rPr>
          <w:rtl/>
        </w:rPr>
        <w:t xml:space="preserve">, </w:t>
      </w:r>
      <w:r w:rsidRPr="008F01FF" w:rsidR="00CE57C7">
        <w:rPr>
          <w:b/>
          <w:bCs/>
          <w:rtl/>
        </w:rPr>
        <w:t>ירושלים</w:t>
      </w:r>
      <w:r w:rsidRPr="008F01FF" w:rsidR="00CE57C7">
        <w:rPr>
          <w:rtl/>
        </w:rPr>
        <w:t xml:space="preserve">, </w:t>
      </w:r>
      <w:r w:rsidRPr="008F01FF" w:rsidR="00CE57C7">
        <w:rPr>
          <w:b/>
          <w:bCs/>
          <w:rtl/>
        </w:rPr>
        <w:t>רמת גן</w:t>
      </w:r>
      <w:r w:rsidRPr="008F01FF" w:rsidR="00CE57C7">
        <w:rPr>
          <w:rtl/>
        </w:rPr>
        <w:t xml:space="preserve"> ו</w:t>
      </w:r>
      <w:r w:rsidRPr="008F01FF" w:rsidR="00CE57C7">
        <w:rPr>
          <w:b/>
          <w:bCs/>
          <w:rtl/>
        </w:rPr>
        <w:t>רמת השרון</w:t>
      </w:r>
      <w:r w:rsidRPr="008F01FF" w:rsidR="00CE57C7">
        <w:rPr>
          <w:rtl/>
        </w:rPr>
        <w:t xml:space="preserve">. בדיקות השלמה נעשו </w:t>
      </w:r>
      <w:r w:rsidRPr="008F01FF" w:rsidR="00CE57C7">
        <w:rPr>
          <w:rtl/>
        </w:rPr>
        <w:t>במינהל</w:t>
      </w:r>
      <w:r w:rsidRPr="008F01FF" w:rsidR="00CE57C7">
        <w:rPr>
          <w:rtl/>
        </w:rPr>
        <w:t xml:space="preserve"> התכנון שבמשרד הפנים, שהוא המאסדר של הוועדות המקומיות לתכנון ולבנייה ושמרכֵּז נתונים על פעילות ועדות הערר המחוזיות; באגף </w:t>
      </w:r>
      <w:r w:rsidRPr="008F01FF" w:rsidR="00CE57C7">
        <w:rPr>
          <w:rtl/>
        </w:rPr>
        <w:t>לאסדרת</w:t>
      </w:r>
      <w:r w:rsidRPr="008F01FF" w:rsidR="00CE57C7">
        <w:rPr>
          <w:rtl/>
        </w:rPr>
        <w:t xml:space="preserve"> מקצועות במשרד המשפטים, המרכז את פעילותם של השמאים המכריעים ואת פעילותה של מועצת שמאי המקרקעין; ובמשרד הפנים</w:t>
      </w:r>
      <w:r w:rsidRPr="007D7F32" w:rsidR="00F71C3C">
        <w:rPr>
          <w:rtl/>
        </w:rPr>
        <w:t>.</w:t>
      </w:r>
      <w:r w:rsidRPr="001F3363">
        <w:rPr>
          <w:rFonts w:hint="cs"/>
          <w:rtl/>
        </w:rPr>
        <w:t xml:space="preserve"> </w:t>
      </w:r>
    </w:p>
    <w:p w:rsidR="00EB672B" w:rsidP="00C00585" w14:paraId="6DC5AFDF" w14:textId="77777777">
      <w:pPr>
        <w:pStyle w:val="75"/>
        <w:spacing w:before="600"/>
        <w:rPr>
          <w:rtl/>
        </w:rPr>
      </w:pPr>
      <w:r w:rsidRPr="00275281">
        <w:rPr>
          <w:rFonts w:hint="cs"/>
          <w:rtl/>
        </w:rPr>
        <w:t>תמונת המצב העולה מן הביקורת</w:t>
      </w:r>
    </w:p>
    <w:p w:rsidR="00EB672B" w:rsidRPr="00CF6518" w:rsidP="00EB672B" w14:paraId="53F8FF0A"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AD39FB" w:rsidP="005175EF" w14:paraId="48A50A22" w14:textId="51834B69">
      <w:pPr>
        <w:pStyle w:val="7313"/>
        <w:rPr>
          <w:rtl/>
        </w:rPr>
      </w:pPr>
      <w:r w:rsidRPr="003F0A00">
        <w:rPr>
          <w:rStyle w:val="7371"/>
          <w:rFonts w:hint="cs"/>
          <w:noProof/>
          <w:rtl/>
        </w:rPr>
        <w:drawing>
          <wp:anchor distT="0" distB="0" distL="71755" distR="0" simplePos="0" relativeHeight="25168384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5"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F01FF" w:rsidR="007E52DC">
        <w:rPr>
          <w:b/>
          <w:bCs/>
          <w:rtl/>
        </w:rPr>
        <w:t xml:space="preserve">הקמת ועדה ציבורית לבחינה של מנגנון היטלי השבחה </w:t>
      </w:r>
      <w:r w:rsidRPr="008F01FF" w:rsidR="007E52DC">
        <w:rPr>
          <w:rtl/>
        </w:rPr>
        <w:t xml:space="preserve">- החלטת הממשלה על הקמת ועדה </w:t>
      </w:r>
      <w:r w:rsidRPr="007E52DC" w:rsidR="007E52DC">
        <w:rPr>
          <w:rtl/>
        </w:rPr>
        <w:t>ציבורית</w:t>
      </w:r>
      <w:r w:rsidRPr="008F01FF" w:rsidR="007E52DC">
        <w:rPr>
          <w:rtl/>
        </w:rPr>
        <w:t xml:space="preserve"> לבחינת מנגנון היטלי ההשבחה לא יושמה, ובפועל לא הוקמה ועדה על ידי שרי הפנים </w:t>
      </w:r>
      <w:r w:rsidRPr="005175EF" w:rsidR="007E52DC">
        <w:rPr>
          <w:rtl/>
        </w:rPr>
        <w:t>שכיהנו</w:t>
      </w:r>
      <w:r w:rsidRPr="008F01FF" w:rsidR="007E52DC">
        <w:rPr>
          <w:rtl/>
        </w:rPr>
        <w:t xml:space="preserve"> בתפקיד מאוגוסט 2021 ועד אוקטובר 2023</w:t>
      </w:r>
      <w:r w:rsidR="00E3763A">
        <w:rPr>
          <w:rFonts w:hint="cs"/>
          <w:rtl/>
        </w:rPr>
        <w:t>.</w:t>
      </w:r>
    </w:p>
    <w:p w:rsidR="00BC6DAD" w:rsidP="007E52DC" w14:paraId="597E5E97" w14:textId="2DB803EE">
      <w:pPr>
        <w:pStyle w:val="7313"/>
        <w:rPr>
          <w:rtl/>
        </w:rPr>
      </w:pPr>
      <w:r w:rsidRPr="003F0A00">
        <w:rPr>
          <w:rStyle w:val="7371"/>
          <w:rFonts w:hint="cs"/>
          <w:noProof/>
          <w:rtl/>
        </w:rPr>
        <w:drawing>
          <wp:anchor distT="0" distB="0" distL="71755" distR="0" simplePos="0" relativeHeight="25168486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1"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F01FF" w:rsidR="007E52DC">
        <w:rPr>
          <w:b/>
          <w:bCs/>
          <w:rtl/>
        </w:rPr>
        <w:t>הכנסות הרשויות המקומיות מהיטלי השבחה</w:t>
      </w:r>
      <w:r w:rsidRPr="008F01FF" w:rsidR="007E52DC">
        <w:rPr>
          <w:rtl/>
        </w:rPr>
        <w:t xml:space="preserve"> - התקבולים מהיטלי השבחה ברשויות מקומיות באשכולות הפריפריאליים ביותר והמדורגות באשכולות הנמוכים (1 - 4) במדד החברתי-כלכלי היו 559 ש"ח בממוצע לתושב, ואילו התקבולים מהיטלי השבחה ברשויות המקומיות הקרובות ביותר למרכז הארץ והמדורגות באשכולות הגבוהים (8 - 10) במדד החברתי-כלכלי היו 8,476 ש"ח בממוצע לתושב, כלומר פער של פי 15. שיעור התקבולים מהיטלי השבחה ברשויות הקרובות ביותר למרכז הארץ והמדורגות באשכולות הגבוהים במדד החברתי-כלכלי עומד על כ-40% מכלל התקבולים, ואילו בתחומן מתגוררת 13.5% מהאוכלוסייה</w:t>
      </w:r>
      <w:r w:rsidRPr="002C7BB5" w:rsidR="0005519C">
        <w:rPr>
          <w:rtl/>
        </w:rPr>
        <w:t>.</w:t>
      </w:r>
    </w:p>
    <w:p w:rsidR="00E3763A" w:rsidP="007E52DC" w14:paraId="2110C45A" w14:textId="65CFA2E1">
      <w:pPr>
        <w:pStyle w:val="7313"/>
        <w:rPr>
          <w:rtl/>
        </w:rPr>
      </w:pPr>
      <w:r w:rsidRPr="003F0A00">
        <w:rPr>
          <w:rStyle w:val="7371"/>
          <w:rFonts w:hint="cs"/>
          <w:noProof/>
          <w:rtl/>
        </w:rPr>
        <w:drawing>
          <wp:anchor distT="0" distB="0" distL="71755" distR="0" simplePos="0" relativeHeight="25168691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F01FF" w:rsidR="007E52DC">
        <w:rPr>
          <w:b/>
          <w:bCs/>
          <w:rtl/>
        </w:rPr>
        <w:t xml:space="preserve">יתרת קרן היטל ההשבחה </w:t>
      </w:r>
      <w:r w:rsidRPr="008F01FF" w:rsidR="007E52DC">
        <w:rPr>
          <w:rtl/>
        </w:rPr>
        <w:t>- יש פערים ניכרים בין הרשויות מבחינת סך יתרת קרן היטל ההשבחה, שבה נצברו בסוף שנת 2021 כ-7.5 מיליארדי ש"ח: ברשויות מקומיות המדורגות באשכולות 8 - 10 במדד החברתי-כלכלי, שבתחום שיפוטן מתגוררת כ-20% מהאוכלוסייה, הסתכמה יתרת הקרן בכ-4.5 מיליארדי ש"ח, ושיעורה היה כ-60% מסך יתרת הקרן בכלל הרשויות המקומיות. בשאר הרשויות המקומיות, שבתחום שיפוטן מתגוררת כ-80% מהאוכלוסייה בישראל, הסתכמה יתרת הקרן בכ-3 מיליארדי ש"ח, ושיעורה היה כ-40% מסך יתרת הקרן להיטל השבחה בכלל הרשויות המקומיות</w:t>
      </w:r>
      <w:r w:rsidRPr="001B773F" w:rsidR="00FD5595">
        <w:rPr>
          <w:rtl/>
        </w:rPr>
        <w:t>.</w:t>
      </w:r>
    </w:p>
    <w:p w:rsidR="00FD5595" w:rsidP="007E52DC" w14:paraId="0D2B6367" w14:textId="5E2D2821">
      <w:pPr>
        <w:pStyle w:val="7313"/>
        <w:rPr>
          <w:rtl/>
        </w:rPr>
      </w:pPr>
      <w:r w:rsidRPr="003F0A00">
        <w:rPr>
          <w:rStyle w:val="7371"/>
          <w:rFonts w:hint="cs"/>
          <w:noProof/>
          <w:rtl/>
        </w:rPr>
        <w:drawing>
          <wp:anchor distT="0" distB="0" distL="71755" distR="0" simplePos="0" relativeHeight="25168793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F01FF" w:rsidR="007E52DC">
        <w:rPr>
          <w:b/>
          <w:bCs/>
          <w:rtl/>
        </w:rPr>
        <w:t>צמצום פערים</w:t>
      </w:r>
      <w:r w:rsidRPr="008F01FF" w:rsidR="007E52DC">
        <w:rPr>
          <w:rtl/>
        </w:rPr>
        <w:t xml:space="preserve"> - נמצא כי האמצעים לגישור על פערים בהכנסות בין רשויות מקומיות שמיישם משרד הפנים - מענק האיזון והקרן לצמצום פערים - אינם מביאים בחשבון את תקבולי הרשויות מהיטל השבחה. זאת, על אף הפערים של מאות אחוזים בסכומי התקבולים לתושב בין רשויות מקומיות באשכולות חברתיים-כלכליים ופריפריאליים שונים, ואף שהתקבולים מסתכמים במיליארדי שקלים. כמו כן, מענקי הפיתוח שמעביר המשרד לרשויות המקומיות אינם מספקים מענה לפערים בין הרשויות מבחינת התקבולים מהיטלי השבחה - הסכום שהועבר בשנת 2021 לרשויות המקומיות באשכולות 1 - 4 במדד </w:t>
      </w:r>
      <w:r w:rsidR="008446B5">
        <w:rPr>
          <w:rFonts w:hint="cs"/>
          <w:rtl/>
        </w:rPr>
        <w:t xml:space="preserve">  </w:t>
      </w:r>
      <w:r w:rsidRPr="008F01FF" w:rsidR="007E52DC">
        <w:rPr>
          <w:rtl/>
        </w:rPr>
        <w:t xml:space="preserve">החברתי-כלכלי (כ-100 מיליוני ש"ח) שווה לכ-3% מהפער בתקבולים מהיטלי השבחה בינן לבין רשויות המדורגות באשכולות 8 - 10, </w:t>
      </w:r>
      <w:r w:rsidRPr="008F01FF" w:rsidR="007E52DC">
        <w:rPr>
          <w:rtl/>
        </w:rPr>
        <w:t>ולכשביעית</w:t>
      </w:r>
      <w:r w:rsidRPr="008F01FF" w:rsidR="007E52DC">
        <w:rPr>
          <w:rtl/>
        </w:rPr>
        <w:t xml:space="preserve"> מהפער בתקבולים מהיטלי השבחה בינן לבין רשויות המדורגות באשכולות 5 - 7</w:t>
      </w:r>
      <w:r w:rsidRPr="001B773F">
        <w:rPr>
          <w:rtl/>
        </w:rPr>
        <w:t>.</w:t>
      </w:r>
    </w:p>
    <w:p w:rsidR="00FD5595" w:rsidP="007E52DC" w14:paraId="32BFA4CD" w14:textId="0D8BCD6B">
      <w:pPr>
        <w:pStyle w:val="7313"/>
        <w:rPr>
          <w:rtl/>
        </w:rPr>
      </w:pPr>
      <w:r w:rsidRPr="003F0A00">
        <w:rPr>
          <w:rStyle w:val="7371"/>
          <w:rFonts w:hint="cs"/>
          <w:noProof/>
          <w:rtl/>
        </w:rPr>
        <w:drawing>
          <wp:anchor distT="0" distB="0" distL="71755" distR="0" simplePos="0" relativeHeight="25168896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F01FF" w:rsidR="007E52DC">
        <w:rPr>
          <w:b/>
          <w:bCs/>
          <w:rtl/>
        </w:rPr>
        <w:t xml:space="preserve">הכנת שומות </w:t>
      </w:r>
      <w:r w:rsidRPr="008F01FF" w:rsidR="007E52DC">
        <w:rPr>
          <w:rtl/>
        </w:rPr>
        <w:t xml:space="preserve">- נמצא כי העיריות שנבדקו - </w:t>
      </w:r>
      <w:r w:rsidRPr="008F01FF" w:rsidR="007E52DC">
        <w:rPr>
          <w:b/>
          <w:bCs/>
          <w:rtl/>
        </w:rPr>
        <w:t>הרצלייה</w:t>
      </w:r>
      <w:r w:rsidRPr="008F01FF" w:rsidR="007E52DC">
        <w:rPr>
          <w:rtl/>
        </w:rPr>
        <w:t xml:space="preserve">, </w:t>
      </w:r>
      <w:r w:rsidRPr="008F01FF" w:rsidR="007E52DC">
        <w:rPr>
          <w:b/>
          <w:bCs/>
          <w:rtl/>
        </w:rPr>
        <w:t>ירושלים</w:t>
      </w:r>
      <w:r w:rsidRPr="008F01FF" w:rsidR="007E52DC">
        <w:rPr>
          <w:rtl/>
        </w:rPr>
        <w:t xml:space="preserve">, </w:t>
      </w:r>
      <w:r w:rsidRPr="008F01FF" w:rsidR="007E52DC">
        <w:rPr>
          <w:b/>
          <w:bCs/>
          <w:rtl/>
        </w:rPr>
        <w:t>רמת גן</w:t>
      </w:r>
      <w:r w:rsidRPr="008F01FF" w:rsidR="007E52DC">
        <w:rPr>
          <w:rtl/>
        </w:rPr>
        <w:t xml:space="preserve"> ו</w:t>
      </w:r>
      <w:r w:rsidRPr="008F01FF" w:rsidR="007E52DC">
        <w:rPr>
          <w:b/>
          <w:bCs/>
          <w:rtl/>
        </w:rPr>
        <w:t xml:space="preserve">רמת השרון </w:t>
      </w:r>
      <w:r w:rsidRPr="008F01FF" w:rsidR="007E52DC">
        <w:rPr>
          <w:rtl/>
        </w:rPr>
        <w:t>- לא הכינו בשנים 2018 - 2022 לוחות שומה, אף שבהכנתם גלומים יתרונות כגון חיזוק השקיפות והבקרה הציבורית ובתוך כך צמצום הסיכון למצבים שעלולים להוביל לשחיתות. העיריות שנבדקו נוהגות להכין שומות פרטניות לכל נכס ונכס במועד מימוש הזכויות או על פי בקשת בעלי הנכסים, ובשנים 2018 - 2022 הן הכינו כ-11,500 שומות פרטניות. מיפוי של משרד מבקר המדינה העלה כי בתחומי העיריות שנבדקו קיימים אזורים שבהם היה ריכוז של מאות שומות פרטניות, דבר המצביע על האפשרות ששימוש בלוח שומה היה מייעל את התהליכים, באמצעות ריכוזם במסמך שומה כוללני</w:t>
      </w:r>
      <w:r w:rsidRPr="001B773F">
        <w:rPr>
          <w:rtl/>
        </w:rPr>
        <w:t>.</w:t>
      </w:r>
    </w:p>
    <w:p w:rsidR="00FD5595" w:rsidP="007E52DC" w14:paraId="2B3B84FF" w14:textId="33CDFF4D">
      <w:pPr>
        <w:pStyle w:val="7313"/>
        <w:rPr>
          <w:rtl/>
        </w:rPr>
      </w:pPr>
      <w:r w:rsidRPr="003F0A00">
        <w:rPr>
          <w:rStyle w:val="7371"/>
          <w:rFonts w:hint="cs"/>
          <w:noProof/>
          <w:rtl/>
        </w:rPr>
        <w:drawing>
          <wp:anchor distT="0" distB="0" distL="71755" distR="0" simplePos="0" relativeHeight="25168998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F01FF" w:rsidR="007E52DC">
        <w:rPr>
          <w:b/>
          <w:bCs/>
          <w:rtl/>
        </w:rPr>
        <w:t>סיום הטיפול בהליכי ערר על שומות השבחה</w:t>
      </w:r>
      <w:r w:rsidRPr="008F01FF" w:rsidR="007E52DC">
        <w:rPr>
          <w:rtl/>
        </w:rPr>
        <w:t xml:space="preserve"> - בשנים 2018 - 2022 הוגשו בכל המחוזות 6,991 עררים בעניין שומות השבחה, 3,156 (כ-45%) מהם הוגשו במחוז תל אביב, ואולם נכון למועד סיום הביקורת, ב-2,296 (כ-73%) </w:t>
      </w:r>
      <w:r w:rsidRPr="008F01FF" w:rsidR="007E52DC">
        <w:rPr>
          <w:rtl/>
        </w:rPr>
        <w:t>מהעררים</w:t>
      </w:r>
      <w:r w:rsidRPr="008F01FF" w:rsidR="007E52DC">
        <w:rPr>
          <w:rtl/>
        </w:rPr>
        <w:t xml:space="preserve"> שהוגשו במחוז תל אביב, הטיפול לא הסתיים; במחוז צפון לא הסתיים הטיפול ב-423 (43%) מ-995 </w:t>
      </w:r>
      <w:r w:rsidRPr="008F01FF" w:rsidR="007E52DC">
        <w:rPr>
          <w:rtl/>
        </w:rPr>
        <w:t>העררים</w:t>
      </w:r>
      <w:r w:rsidRPr="008F01FF" w:rsidR="007E52DC">
        <w:rPr>
          <w:rtl/>
        </w:rPr>
        <w:t xml:space="preserve"> שהוגשו במחוז באותן שנים. לעומת זאת, במחוז דרום יש שיעור קטן יחסית (10%) של עררים שהטיפול בהם לא הסתיים, ובמחוז חיפה שיעורם </w:t>
      </w:r>
      <w:r w:rsidR="00F56E7B">
        <w:rPr>
          <w:rFonts w:hint="cs"/>
          <w:rtl/>
        </w:rPr>
        <w:t>12%</w:t>
      </w:r>
      <w:r w:rsidRPr="002C7BB5" w:rsidR="0005519C">
        <w:rPr>
          <w:rtl/>
        </w:rPr>
        <w:t>.</w:t>
      </w:r>
    </w:p>
    <w:p w:rsidR="006B28F0" w:rsidP="007E52DC" w14:paraId="793B180C" w14:textId="15697B4C">
      <w:pPr>
        <w:pStyle w:val="7313"/>
        <w:rPr>
          <w:rtl/>
        </w:rPr>
      </w:pPr>
      <w:r w:rsidRPr="003F0A00">
        <w:rPr>
          <w:rStyle w:val="7371"/>
          <w:rFonts w:hint="cs"/>
          <w:noProof/>
          <w:rtl/>
        </w:rPr>
        <w:drawing>
          <wp:anchor distT="0" distB="0" distL="71755" distR="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F01FF" w:rsidR="007E52DC">
        <w:rPr>
          <w:b/>
          <w:bCs/>
          <w:rtl/>
        </w:rPr>
        <w:t xml:space="preserve">משך הזמן לטיפול </w:t>
      </w:r>
      <w:r w:rsidRPr="008F01FF" w:rsidR="007E52DC">
        <w:rPr>
          <w:b/>
          <w:bCs/>
          <w:rtl/>
        </w:rPr>
        <w:t>בעררים</w:t>
      </w:r>
      <w:r w:rsidRPr="008F01FF" w:rsidR="007E52DC">
        <w:rPr>
          <w:rtl/>
        </w:rPr>
        <w:t xml:space="preserve"> - משך הזמן הממוצע לסיום הטיפול </w:t>
      </w:r>
      <w:r w:rsidRPr="008F01FF" w:rsidR="007E52DC">
        <w:rPr>
          <w:rtl/>
        </w:rPr>
        <w:t>בעררים</w:t>
      </w:r>
      <w:r w:rsidRPr="008F01FF" w:rsidR="007E52DC">
        <w:rPr>
          <w:rtl/>
        </w:rPr>
        <w:t xml:space="preserve"> בכלל המחוזות היה 429 ימים - פי שלושה מזמן התקן להשלמת התהליך (140 ימים). במחוז תל אביב נמדד משך הזמן הארוך ביותר - כשנתיים, כמעט פי חמישה מזמן התקן. במחוז ירושלים משך הזמן לסיום הטיפול היה 1.3 שנים - כמעט פי 3.5 מזמן התקן. במחוזות דרום, חיפה וצפון משך הזמן הממוצע לסיום הטיפול הוא יותר מ-282 ימים - פי שניים מזמן התקן. הימשכותם של הליכי ערר בעניין שומות השבחה אינה רצויה, משום שהיא יוצרת חוסר ודאות מתמשך לגבי סכום ההיטל שישולם בפועל, ואף לגבי עצם החיוב, והיא גם ביטוי לחוסר יעילות ולסרבול של הליכי החיוב ושל גביית ההיטלים</w:t>
      </w:r>
      <w:r w:rsidRPr="001B773F">
        <w:rPr>
          <w:rtl/>
        </w:rPr>
        <w:t>.</w:t>
      </w:r>
    </w:p>
    <w:p w:rsidR="007E52DC" w:rsidP="007E52DC" w14:paraId="0727B42C" w14:textId="5039E276">
      <w:pPr>
        <w:pStyle w:val="7313"/>
        <w:rPr>
          <w:rtl/>
        </w:rPr>
      </w:pPr>
      <w:r w:rsidRPr="003F0A00">
        <w:rPr>
          <w:rStyle w:val="7371"/>
          <w:rFonts w:hint="cs"/>
          <w:noProof/>
          <w:rtl/>
        </w:rPr>
        <w:drawing>
          <wp:anchor distT="0" distB="0" distL="71755" distR="0" simplePos="0" relativeHeight="25169305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F01FF">
        <w:rPr>
          <w:b/>
          <w:bCs/>
          <w:rtl/>
        </w:rPr>
        <w:t>תוצאות הליכי ערר ושמאי מכריע</w:t>
      </w:r>
      <w:r w:rsidRPr="008F01FF">
        <w:rPr>
          <w:rtl/>
        </w:rPr>
        <w:t xml:space="preserve"> - ב-55% מהליכי הערר שהחלו בשנים 2018 - 2022 על שומות שהכינו ועדות מקומיות (1,305 הליכים מתוך 2,353), הערר התקבל באופן מלא או חלקי או הסתיים בהסכמת הצדדים או בפשרה ביניהם. כלומר, </w:t>
      </w:r>
      <w:r w:rsidRPr="008F01FF">
        <w:rPr>
          <w:rtl/>
        </w:rPr>
        <w:t>בכמחצית</w:t>
      </w:r>
      <w:r w:rsidRPr="008F01FF">
        <w:rPr>
          <w:rtl/>
        </w:rPr>
        <w:t xml:space="preserve"> המקרים הערר הביא לשינוי השומה או לביטולה. אשר למחלוקות לגבי שומות שהובאו לפני שמאים מכריעים, ב-57 (95%) מ-60 שומות מכריעות שנדגמו באקראי הפחיתו השמאים המכריעים משומת הוועדה ושיעור ההפחתה עמד בממוצע על 36%; ב-70% מהמקרים ההפחתה הייתה בשיעור של יותר מ-25%. בניתוח 451 מקרים של מחלוקות לגבי שומות שהכינו עיריות </w:t>
      </w:r>
      <w:r w:rsidRPr="008F01FF">
        <w:rPr>
          <w:b/>
          <w:bCs/>
          <w:rtl/>
        </w:rPr>
        <w:t>הרצלייה</w:t>
      </w:r>
      <w:r w:rsidRPr="008F01FF">
        <w:rPr>
          <w:rtl/>
        </w:rPr>
        <w:t xml:space="preserve">, </w:t>
      </w:r>
      <w:r w:rsidRPr="008F01FF">
        <w:rPr>
          <w:b/>
          <w:bCs/>
          <w:rtl/>
        </w:rPr>
        <w:t>רמת גן</w:t>
      </w:r>
      <w:r w:rsidRPr="008F01FF">
        <w:rPr>
          <w:rtl/>
        </w:rPr>
        <w:t xml:space="preserve"> ו</w:t>
      </w:r>
      <w:r w:rsidRPr="008F01FF">
        <w:rPr>
          <w:b/>
          <w:bCs/>
          <w:rtl/>
        </w:rPr>
        <w:t>רמת השרון</w:t>
      </w:r>
      <w:r w:rsidRPr="008F01FF">
        <w:rPr>
          <w:rtl/>
        </w:rPr>
        <w:t xml:space="preserve"> שהובאו לפני שמאי מכריע, נמצא כי ברובם </w:t>
      </w:r>
      <w:r w:rsidRPr="008F01FF">
        <w:rPr>
          <w:rtl/>
        </w:rPr>
        <w:t>המכריע (95% ומעלה) השמאים המכריעים הפחיתו מהחיוב שנקבע בשומות העיריות. שיעור המקרים שבהם היה הפער בין החיובים גדול מ-25% היה 63% ב</w:t>
      </w:r>
      <w:r w:rsidRPr="008F01FF">
        <w:rPr>
          <w:b/>
          <w:bCs/>
          <w:rtl/>
        </w:rPr>
        <w:t>הרצלייה</w:t>
      </w:r>
      <w:r>
        <w:rPr>
          <w:rtl/>
        </w:rPr>
        <w:t>,</w:t>
      </w:r>
      <w:r w:rsidRPr="008F01FF">
        <w:rPr>
          <w:rtl/>
        </w:rPr>
        <w:t xml:space="preserve"> 57% ב</w:t>
      </w:r>
      <w:r w:rsidRPr="008F01FF">
        <w:rPr>
          <w:b/>
          <w:bCs/>
          <w:rtl/>
        </w:rPr>
        <w:t xml:space="preserve">רמת גן </w:t>
      </w:r>
      <w:r w:rsidRPr="008F01FF">
        <w:rPr>
          <w:rtl/>
        </w:rPr>
        <w:t>ו-58% ב</w:t>
      </w:r>
      <w:r w:rsidRPr="008F01FF">
        <w:rPr>
          <w:b/>
          <w:bCs/>
          <w:rtl/>
        </w:rPr>
        <w:t>רמת השרון</w:t>
      </w:r>
      <w:r w:rsidRPr="008F01FF">
        <w:rPr>
          <w:rtl/>
        </w:rPr>
        <w:t xml:space="preserve">. הממצאים על הפערים בין שומות לאחר החלטות השמאים המכריעים מצביעים על חיוב ביתר של סכומי כסף גדולים, לעיתים מאות אלפי שקלים ואף מיליוני שקלים - סכומים שעשויים לשנות באופן מהותי את הכדאיות הכלכלית של מיזם או של עסקת מקרקעין. בשלוש מהעיריות שנבדקו - </w:t>
      </w:r>
      <w:r w:rsidRPr="008F01FF">
        <w:rPr>
          <w:b/>
          <w:bCs/>
          <w:rtl/>
        </w:rPr>
        <w:t>הרצלייה</w:t>
      </w:r>
      <w:r w:rsidRPr="008F01FF">
        <w:rPr>
          <w:rtl/>
        </w:rPr>
        <w:t xml:space="preserve">, </w:t>
      </w:r>
      <w:r w:rsidRPr="008F01FF">
        <w:rPr>
          <w:b/>
          <w:bCs/>
          <w:rtl/>
        </w:rPr>
        <w:t>רמת גן</w:t>
      </w:r>
      <w:r w:rsidRPr="008F01FF">
        <w:rPr>
          <w:rtl/>
        </w:rPr>
        <w:t xml:space="preserve"> ו</w:t>
      </w:r>
      <w:r w:rsidRPr="008F01FF">
        <w:rPr>
          <w:b/>
          <w:bCs/>
          <w:rtl/>
        </w:rPr>
        <w:t xml:space="preserve">רמת השרון </w:t>
      </w:r>
      <w:r w:rsidRPr="008F01FF">
        <w:rPr>
          <w:rtl/>
        </w:rPr>
        <w:t xml:space="preserve">- היו הסכומים הממוצעים של השינוי בסכום החיוב בעקבות החלטות השמאים המכריעים בין כ-320,000 ש"ח לכ-1.42 מיליון ש"ח. הסכום החציוני של הפער בחיובים היה בין כ-83,000 ש"ח לכ-105,000 ש"ח. הדבר עלול לפגוע באמון הציבור באופן שבו קובעות הרשויות את סכומי היטל ההשבחה, והוא משקף את מידת חוסר הוודאות שטמונה בשיטת החיוב לגבי הסכומים שייגבו בסופו של דבר. עיריית </w:t>
      </w:r>
      <w:r w:rsidRPr="008F01FF">
        <w:rPr>
          <w:b/>
          <w:bCs/>
          <w:rtl/>
        </w:rPr>
        <w:t>ירושלים</w:t>
      </w:r>
      <w:r w:rsidRPr="008F01FF">
        <w:rPr>
          <w:rtl/>
        </w:rPr>
        <w:t xml:space="preserve"> אינה מרכזת נתונים על הסכומים שקבעו שמאים מכריעים במחלוקות בעניין השומות שלה, והדבר פוגע ביכולתה לנתח בעצמה את הנתונים על פערים מהותיים בסכומי השומות, לבחון מגמות בתחום זה ולנקוט פעולות לצמצום התופעה</w:t>
      </w:r>
      <w:r w:rsidRPr="001B773F">
        <w:rPr>
          <w:rtl/>
        </w:rPr>
        <w:t>.</w:t>
      </w:r>
    </w:p>
    <w:p w:rsidR="007E52DC" w:rsidP="007E52DC" w14:paraId="40AD37B8" w14:textId="2D9B89AD">
      <w:pPr>
        <w:pStyle w:val="7313"/>
        <w:rPr>
          <w:rtl/>
        </w:rPr>
      </w:pPr>
      <w:r w:rsidRPr="003F0A00">
        <w:rPr>
          <w:rStyle w:val="7371"/>
          <w:rFonts w:hint="cs"/>
          <w:noProof/>
          <w:rtl/>
        </w:rPr>
        <w:drawing>
          <wp:anchor distT="0" distB="0" distL="71755" distR="0" simplePos="0" relativeHeight="25169408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F01FF">
        <w:rPr>
          <w:b/>
          <w:bCs/>
          <w:rtl/>
        </w:rPr>
        <w:t xml:space="preserve">פעולות </w:t>
      </w:r>
      <w:r w:rsidRPr="008F01FF">
        <w:rPr>
          <w:b/>
          <w:bCs/>
          <w:rtl/>
        </w:rPr>
        <w:t>המאסדרים</w:t>
      </w:r>
      <w:r w:rsidRPr="008F01FF">
        <w:rPr>
          <w:rtl/>
        </w:rPr>
        <w:t xml:space="preserve"> </w:t>
      </w:r>
      <w:r w:rsidRPr="000D317B">
        <w:rPr>
          <w:b/>
          <w:bCs/>
          <w:rtl/>
        </w:rPr>
        <w:t xml:space="preserve">- </w:t>
      </w:r>
      <w:r w:rsidRPr="008F01FF">
        <w:rPr>
          <w:b/>
          <w:bCs/>
          <w:rtl/>
        </w:rPr>
        <w:t>מינהל</w:t>
      </w:r>
      <w:r w:rsidRPr="008F01FF">
        <w:rPr>
          <w:b/>
          <w:bCs/>
          <w:rtl/>
        </w:rPr>
        <w:t xml:space="preserve"> התכנון ומשרד המשפטים</w:t>
      </w:r>
      <w:r w:rsidRPr="008F01FF">
        <w:rPr>
          <w:rtl/>
        </w:rPr>
        <w:t xml:space="preserve"> - </w:t>
      </w:r>
      <w:r w:rsidRPr="008F01FF">
        <w:rPr>
          <w:rtl/>
        </w:rPr>
        <w:t>מינהל</w:t>
      </w:r>
      <w:r w:rsidRPr="008F01FF">
        <w:rPr>
          <w:rtl/>
        </w:rPr>
        <w:t xml:space="preserve"> התכנון לא בחן את תפקוד הוועדות המקומיות בהיבטים הניהוליים של קביעת היטלי השבחה, שקיפות ההליכים והפקת לקחים. לפיכך לא נבדקה סוגיית הפערים בין השומות לחיובים הסופיים. למשרד המשפטים אין נתונים על הפערים שהתגלעו בהליכים שהתקיימו בפני שמאים מכריעים, שאת פעילותם הוא מרכז, ולכן אינו יכול להפיק לקחים ולנקוט פעולות שיסייעו לצמצם את תופעת הפערים המהותיים</w:t>
      </w:r>
      <w:r w:rsidRPr="001B773F">
        <w:rPr>
          <w:rtl/>
        </w:rPr>
        <w:t>.</w:t>
      </w:r>
    </w:p>
    <w:p w:rsidR="007E52DC" w:rsidP="007E52DC" w14:paraId="416558D7" w14:textId="109D34D3">
      <w:pPr>
        <w:pStyle w:val="7313"/>
        <w:rPr>
          <w:rtl/>
        </w:rPr>
      </w:pPr>
      <w:r w:rsidRPr="003F0A00">
        <w:rPr>
          <w:rStyle w:val="7371"/>
          <w:rFonts w:hint="cs"/>
          <w:noProof/>
          <w:rtl/>
        </w:rPr>
        <w:drawing>
          <wp:anchor distT="0" distB="0" distL="71755" distR="0" simplePos="0" relativeHeight="25169510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F01FF">
        <w:rPr>
          <w:b/>
          <w:bCs/>
          <w:rtl/>
        </w:rPr>
        <w:t>שקיפות המידע בנוגע לשומות השבחה</w:t>
      </w:r>
      <w:r w:rsidRPr="008F01FF">
        <w:rPr>
          <w:rtl/>
        </w:rPr>
        <w:t xml:space="preserve"> - העיריות שנבדקו אינן מפרסמות לציבור את שומות ההשבחה שהן הכינו, את השומות הסופיות ואת סכומי ההיטל שנגבו מבעלי נכסים. עקב כך נפגעת יכולת הציבור לקבל החלטות מושכלות, לבחון את שומות ההשבחה ואת דרישות התשלום ולבחון, בהתאם לצורך, אם הן מוצדקות ומשקפות חיוב שוויוני והוגן</w:t>
      </w:r>
      <w:r w:rsidRPr="001B773F">
        <w:rPr>
          <w:rtl/>
        </w:rPr>
        <w:t>.</w:t>
      </w:r>
    </w:p>
    <w:p w:rsidR="007E52DC" w:rsidP="002D15AD" w14:paraId="2DEC63E8" w14:textId="52BBB04B">
      <w:pPr>
        <w:pStyle w:val="7313"/>
        <w:rPr>
          <w:rtl/>
        </w:rPr>
      </w:pPr>
      <w:r w:rsidRPr="003F0A00">
        <w:rPr>
          <w:rStyle w:val="7371"/>
          <w:rFonts w:hint="cs"/>
          <w:noProof/>
          <w:rtl/>
        </w:rPr>
        <w:drawing>
          <wp:anchor distT="0" distB="0" distL="71755" distR="0" simplePos="0" relativeHeight="25169612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F01FF">
        <w:rPr>
          <w:b/>
          <w:bCs/>
          <w:rtl/>
        </w:rPr>
        <w:t xml:space="preserve">אמנת שירות לציבור ומתן מידע לציבור </w:t>
      </w:r>
      <w:r w:rsidRPr="008F01FF">
        <w:rPr>
          <w:rtl/>
        </w:rPr>
        <w:t xml:space="preserve">- לעיריות </w:t>
      </w:r>
      <w:r w:rsidRPr="008F01FF">
        <w:rPr>
          <w:b/>
          <w:bCs/>
          <w:rtl/>
        </w:rPr>
        <w:t>הרצלייה</w:t>
      </w:r>
      <w:r w:rsidRPr="008F01FF">
        <w:rPr>
          <w:rtl/>
        </w:rPr>
        <w:t xml:space="preserve">, </w:t>
      </w:r>
      <w:r w:rsidRPr="008F01FF">
        <w:rPr>
          <w:b/>
          <w:bCs/>
          <w:rtl/>
        </w:rPr>
        <w:t>ירושלים</w:t>
      </w:r>
      <w:r w:rsidRPr="008F01FF">
        <w:rPr>
          <w:rtl/>
        </w:rPr>
        <w:t xml:space="preserve"> ו</w:t>
      </w:r>
      <w:r w:rsidRPr="008F01FF">
        <w:rPr>
          <w:b/>
          <w:bCs/>
          <w:rtl/>
        </w:rPr>
        <w:t xml:space="preserve">רמת השרון </w:t>
      </w:r>
      <w:r w:rsidRPr="008F01FF">
        <w:rPr>
          <w:rtl/>
        </w:rPr>
        <w:t xml:space="preserve">אין אמנת שירות בנושא מתן שירותים בהיטל השבחה. עיריית </w:t>
      </w:r>
      <w:r w:rsidRPr="008F01FF">
        <w:rPr>
          <w:b/>
          <w:bCs/>
          <w:rtl/>
        </w:rPr>
        <w:t>רמת גן</w:t>
      </w:r>
      <w:r w:rsidRPr="008F01FF">
        <w:rPr>
          <w:rtl/>
        </w:rPr>
        <w:t xml:space="preserve"> הכינה טיוטת נוהל של אמנת שירות בנושא זה, הכוללת את שעות הפעילות במתן השירותים, זמני התקן והנחיות למעקב ולדיווח על יישום אמנת השירות. עיריות </w:t>
      </w:r>
      <w:r w:rsidRPr="008F01FF">
        <w:rPr>
          <w:b/>
          <w:bCs/>
          <w:rtl/>
        </w:rPr>
        <w:t>הרצלייה</w:t>
      </w:r>
      <w:r w:rsidRPr="008F01FF">
        <w:rPr>
          <w:rtl/>
        </w:rPr>
        <w:t xml:space="preserve">, </w:t>
      </w:r>
      <w:r w:rsidRPr="008F01FF">
        <w:rPr>
          <w:b/>
          <w:bCs/>
          <w:rtl/>
        </w:rPr>
        <w:t>רמת גן</w:t>
      </w:r>
      <w:r w:rsidRPr="008F01FF">
        <w:rPr>
          <w:rtl/>
        </w:rPr>
        <w:t xml:space="preserve"> ו</w:t>
      </w:r>
      <w:r w:rsidRPr="008F01FF">
        <w:rPr>
          <w:b/>
          <w:bCs/>
          <w:rtl/>
        </w:rPr>
        <w:t>רמת השרון</w:t>
      </w:r>
      <w:r w:rsidRPr="008F01FF">
        <w:rPr>
          <w:rtl/>
        </w:rPr>
        <w:t xml:space="preserve"> אינן מוסרות באתריהן מידע על נסיבות המאפשרות קבלת פטור מהיטל השבחה ועיריית </w:t>
      </w:r>
      <w:r w:rsidRPr="008F01FF">
        <w:rPr>
          <w:b/>
          <w:bCs/>
          <w:rtl/>
        </w:rPr>
        <w:t xml:space="preserve">רמת גן </w:t>
      </w:r>
      <w:r w:rsidRPr="008F01FF">
        <w:rPr>
          <w:rtl/>
        </w:rPr>
        <w:t xml:space="preserve">גם אינה מוסרת באתרה מידע על הזכויות להגיש עררים או לבקש למנות שמאי מכריע. עיריות </w:t>
      </w:r>
      <w:r w:rsidRPr="008F01FF">
        <w:rPr>
          <w:b/>
          <w:bCs/>
          <w:rtl/>
        </w:rPr>
        <w:t>הרצלייה</w:t>
      </w:r>
      <w:r w:rsidRPr="008F01FF">
        <w:rPr>
          <w:rtl/>
        </w:rPr>
        <w:t xml:space="preserve">, </w:t>
      </w:r>
      <w:r w:rsidRPr="008F01FF">
        <w:rPr>
          <w:b/>
          <w:bCs/>
          <w:rtl/>
        </w:rPr>
        <w:t>ירושלים</w:t>
      </w:r>
      <w:r w:rsidRPr="008F01FF">
        <w:rPr>
          <w:rtl/>
        </w:rPr>
        <w:t xml:space="preserve">, </w:t>
      </w:r>
      <w:r w:rsidRPr="008F01FF">
        <w:rPr>
          <w:b/>
          <w:bCs/>
          <w:rtl/>
        </w:rPr>
        <w:t xml:space="preserve">רמת גן </w:t>
      </w:r>
      <w:r w:rsidRPr="008F01FF">
        <w:rPr>
          <w:rtl/>
        </w:rPr>
        <w:t>ו</w:t>
      </w:r>
      <w:r w:rsidRPr="008F01FF">
        <w:rPr>
          <w:b/>
          <w:bCs/>
          <w:rtl/>
        </w:rPr>
        <w:t xml:space="preserve">רמת השרון </w:t>
      </w:r>
      <w:r w:rsidRPr="008F01FF">
        <w:rPr>
          <w:rtl/>
        </w:rPr>
        <w:t>אינן מיידעות את החייבים בהיטל בגין היתר לשימוש חורג למטרת עסק כי הם רשאים בין היתר, להעמיד ערבות בשיעור של עד 40% מהיטל ההשבחה שנקבע, על אף קיומה של זכות כזו בחוק התכנון והבנייה, והן דורשות, כתנאי לקבלת ההיתר, את תשלום מלוא ההיטל</w:t>
      </w:r>
      <w:r w:rsidRPr="001B773F">
        <w:rPr>
          <w:rtl/>
        </w:rPr>
        <w:t>.</w:t>
      </w:r>
    </w:p>
    <w:p w:rsidR="007E52DC" w:rsidP="00323CFF" w14:paraId="337523DF" w14:textId="224C01FE">
      <w:pPr>
        <w:pStyle w:val="7313"/>
        <w:rPr>
          <w:rtl/>
        </w:rPr>
      </w:pPr>
      <w:r w:rsidRPr="003F0A00">
        <w:rPr>
          <w:rStyle w:val="7371"/>
          <w:rFonts w:hint="cs"/>
          <w:noProof/>
          <w:rtl/>
        </w:rPr>
        <w:drawing>
          <wp:anchor distT="0" distB="0" distL="71755" distR="0" simplePos="0" relativeHeight="25169715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F01FF" w:rsidR="00323CFF">
        <w:rPr>
          <w:b/>
          <w:bCs/>
          <w:rtl/>
        </w:rPr>
        <w:t>ממשק ממוחשב עם הרשות לרישום והסדר זכויות מקרקעין</w:t>
      </w:r>
      <w:r w:rsidRPr="008F01FF" w:rsidR="00323CFF">
        <w:rPr>
          <w:rtl/>
        </w:rPr>
        <w:t xml:space="preserve"> - עיריית </w:t>
      </w:r>
      <w:r w:rsidRPr="008F01FF" w:rsidR="00323CFF">
        <w:rPr>
          <w:b/>
          <w:bCs/>
          <w:rtl/>
        </w:rPr>
        <w:t>ירושלים</w:t>
      </w:r>
      <w:r w:rsidRPr="008F01FF" w:rsidR="00323CFF">
        <w:rPr>
          <w:rtl/>
        </w:rPr>
        <w:t xml:space="preserve"> הצטרפה לממשק הממוחשב עם מערכות הרשות לרישום והסדר זכויות מקרקעין, ואילו עיריות </w:t>
      </w:r>
      <w:r w:rsidRPr="008F01FF" w:rsidR="00323CFF">
        <w:rPr>
          <w:b/>
          <w:bCs/>
          <w:rtl/>
        </w:rPr>
        <w:t>הרצלייה</w:t>
      </w:r>
      <w:r w:rsidRPr="008F01FF" w:rsidR="00323CFF">
        <w:rPr>
          <w:rtl/>
        </w:rPr>
        <w:t xml:space="preserve">, </w:t>
      </w:r>
      <w:r w:rsidRPr="008F01FF" w:rsidR="00323CFF">
        <w:rPr>
          <w:b/>
          <w:bCs/>
          <w:rtl/>
        </w:rPr>
        <w:t>רמת גן</w:t>
      </w:r>
      <w:r w:rsidRPr="008F01FF" w:rsidR="00323CFF">
        <w:rPr>
          <w:rtl/>
        </w:rPr>
        <w:t xml:space="preserve"> ו</w:t>
      </w:r>
      <w:r w:rsidRPr="008F01FF" w:rsidR="00323CFF">
        <w:rPr>
          <w:b/>
          <w:bCs/>
          <w:rtl/>
        </w:rPr>
        <w:t xml:space="preserve">רמת השרון </w:t>
      </w:r>
      <w:r w:rsidRPr="008F01FF" w:rsidR="00323CFF">
        <w:rPr>
          <w:rtl/>
        </w:rPr>
        <w:t>לא עשו כן. ללא חיבור ממוחשב גדל הסיכון לזיוף אישורים על היעדר חובות מטעמן, ובכללם חובות היטל השבחה (שהם תנאי לרישום זכויות מקרקעין), נפגעת היעילות של תהליכי רישום המקרקעין והשירות לתושב מסורבל</w:t>
      </w:r>
      <w:r w:rsidRPr="001B773F">
        <w:rPr>
          <w:rtl/>
        </w:rPr>
        <w:t>.</w:t>
      </w:r>
    </w:p>
    <w:p w:rsidR="00323CFF" w:rsidP="00323CFF" w14:paraId="53F27E00" w14:textId="3D93F277">
      <w:pPr>
        <w:pStyle w:val="7313"/>
        <w:rPr>
          <w:rtl/>
        </w:rPr>
      </w:pPr>
      <w:r w:rsidRPr="003F0A00">
        <w:rPr>
          <w:rStyle w:val="7371"/>
          <w:rFonts w:hint="cs"/>
          <w:noProof/>
          <w:rtl/>
        </w:rPr>
        <w:drawing>
          <wp:anchor distT="0" distB="0" distL="71755" distR="0" simplePos="0" relativeHeight="25169817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F01FF">
        <w:rPr>
          <w:b/>
          <w:bCs/>
          <w:rtl/>
        </w:rPr>
        <w:t>גביית מקדמות מבעלי מקרקעין המבקשים לקבל שומת השבחה</w:t>
      </w:r>
      <w:r w:rsidRPr="008F01FF">
        <w:rPr>
          <w:rtl/>
        </w:rPr>
        <w:t xml:space="preserve"> - שר הפנים לא התקין את התקנות לקביעת סכומי אגרה בעד עריכת שומה לפי בקשת בעלי מקרקעין. שלוש מהעיריות שנבדקו </w:t>
      </w:r>
      <w:r w:rsidRPr="00DB3CAE">
        <w:rPr>
          <w:rtl/>
        </w:rPr>
        <w:t>-</w:t>
      </w:r>
      <w:r w:rsidRPr="008F01FF">
        <w:rPr>
          <w:b/>
          <w:bCs/>
          <w:rtl/>
        </w:rPr>
        <w:t xml:space="preserve"> הרצלייה</w:t>
      </w:r>
      <w:r w:rsidRPr="00DB3CAE">
        <w:rPr>
          <w:rtl/>
        </w:rPr>
        <w:t>,</w:t>
      </w:r>
      <w:r w:rsidRPr="008F01FF">
        <w:rPr>
          <w:b/>
          <w:bCs/>
          <w:rtl/>
        </w:rPr>
        <w:t xml:space="preserve"> ירושלים </w:t>
      </w:r>
      <w:r w:rsidRPr="008F01FF">
        <w:rPr>
          <w:rtl/>
        </w:rPr>
        <w:t>ו</w:t>
      </w:r>
      <w:r w:rsidRPr="008F01FF">
        <w:rPr>
          <w:b/>
          <w:bCs/>
          <w:rtl/>
        </w:rPr>
        <w:t xml:space="preserve">רמת גן </w:t>
      </w:r>
      <w:r w:rsidRPr="00DB3CAE">
        <w:rPr>
          <w:rtl/>
        </w:rPr>
        <w:t>-</w:t>
      </w:r>
      <w:r w:rsidRPr="008F01FF">
        <w:rPr>
          <w:b/>
          <w:bCs/>
          <w:rtl/>
        </w:rPr>
        <w:t xml:space="preserve"> </w:t>
      </w:r>
      <w:r w:rsidRPr="008F01FF">
        <w:rPr>
          <w:rtl/>
        </w:rPr>
        <w:t xml:space="preserve">מבקשות מבעלי המקרקעין מקדמה כספית כתנאי להכנת השומה, אף שאין בנמצא תקנות המסמיכות אותן לעשות כן. עיריית </w:t>
      </w:r>
      <w:r w:rsidRPr="008F01FF">
        <w:rPr>
          <w:b/>
          <w:bCs/>
          <w:rtl/>
        </w:rPr>
        <w:t>ירושלים</w:t>
      </w:r>
      <w:r w:rsidRPr="008F01FF">
        <w:rPr>
          <w:rtl/>
        </w:rPr>
        <w:t xml:space="preserve"> הגבילה את הכנת השומות המקדמיות למקרים חריגים, לנוכח הקשיים המשפטיים שהתעוררו בהיעדר תקנות. נוסף על כך נמצא כי אין אחידות בין העיריות האמורות מבחינת שיטת חישוב המקדמה: חלקן דורשות סכום קבוע וידוע מראש, ואחרות מבקשות סכום משתנה בהתאם לעלות הצפויה של הכנת השומה. בין העיריות שקבעו סכומי מקדמה מראש אין אחידות גם מבחינת גובה המקדמה</w:t>
      </w:r>
      <w:r w:rsidRPr="001B773F">
        <w:rPr>
          <w:rtl/>
        </w:rPr>
        <w:t>.</w:t>
      </w:r>
    </w:p>
    <w:p w:rsidR="007E52DC" w:rsidP="007E52DC" w14:paraId="2BC757CA" w14:textId="77777777">
      <w:pPr>
        <w:pStyle w:val="7313"/>
        <w:rPr>
          <w:rtl/>
        </w:rPr>
      </w:pPr>
    </w:p>
    <w:p w:rsidR="00BC2C45" w:rsidRPr="005A00F2" w:rsidP="00BC2C45" w14:paraId="3D437B69" w14:textId="031F4D09">
      <w:pPr>
        <w:pStyle w:val="7313"/>
        <w:rPr>
          <w:rtl/>
        </w:rPr>
      </w:pPr>
      <w:r w:rsidRPr="00362C00">
        <w:rPr>
          <w:rFonts w:hint="cs"/>
          <w:noProof/>
          <w:sz w:val="19"/>
          <w:szCs w:val="19"/>
          <w:rtl/>
        </w:rPr>
        <w:drawing>
          <wp:anchor distT="0" distB="0" distL="114300" distR="114300" simplePos="0" relativeHeight="251692032" behindDoc="1" locked="0" layoutInCell="1" allowOverlap="1">
            <wp:simplePos x="0" y="0"/>
            <wp:positionH relativeFrom="column">
              <wp:posOffset>2324735</wp:posOffset>
            </wp:positionH>
            <wp:positionV relativeFrom="paragraph">
              <wp:posOffset>0</wp:posOffset>
            </wp:positionV>
            <wp:extent cx="2355215" cy="180340"/>
            <wp:effectExtent l="0" t="0" r="6985" b="0"/>
            <wp:wrapNone/>
            <wp:docPr id="36"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like.png"/>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rsidR="00527FB4" w:rsidRPr="008F01FF" w:rsidP="002D15AD" w14:paraId="6B247DBC" w14:textId="201C70BE">
      <w:pPr>
        <w:pStyle w:val="756"/>
        <w:rPr>
          <w:rtl/>
        </w:rPr>
      </w:pPr>
      <w:r w:rsidRPr="008F01FF">
        <w:rPr>
          <w:b/>
          <w:bCs/>
          <w:rtl/>
        </w:rPr>
        <w:t xml:space="preserve">הליכים בפני שמאי מכריע </w:t>
      </w:r>
      <w:r w:rsidRPr="008F01FF">
        <w:rPr>
          <w:rtl/>
        </w:rPr>
        <w:t>- ברוב הגדול (97%) של ההליכים שהחלו בשנים</w:t>
      </w:r>
      <w:r w:rsidR="00CD3AB1">
        <w:rPr>
          <w:rFonts w:hint="cs"/>
          <w:rtl/>
        </w:rPr>
        <w:t xml:space="preserve">             </w:t>
      </w:r>
      <w:r w:rsidRPr="008F01FF">
        <w:rPr>
          <w:rtl/>
        </w:rPr>
        <w:t xml:space="preserve"> 2018 - 2022 הסתיים הטיפול, והדבר מצביע על כך שלא </w:t>
      </w:r>
      <w:r w:rsidRPr="00527FB4">
        <w:rPr>
          <w:rtl/>
        </w:rPr>
        <w:t>מסתמנת</w:t>
      </w:r>
      <w:r w:rsidRPr="008F01FF">
        <w:rPr>
          <w:rtl/>
        </w:rPr>
        <w:t xml:space="preserve"> תופעה בלתי רצויה של הליכים שנמשכים שנים ללא הכרעה.</w:t>
      </w:r>
    </w:p>
    <w:p w:rsidR="00FE684E" w:rsidRPr="00FC6C88" w:rsidP="002D15AD" w14:paraId="202E6AEC" w14:textId="641F9433">
      <w:pPr>
        <w:pStyle w:val="756"/>
        <w:rPr>
          <w:rtl/>
        </w:rPr>
      </w:pPr>
      <w:r w:rsidRPr="008F01FF">
        <w:rPr>
          <w:b/>
          <w:bCs/>
          <w:rtl/>
        </w:rPr>
        <w:t xml:space="preserve">מידע לציבור באתר המרשתת </w:t>
      </w:r>
      <w:r w:rsidRPr="008F01FF">
        <w:rPr>
          <w:rtl/>
        </w:rPr>
        <w:t xml:space="preserve">- בדף הנחיתה של אתר המרשתת של עיריית </w:t>
      </w:r>
      <w:r w:rsidRPr="008F01FF">
        <w:rPr>
          <w:b/>
          <w:bCs/>
          <w:rtl/>
        </w:rPr>
        <w:t>ירושלים</w:t>
      </w:r>
      <w:r w:rsidRPr="008F01FF">
        <w:rPr>
          <w:rtl/>
        </w:rPr>
        <w:t xml:space="preserve"> יש מידע מקיף </w:t>
      </w:r>
      <w:r w:rsidRPr="002D15AD">
        <w:rPr>
          <w:rtl/>
        </w:rPr>
        <w:t>יחסית</w:t>
      </w:r>
      <w:r w:rsidRPr="008F01FF">
        <w:rPr>
          <w:rtl/>
        </w:rPr>
        <w:t xml:space="preserve"> על היטל השבחה. תחומי השירות בתחום מקובצים לפי תהליכים, ויש מידע על מגוון ערוצי השירות</w:t>
      </w:r>
      <w:r w:rsidRPr="007D7F32">
        <w:rPr>
          <w:b/>
          <w:rtl/>
        </w:rPr>
        <w:t>.</w:t>
      </w:r>
    </w:p>
    <w:p w:rsidR="00EB672B" w:rsidRPr="006F49D3" w:rsidP="006F49D3" w14:paraId="1FC3C430" w14:textId="77777777">
      <w:pPr>
        <w:pStyle w:val="753"/>
        <w:rPr>
          <w:rtl/>
        </w:rPr>
      </w:pPr>
      <w:r w:rsidRPr="006F49D3">
        <w:rPr>
          <w:rFonts w:hint="cs"/>
          <w:rtl/>
        </w:rPr>
        <w:t>עיקרי המלצות הביקורת</w:t>
      </w:r>
    </w:p>
    <w:p w:rsidR="00EB672B" w:rsidP="002D15AD" w14:paraId="344A34B6" w14:textId="1CB54DC4">
      <w:pPr>
        <w:pStyle w:val="756"/>
        <w:rPr>
          <w:rtl/>
        </w:rPr>
      </w:pPr>
      <w:r w:rsidRPr="0063556C">
        <w:rPr>
          <w:rStyle w:val="7372"/>
          <w:rFonts w:hint="cs"/>
          <w:noProof/>
          <w:rtl/>
        </w:rPr>
        <w:drawing>
          <wp:anchor distT="0" distB="1440180" distL="107950" distR="114300" simplePos="0" relativeHeight="251679744"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8F01FF" w:rsidR="00504C7B">
        <w:rPr>
          <w:rtl/>
        </w:rPr>
        <w:t>על שר הפנים למנות ועדה ציבורית מתאימה שתבחן את מנגנון היטלי ההשבחה במכלול ההיבטים שציינה הממשלה בהחלטותיה, וכן עליו להביא את המלצותיה לדיון בממשלה; זאת כדי להבטיח שבישראל מיושם מנגנון ההיטלים המיטבי. מומלץ להביא לפני הוועדה את ממצאי דוח זה</w:t>
      </w:r>
      <w:r w:rsidRPr="007C7D40">
        <w:rPr>
          <w:rFonts w:hint="cs"/>
          <w:rtl/>
        </w:rPr>
        <w:t xml:space="preserve">. </w:t>
      </w:r>
    </w:p>
    <w:p w:rsidR="00EB672B" w:rsidP="00504C7B" w14:paraId="1DD50AB4" w14:textId="45483DE1">
      <w:pPr>
        <w:pStyle w:val="756"/>
        <w:rPr>
          <w:rtl/>
        </w:rPr>
      </w:pPr>
      <w:r w:rsidRPr="0063556C">
        <w:rPr>
          <w:rStyle w:val="7372"/>
          <w:rFonts w:hint="cs"/>
          <w:noProof/>
          <w:rtl/>
        </w:rPr>
        <w:drawing>
          <wp:anchor distT="0" distB="1440180" distL="107950" distR="114300" simplePos="0" relativeHeight="251680768"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8F01FF" w:rsidR="00504C7B">
        <w:rPr>
          <w:rtl/>
        </w:rPr>
        <w:t>מומלץ למשרד הפנים ולמשרד האוצר לבחון את הפערים בין הרשויות המקומיות בתקבולים מהיטלי השבחה, ולשקול כיצד להביאם בחשבון במכלול השיקולים לתקצוב הרשויות. נוסף על כך מומלץ לבחון אפשרות להעניק לרשויות המקומיות שהתקבולים מהיטלי השבחה שלהן לתושב נמוכים, כלים פיסקליים אחרים שיאפשרו להן לממן את ההוצאות הכרוכות בפיתוח תשתיות ציבוריות הולמות. זאת כדי לצמצם פערים בתקבולים הנובעים ממאפיינים מבניים של היטלי השבחה, כגון ערכי קרקע והיקף הפעילות בשוק הנדל"ן</w:t>
      </w:r>
      <w:r w:rsidRPr="001B773F" w:rsidR="00124D0A">
        <w:rPr>
          <w:rtl/>
        </w:rPr>
        <w:t>.</w:t>
      </w:r>
      <w:r w:rsidRPr="007C7D40">
        <w:rPr>
          <w:rtl/>
        </w:rPr>
        <w:t xml:space="preserve"> </w:t>
      </w:r>
    </w:p>
    <w:p w:rsidR="00EB672B" w:rsidP="00504C7B" w14:paraId="1108540A" w14:textId="07F868EC">
      <w:pPr>
        <w:pStyle w:val="756"/>
        <w:rPr>
          <w:rtl/>
        </w:rPr>
      </w:pPr>
      <w:r w:rsidRPr="0063556C">
        <w:rPr>
          <w:rStyle w:val="7372"/>
          <w:rFonts w:hint="cs"/>
          <w:noProof/>
          <w:rtl/>
        </w:rPr>
        <w:drawing>
          <wp:anchor distT="0" distB="1440180" distL="107950" distR="114300" simplePos="0" relativeHeight="25168179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8F01FF" w:rsidR="00504C7B">
        <w:rPr>
          <w:rtl/>
        </w:rPr>
        <w:t xml:space="preserve">מומלץ לעיריות שנבדקו - </w:t>
      </w:r>
      <w:r w:rsidRPr="008F01FF" w:rsidR="00504C7B">
        <w:rPr>
          <w:b/>
          <w:bCs/>
          <w:rtl/>
        </w:rPr>
        <w:t>הרצלייה</w:t>
      </w:r>
      <w:r w:rsidRPr="008F01FF" w:rsidR="00504C7B">
        <w:rPr>
          <w:rtl/>
        </w:rPr>
        <w:t xml:space="preserve">, </w:t>
      </w:r>
      <w:r w:rsidRPr="008F01FF" w:rsidR="00504C7B">
        <w:rPr>
          <w:b/>
          <w:bCs/>
          <w:rtl/>
        </w:rPr>
        <w:t>ירושלים</w:t>
      </w:r>
      <w:r w:rsidRPr="008F01FF" w:rsidR="00504C7B">
        <w:rPr>
          <w:rtl/>
        </w:rPr>
        <w:t xml:space="preserve">, </w:t>
      </w:r>
      <w:r w:rsidRPr="008F01FF" w:rsidR="00504C7B">
        <w:rPr>
          <w:b/>
          <w:bCs/>
          <w:rtl/>
        </w:rPr>
        <w:t>רמת גן</w:t>
      </w:r>
      <w:r w:rsidRPr="008F01FF" w:rsidR="00504C7B">
        <w:rPr>
          <w:rtl/>
        </w:rPr>
        <w:t xml:space="preserve"> ו</w:t>
      </w:r>
      <w:r w:rsidRPr="008F01FF" w:rsidR="00504C7B">
        <w:rPr>
          <w:b/>
          <w:bCs/>
          <w:rtl/>
        </w:rPr>
        <w:t xml:space="preserve">רמת השרון </w:t>
      </w:r>
      <w:r w:rsidRPr="008F01FF" w:rsidR="00504C7B">
        <w:rPr>
          <w:rtl/>
        </w:rPr>
        <w:t xml:space="preserve">- לבחון את האפשרות לשימוש נרחב יותר בלוחות שומה, בהתחשב בנסיבות, וכן בשים לב ליתרונות ולחסרונות של חלופה זו; זאת כדי לייעל את הליכי הכנת השומות, להגביר את הוודאות בעניין ההיטלים וגובהם ולהבטיח שמיושמים עקרונות שַמאיים זהים לגבי כל הנכסים. מומלץ </w:t>
      </w:r>
      <w:r w:rsidRPr="008F01FF" w:rsidR="00504C7B">
        <w:rPr>
          <w:rtl/>
        </w:rPr>
        <w:t>למינהל</w:t>
      </w:r>
      <w:r w:rsidRPr="008F01FF" w:rsidR="00504C7B">
        <w:rPr>
          <w:rtl/>
        </w:rPr>
        <w:t xml:space="preserve"> התכנון לשלב בקרה של הנושא במסגרת הבקרות שהוא מבצע בנושא פעילותן של הוועדות המקומיות לתכנון ולבנייה</w:t>
      </w:r>
      <w:r w:rsidRPr="007D7F32" w:rsidR="002419DB">
        <w:rPr>
          <w:rtl/>
        </w:rPr>
        <w:t>.</w:t>
      </w:r>
    </w:p>
    <w:p w:rsidR="003F0A00" w:rsidP="00346A0B" w14:paraId="078CC367" w14:textId="54FF786E">
      <w:pPr>
        <w:pStyle w:val="756"/>
        <w:rPr>
          <w:rtl/>
        </w:rPr>
      </w:pPr>
      <w:r w:rsidRPr="00346A0B">
        <w:rPr>
          <w:rStyle w:val="7372"/>
          <w:rFonts w:hint="cs"/>
          <w:bCs w:val="0"/>
          <w:noProof/>
          <w:rtl/>
        </w:rPr>
        <w:drawing>
          <wp:anchor distT="0" distB="1440180" distL="107950" distR="114300" simplePos="0" relativeHeight="25168281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346A0B" w:rsidR="00346A0B">
        <w:rPr>
          <w:rtl/>
        </w:rPr>
        <w:t>מומלץ</w:t>
      </w:r>
      <w:r w:rsidRPr="008F01FF" w:rsidR="00346A0B">
        <w:rPr>
          <w:rtl/>
        </w:rPr>
        <w:t xml:space="preserve"> לוועדות הערר המחוזיות, בשיתוף עם מטה התכנון הלאומי </w:t>
      </w:r>
      <w:r w:rsidRPr="008F01FF" w:rsidR="00346A0B">
        <w:rPr>
          <w:rtl/>
        </w:rPr>
        <w:t>ומינהל</w:t>
      </w:r>
      <w:r w:rsidRPr="008F01FF" w:rsidR="00346A0B">
        <w:rPr>
          <w:rtl/>
        </w:rPr>
        <w:t xml:space="preserve"> התכנון במשרד הפנים, לבחון את הגורמים להימשכות הליכי הערר על שומות השבחה ולפעול לקיצור משכם. מומלץ לבחון בפרט את המצב ב</w:t>
      </w:r>
      <w:r w:rsidRPr="008F01FF" w:rsidR="00346A0B">
        <w:rPr>
          <w:b/>
          <w:bCs/>
          <w:rtl/>
        </w:rPr>
        <w:t>מחוז תל אביב</w:t>
      </w:r>
      <w:r w:rsidRPr="008F01FF" w:rsidR="00346A0B">
        <w:rPr>
          <w:rtl/>
        </w:rPr>
        <w:t xml:space="preserve">, לנוכח עומס הפעילות בו והעובדה שהטיפול ב-73% </w:t>
      </w:r>
      <w:r w:rsidRPr="008F01FF" w:rsidR="00346A0B">
        <w:rPr>
          <w:rtl/>
        </w:rPr>
        <w:t>מהעררים</w:t>
      </w:r>
      <w:r w:rsidRPr="008F01FF" w:rsidR="00346A0B">
        <w:rPr>
          <w:rtl/>
        </w:rPr>
        <w:t xml:space="preserve"> לא הסתיים, ושהזמן הממוצע שנדרש לסיום הטיפול </w:t>
      </w:r>
      <w:r w:rsidRPr="008F01FF" w:rsidR="00346A0B">
        <w:rPr>
          <w:rtl/>
        </w:rPr>
        <w:t>בעררים</w:t>
      </w:r>
      <w:r w:rsidRPr="008F01FF" w:rsidR="00346A0B">
        <w:rPr>
          <w:rtl/>
        </w:rPr>
        <w:t xml:space="preserve"> היה 696 ימים, שהם כשנתיים</w:t>
      </w:r>
      <w:r w:rsidRPr="007C7D40">
        <w:rPr>
          <w:rFonts w:hint="cs"/>
          <w:rtl/>
        </w:rPr>
        <w:t>.</w:t>
      </w:r>
    </w:p>
    <w:p w:rsidR="006A5AB7" w:rsidP="002D15AD" w14:paraId="0A07A9C9" w14:textId="459488CE">
      <w:pPr>
        <w:pStyle w:val="756"/>
        <w:rPr>
          <w:rtl/>
        </w:rPr>
      </w:pPr>
      <w:r w:rsidRPr="0063556C">
        <w:rPr>
          <w:rStyle w:val="7372"/>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bookmarkStart w:id="1" w:name="_Hlk163981894"/>
      <w:r w:rsidRPr="008F01FF" w:rsidR="00346A0B">
        <w:rPr>
          <w:rtl/>
        </w:rPr>
        <w:t xml:space="preserve">מומלץ כי </w:t>
      </w:r>
      <w:r w:rsidRPr="008F01FF" w:rsidR="00346A0B">
        <w:rPr>
          <w:rtl/>
        </w:rPr>
        <w:t>מינהל</w:t>
      </w:r>
      <w:r w:rsidRPr="008F01FF" w:rsidR="00346A0B">
        <w:rPr>
          <w:rtl/>
        </w:rPr>
        <w:t xml:space="preserve"> התכנון יבצע בוועדות המקומיות לתכנון ולבנייה בקרות בנושא היטלי השבחה, וכן מומלץ כי הוא יפרסם הנחיות מקצועיות וקווים מנחים לגבי </w:t>
      </w:r>
      <w:bookmarkEnd w:id="1"/>
      <w:r w:rsidRPr="008F01FF" w:rsidR="00346A0B">
        <w:rPr>
          <w:rtl/>
        </w:rPr>
        <w:t xml:space="preserve">תפקוד תקין של הוועדות המקומיות בהיבטים של ניהול ההליכים בנושא זה; זאת בין היתר כדי לצמצם את התופעה של פערים מהותיים בין שומות לחיובים סופיים, כדי לייעל את ההליכים וכדי להפחית סיכונים </w:t>
      </w:r>
      <w:r w:rsidRPr="002D15AD" w:rsidR="00346A0B">
        <w:rPr>
          <w:rtl/>
        </w:rPr>
        <w:t>למחלוקות</w:t>
      </w:r>
      <w:r w:rsidRPr="008F01FF" w:rsidR="00346A0B">
        <w:rPr>
          <w:rtl/>
        </w:rPr>
        <w:t xml:space="preserve"> בנושא. למשרד המשפטים מומלץ לרכז נתונים בנושא ולבחון את התופעה של פערים מהותיים בין שומות מקרקעין, כדי לבחון אם יש צורך בנקיטת פעולות אחרות לצמצום התופעה. מומלץ לגבש עבודת מטה כדי לנתח את המחלוקות שהתגלעו בנוגע לשומות השבחה ואת תדירותן של מחלוקות חוזרות ונשנות, ובהתאם לכך לשקול את הצורך בפרסום הנחיות מקצועיות בתחום. עוד מומלץ לגבש תקן ייעודי לשומות השבחה, על סמך הניסיון המקצועי שנצבר, וכן על סמך הפקת לקחים לגבי מחלוקות בין שומות ותוצאות בירורן</w:t>
      </w:r>
      <w:r w:rsidRPr="007C7D40">
        <w:rPr>
          <w:rFonts w:hint="cs"/>
          <w:rtl/>
        </w:rPr>
        <w:t>.</w:t>
      </w:r>
    </w:p>
    <w:p w:rsidR="00346A0B" w:rsidP="00346A0B" w14:paraId="1034599A" w14:textId="26EA504A">
      <w:pPr>
        <w:pStyle w:val="756"/>
        <w:rPr>
          <w:rtl/>
        </w:rPr>
      </w:pPr>
      <w:r w:rsidRPr="0063556C">
        <w:rPr>
          <w:rStyle w:val="7372"/>
          <w:rFonts w:hint="cs"/>
          <w:noProof/>
          <w:rtl/>
        </w:rPr>
        <w:drawing>
          <wp:anchor distT="0" distB="1440180" distL="107950" distR="114300" simplePos="0" relativeHeight="251699200"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5"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8F01FF">
        <w:rPr>
          <w:rtl/>
        </w:rPr>
        <w:t xml:space="preserve">מומלץ לעיריות שנבדקו - </w:t>
      </w:r>
      <w:r w:rsidRPr="008F01FF">
        <w:rPr>
          <w:b/>
          <w:bCs/>
          <w:rtl/>
        </w:rPr>
        <w:t>הרצלייה</w:t>
      </w:r>
      <w:r w:rsidRPr="008F01FF">
        <w:rPr>
          <w:rtl/>
        </w:rPr>
        <w:t xml:space="preserve">, </w:t>
      </w:r>
      <w:r w:rsidRPr="008F01FF">
        <w:rPr>
          <w:b/>
          <w:bCs/>
          <w:rtl/>
        </w:rPr>
        <w:t>ירושלים</w:t>
      </w:r>
      <w:r w:rsidRPr="008F01FF">
        <w:rPr>
          <w:rtl/>
        </w:rPr>
        <w:t xml:space="preserve">, </w:t>
      </w:r>
      <w:r w:rsidRPr="008F01FF">
        <w:rPr>
          <w:b/>
          <w:bCs/>
          <w:rtl/>
        </w:rPr>
        <w:t>רמת גן</w:t>
      </w:r>
      <w:r w:rsidRPr="008F01FF">
        <w:rPr>
          <w:rtl/>
        </w:rPr>
        <w:t xml:space="preserve"> ו</w:t>
      </w:r>
      <w:r w:rsidRPr="008F01FF">
        <w:rPr>
          <w:b/>
          <w:bCs/>
          <w:rtl/>
        </w:rPr>
        <w:t xml:space="preserve">רמת השרון - </w:t>
      </w:r>
      <w:r w:rsidRPr="008F01FF">
        <w:rPr>
          <w:rtl/>
        </w:rPr>
        <w:t>לפרסם באמצעות מערכת ה-</w:t>
      </w:r>
      <w:r w:rsidRPr="008F01FF">
        <w:t>GIS</w:t>
      </w:r>
      <w:r w:rsidRPr="008F01FF">
        <w:rPr>
          <w:rtl/>
        </w:rPr>
        <w:t xml:space="preserve"> באתר המרשתת שלהן את עיקרי שומות ההשבחה שהן הכינו, את השומות הסופיות שנקבעו לאחר בירור מחלוקות ואת סכומי היטלי השבחה שהן חייבו בזיקה לנכסים שונים בתחום שיפוטן. זאת כדי לתת בידי הציבור מידע שיאפשר לו לקבל החלטות מושכלות לגבי נכסיו ולצמצם את אי-הוודאות והמחלוקות בתחום. מומלץ כי </w:t>
      </w:r>
      <w:r w:rsidRPr="008F01FF">
        <w:rPr>
          <w:rtl/>
        </w:rPr>
        <w:t>מינהל</w:t>
      </w:r>
      <w:r w:rsidRPr="008F01FF">
        <w:rPr>
          <w:rtl/>
        </w:rPr>
        <w:t xml:space="preserve"> התכנון ומשרד הפנים יגבשו עבור הוועדות המקומיות לתכנון ולבנייה והרשויות המקומיות הנחיות שיסדירו את פרסום המידע לציבור בנושא שומות השבחה</w:t>
      </w:r>
      <w:r w:rsidRPr="007C7D40">
        <w:rPr>
          <w:rFonts w:hint="cs"/>
          <w:rtl/>
        </w:rPr>
        <w:t>.</w:t>
      </w:r>
    </w:p>
    <w:p w:rsidR="00346A0B" w:rsidP="002D15AD" w14:paraId="36E34029" w14:textId="0A8F0E69">
      <w:pPr>
        <w:pStyle w:val="756"/>
        <w:rPr>
          <w:rtl/>
        </w:rPr>
      </w:pPr>
      <w:r w:rsidRPr="0063556C">
        <w:rPr>
          <w:rStyle w:val="7372"/>
          <w:rFonts w:hint="cs"/>
          <w:noProof/>
          <w:rtl/>
        </w:rPr>
        <w:drawing>
          <wp:anchor distT="0" distB="1440180" distL="107950" distR="114300" simplePos="0" relativeHeight="251700224"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4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8F01FF">
        <w:rPr>
          <w:rtl/>
        </w:rPr>
        <w:t xml:space="preserve">מומלץ לעיריות </w:t>
      </w:r>
      <w:r w:rsidRPr="008F01FF">
        <w:rPr>
          <w:b/>
          <w:bCs/>
          <w:rtl/>
        </w:rPr>
        <w:t>הרצלייה</w:t>
      </w:r>
      <w:r w:rsidRPr="008F01FF">
        <w:rPr>
          <w:rtl/>
        </w:rPr>
        <w:t xml:space="preserve">, </w:t>
      </w:r>
      <w:r w:rsidRPr="008F01FF">
        <w:rPr>
          <w:b/>
          <w:bCs/>
          <w:rtl/>
        </w:rPr>
        <w:t>ירושלים</w:t>
      </w:r>
      <w:r w:rsidRPr="008F01FF">
        <w:rPr>
          <w:rtl/>
        </w:rPr>
        <w:t xml:space="preserve"> ו</w:t>
      </w:r>
      <w:r w:rsidRPr="008F01FF">
        <w:rPr>
          <w:b/>
          <w:bCs/>
          <w:rtl/>
        </w:rPr>
        <w:t xml:space="preserve">רמת השרון </w:t>
      </w:r>
      <w:r w:rsidRPr="008F01FF">
        <w:rPr>
          <w:rtl/>
        </w:rPr>
        <w:t xml:space="preserve">לגבש אמנת שירות בעניין מתן השירותים הקשורים להיטל השבחה ולפרסמה לציבור. לעיריית </w:t>
      </w:r>
      <w:r w:rsidRPr="008F01FF">
        <w:rPr>
          <w:b/>
          <w:bCs/>
          <w:rtl/>
        </w:rPr>
        <w:t>רמת גן</w:t>
      </w:r>
      <w:r w:rsidRPr="008F01FF">
        <w:rPr>
          <w:rtl/>
        </w:rPr>
        <w:t xml:space="preserve"> מומלץ להשלים את אמנת השירות שהחלה בהכנתה ולפרסמה באתר המרשתת העירוני. לנוכח היתרונות הגלומים במתן שירותים מקוונים, מומלץ כי העיריות שנבדקו - </w:t>
      </w:r>
      <w:r w:rsidRPr="008F01FF">
        <w:rPr>
          <w:b/>
          <w:bCs/>
          <w:rtl/>
        </w:rPr>
        <w:t>הרצלייה</w:t>
      </w:r>
      <w:r w:rsidRPr="008F01FF">
        <w:rPr>
          <w:rtl/>
        </w:rPr>
        <w:t xml:space="preserve">, </w:t>
      </w:r>
      <w:r w:rsidRPr="008F01FF">
        <w:rPr>
          <w:b/>
          <w:bCs/>
          <w:rtl/>
        </w:rPr>
        <w:t>ירושלים</w:t>
      </w:r>
      <w:r w:rsidRPr="008F01FF">
        <w:rPr>
          <w:rtl/>
        </w:rPr>
        <w:t xml:space="preserve">, </w:t>
      </w:r>
      <w:r w:rsidRPr="008F01FF">
        <w:rPr>
          <w:b/>
          <w:bCs/>
          <w:rtl/>
        </w:rPr>
        <w:t>רמת גן</w:t>
      </w:r>
      <w:r w:rsidRPr="008F01FF">
        <w:rPr>
          <w:rtl/>
        </w:rPr>
        <w:t xml:space="preserve"> ו</w:t>
      </w:r>
      <w:r w:rsidRPr="008F01FF">
        <w:rPr>
          <w:b/>
          <w:bCs/>
          <w:rtl/>
        </w:rPr>
        <w:t>רמת השרון</w:t>
      </w:r>
      <w:r w:rsidRPr="008F01FF">
        <w:rPr>
          <w:rtl/>
        </w:rPr>
        <w:t xml:space="preserve"> - ירחיבו את סל השירותים המקוונים והמידע שהן מעמידות באתרי המרשתת שלהן לרשות התושבים בתחום היטל ההשבחה. עוד מומלץ לעיריות </w:t>
      </w:r>
      <w:r w:rsidRPr="008F01FF">
        <w:rPr>
          <w:b/>
          <w:bCs/>
          <w:rtl/>
        </w:rPr>
        <w:t>הרצלייה</w:t>
      </w:r>
      <w:r w:rsidRPr="008F01FF">
        <w:rPr>
          <w:rtl/>
        </w:rPr>
        <w:t xml:space="preserve">, </w:t>
      </w:r>
      <w:r w:rsidRPr="008F01FF">
        <w:rPr>
          <w:b/>
          <w:bCs/>
          <w:rtl/>
        </w:rPr>
        <w:t>רמת גן</w:t>
      </w:r>
      <w:r w:rsidRPr="008F01FF">
        <w:rPr>
          <w:rtl/>
        </w:rPr>
        <w:t xml:space="preserve"> ו</w:t>
      </w:r>
      <w:r w:rsidRPr="008F01FF">
        <w:rPr>
          <w:b/>
          <w:bCs/>
          <w:rtl/>
        </w:rPr>
        <w:t xml:space="preserve">רמת השרון </w:t>
      </w:r>
      <w:r w:rsidRPr="008F01FF">
        <w:rPr>
          <w:rtl/>
        </w:rPr>
        <w:t>להצטרף לממשק הממוחשב של הרשות לרישום מקרקעין, ובכך לצמצם את הסיכון לזיוף של אישורי היעדר חובות, לייעל את התהליך ולשפר את השירות לתושבים</w:t>
      </w:r>
      <w:r w:rsidRPr="007C7D40">
        <w:rPr>
          <w:rFonts w:hint="cs"/>
          <w:rtl/>
        </w:rPr>
        <w:t>.</w:t>
      </w:r>
    </w:p>
    <w:p w:rsidR="00346A0B" w:rsidP="006B55BA" w14:paraId="0616E1DB" w14:textId="79F1E46C">
      <w:pPr>
        <w:pStyle w:val="756"/>
        <w:rPr>
          <w:rtl/>
        </w:rPr>
      </w:pPr>
      <w:r w:rsidRPr="0063556C">
        <w:rPr>
          <w:rStyle w:val="7372"/>
          <w:rFonts w:hint="cs"/>
          <w:noProof/>
          <w:rtl/>
        </w:rPr>
        <w:drawing>
          <wp:anchor distT="0" distB="1440180" distL="107950" distR="114300" simplePos="0" relativeHeight="25170124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4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8F01FF">
        <w:rPr>
          <w:rtl/>
        </w:rPr>
        <w:t>מומלץ כי שר הפנים ישתמש בסמכותו בהתאם לחוק ויפעל להתקין תקנות בנושא גביית אגרות להכנת שומות השבחה. זאת כדי להבטיח שגביית הכספים בעניין זה תיעשה מכוח סמכות לגבותם, וכן כדי להקנות לבעלי המקרקעין ודאות ביחס לעלות הכנת השומה וכדי להבטיח שקיפות ושוויון בגביית הכספים האמורים</w:t>
      </w:r>
      <w:r w:rsidRPr="007C7D40">
        <w:rPr>
          <w:rFonts w:hint="cs"/>
          <w:rtl/>
        </w:rPr>
        <w:t>.</w:t>
      </w:r>
    </w:p>
    <w:p w:rsidR="00346A0B" w:rsidP="00346A0B" w14:paraId="2C92A0EC" w14:textId="77777777">
      <w:pPr>
        <w:pStyle w:val="756"/>
        <w:rPr>
          <w:rtl/>
        </w:rPr>
      </w:pPr>
    </w:p>
    <w:p w:rsidR="00C113A8" w:rsidP="002419DB" w14:paraId="355BA048" w14:textId="16F1357B">
      <w:pPr>
        <w:pStyle w:val="756"/>
        <w:rPr>
          <w:rtl/>
        </w:rPr>
      </w:pPr>
    </w:p>
    <w:p w:rsidR="006A5AB7" w:rsidP="006A5AB7" w14:paraId="0C154B17" w14:textId="1A98E7F1">
      <w:pPr>
        <w:pStyle w:val="7313"/>
        <w:rPr>
          <w:rtl/>
        </w:rPr>
      </w:pPr>
      <w:r w:rsidRPr="00D527BD">
        <w:rPr>
          <w:noProof/>
          <w:szCs w:val="20"/>
          <w:rtl/>
        </w:rPr>
        <w:drawing>
          <wp:anchor distT="0" distB="0" distL="114300" distR="114300" simplePos="0" relativeHeight="251674624" behindDoc="0" locked="0" layoutInCell="1" allowOverlap="1">
            <wp:simplePos x="0" y="0"/>
            <wp:positionH relativeFrom="column">
              <wp:posOffset>-59055</wp:posOffset>
            </wp:positionH>
            <wp:positionV relativeFrom="paragraph">
              <wp:posOffset>27305</wp:posOffset>
            </wp:positionV>
            <wp:extent cx="4770755" cy="733425"/>
            <wp:effectExtent l="0" t="0" r="0" b="9525"/>
            <wp:wrapNone/>
            <wp:docPr id="145106664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0755" cy="733425"/>
                    </a:xfrm>
                    <a:prstGeom prst="rect">
                      <a:avLst/>
                    </a:prstGeom>
                  </pic:spPr>
                </pic:pic>
              </a:graphicData>
            </a:graphic>
            <wp14:sizeRelH relativeFrom="margin">
              <wp14:pctWidth>0</wp14:pctWidth>
            </wp14:sizeRelH>
            <wp14:sizeRelV relativeFrom="margin">
              <wp14:pctHeight>0</wp14:pctHeight>
            </wp14:sizeRelV>
          </wp:anchor>
        </w:drawing>
      </w:r>
      <w:r w:rsidRPr="00D527BD" w:rsidR="00215B86">
        <w:rPr>
          <w:noProof/>
          <w:szCs w:val="20"/>
          <w:rtl/>
        </w:rPr>
        <mc:AlternateContent>
          <mc:Choice Requires="wps">
            <w:drawing>
              <wp:anchor distT="0" distB="0" distL="114300" distR="114300" simplePos="0" relativeHeight="251675648" behindDoc="0" locked="0" layoutInCell="1" allowOverlap="1">
                <wp:simplePos x="0" y="0"/>
                <wp:positionH relativeFrom="column">
                  <wp:posOffset>83820</wp:posOffset>
                </wp:positionH>
                <wp:positionV relativeFrom="paragraph">
                  <wp:posOffset>113031</wp:posOffset>
                </wp:positionV>
                <wp:extent cx="4436745" cy="457200"/>
                <wp:effectExtent l="0" t="0" r="1905"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57200"/>
                        </a:xfrm>
                        <a:prstGeom prst="rect">
                          <a:avLst/>
                        </a:prstGeom>
                        <a:solidFill>
                          <a:srgbClr val="F05260"/>
                        </a:solidFill>
                        <a:ln w="9525">
                          <a:noFill/>
                          <a:miter lim="800000"/>
                          <a:headEnd/>
                          <a:tailEnd/>
                        </a:ln>
                      </wps:spPr>
                      <wps:txbx>
                        <w:txbxContent>
                          <w:p w:rsidR="005D0F8C" w:rsidRPr="005C7ABF" w:rsidP="00172E36" w14:textId="38A1078C">
                            <w:pPr>
                              <w:spacing w:line="240" w:lineRule="auto"/>
                              <w:jc w:val="left"/>
                              <w:rPr>
                                <w:rtl/>
                              </w:rPr>
                            </w:pPr>
                            <w:r w:rsidRPr="008F01FF">
                              <w:rPr>
                                <w:rFonts w:ascii="Tahoma" w:hAnsi="Tahoma" w:cs="Tahoma"/>
                                <w:b/>
                                <w:bCs/>
                                <w:noProof/>
                                <w:color w:val="FFFFFF" w:themeColor="background1"/>
                                <w:sz w:val="22"/>
                                <w:szCs w:val="22"/>
                                <w:rtl/>
                              </w:rPr>
                              <w:t>פערים בתקבולים מהיטלי השבחה לתושב</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3" type="#_x0000_t202" style="width:349.35pt;height:36pt;margin-top:8.9pt;margin-left:6.6pt;mso-height-percent:0;mso-height-relative:margin;mso-width-percent:0;mso-width-relative:margin;mso-wrap-distance-bottom:0;mso-wrap-distance-left:9pt;mso-wrap-distance-right:9pt;mso-wrap-distance-top:0;mso-wrap-style:square;position:absolute;visibility:visible;v-text-anchor:middle;z-index:251676672" fillcolor="#f05260" stroked="f">
                <v:textbox>
                  <w:txbxContent>
                    <w:p w:rsidR="005D0F8C" w:rsidRPr="005C7ABF" w:rsidP="00172E36" w14:paraId="0FF11C30" w14:textId="38A1078C">
                      <w:pPr>
                        <w:spacing w:line="240" w:lineRule="auto"/>
                        <w:jc w:val="left"/>
                        <w:rPr>
                          <w:rtl/>
                        </w:rPr>
                      </w:pPr>
                      <w:r w:rsidRPr="008F01FF">
                        <w:rPr>
                          <w:rFonts w:ascii="Tahoma" w:hAnsi="Tahoma" w:cs="Tahoma"/>
                          <w:b/>
                          <w:bCs/>
                          <w:noProof/>
                          <w:color w:val="FFFFFF" w:themeColor="background1"/>
                          <w:sz w:val="22"/>
                          <w:szCs w:val="22"/>
                          <w:rtl/>
                        </w:rPr>
                        <w:t>פערים בתקבולים מהיטלי השבחה לתושב</w:t>
                      </w:r>
                    </w:p>
                  </w:txbxContent>
                </v:textbox>
              </v:shape>
            </w:pict>
          </mc:Fallback>
        </mc:AlternateContent>
      </w:r>
    </w:p>
    <w:p w:rsidR="005D0F8C" w:rsidP="00EB672B" w14:paraId="757FD3ED" w14:textId="7736E3F5">
      <w:pPr>
        <w:pStyle w:val="7313"/>
        <w:rPr>
          <w:rtl/>
        </w:rPr>
      </w:pPr>
      <w:r>
        <w:rPr>
          <w:rtl/>
        </w:rPr>
        <w:t xml:space="preserve"> </w:t>
      </w:r>
    </w:p>
    <w:p w:rsidR="005D0F8C" w:rsidP="005D0F8C" w14:paraId="43F21067" w14:textId="334CAF24">
      <w:pPr>
        <w:pStyle w:val="7313"/>
        <w:rPr>
          <w:noProof/>
          <w:rtl/>
        </w:rPr>
      </w:pPr>
    </w:p>
    <w:p w:rsidR="008C3F44" w:rsidRPr="00061ABB" w:rsidP="00F57877" w14:paraId="42DC41DE" w14:textId="514EBB23">
      <w:pPr>
        <w:pStyle w:val="750"/>
        <w:rPr>
          <w:rFonts w:eastAsia="Calibri"/>
          <w:rtl/>
        </w:rPr>
      </w:pPr>
      <w:r>
        <w:rPr>
          <w:b w:val="0"/>
          <w:bCs w:val="0"/>
          <w:noProof/>
          <w:color w:val="FFFFFF" w:themeColor="background1"/>
          <w:sz w:val="22"/>
          <w:szCs w:val="22"/>
          <w:rtl/>
          <w:lang w:val="he-IL"/>
        </w:rPr>
        <w:drawing>
          <wp:anchor distT="0" distB="0" distL="114300" distR="114300" simplePos="0" relativeHeight="251702272" behindDoc="0" locked="0" layoutInCell="1" allowOverlap="1">
            <wp:simplePos x="0" y="0"/>
            <wp:positionH relativeFrom="column">
              <wp:posOffset>-57150</wp:posOffset>
            </wp:positionH>
            <wp:positionV relativeFrom="paragraph">
              <wp:posOffset>666750</wp:posOffset>
            </wp:positionV>
            <wp:extent cx="4679950" cy="2559050"/>
            <wp:effectExtent l="0" t="0" r="6350" b="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2559050"/>
                    </a:xfrm>
                    <a:prstGeom prst="rect">
                      <a:avLst/>
                    </a:prstGeom>
                  </pic:spPr>
                </pic:pic>
              </a:graphicData>
            </a:graphic>
          </wp:anchor>
        </w:drawing>
      </w:r>
      <w:r w:rsidRPr="00061ABB">
        <w:rPr>
          <w:rFonts w:eastAsia="Calibri"/>
          <w:rtl/>
        </w:rPr>
        <w:t xml:space="preserve">תקבולים מהיטלי השבחה לתושב, שיעורם מכלל התקבולים ושיעור האוכלוסייה ברשויות מקומיות המקובצות לפי שני דירוגים משולבים, </w:t>
      </w:r>
      <w:r>
        <w:rPr>
          <w:rFonts w:eastAsia="Calibri"/>
          <w:rtl/>
        </w:rPr>
        <w:br/>
      </w:r>
      <w:r w:rsidRPr="00061ABB">
        <w:rPr>
          <w:rFonts w:eastAsia="Calibri"/>
          <w:rtl/>
        </w:rPr>
        <w:t>2017 - 2021</w:t>
      </w:r>
    </w:p>
    <w:p w:rsidR="00215B86" w:rsidP="005D0F8C" w14:paraId="5D429887" w14:textId="53FAA312">
      <w:pPr>
        <w:pStyle w:val="7313"/>
        <w:rPr>
          <w:b/>
          <w:bCs/>
          <w:noProof/>
          <w:color w:val="FFFFFF" w:themeColor="background1"/>
          <w:sz w:val="22"/>
          <w:szCs w:val="22"/>
          <w:rtl/>
        </w:rPr>
      </w:pPr>
    </w:p>
    <w:p w:rsidR="001930AF" w:rsidRPr="008F01FF" w:rsidP="001930AF" w14:paraId="4055893D" w14:textId="77777777">
      <w:pPr>
        <w:pStyle w:val="752"/>
        <w:spacing w:after="120"/>
        <w:rPr>
          <w:rtl/>
        </w:rPr>
      </w:pPr>
      <w:r w:rsidRPr="008F01FF">
        <w:rPr>
          <w:rtl/>
        </w:rPr>
        <w:t>על פי נתוני הדוחות הכספיים של הרשויות המקומיות וקובץ הרשויות המקומיות של הלשכה המרכזית לסטטיסטיקה, בעיבוד משרד מבקר המדינה.</w:t>
      </w:r>
    </w:p>
    <w:p w:rsidR="001930AF" w:rsidRPr="008F01FF" w:rsidP="001930AF" w14:paraId="184D6EAE" w14:textId="77777777">
      <w:pPr>
        <w:pStyle w:val="752"/>
        <w:rPr>
          <w:b/>
          <w:bCs/>
          <w:rtl/>
        </w:rPr>
      </w:pPr>
      <w:r w:rsidRPr="008F01FF">
        <w:rPr>
          <w:rtl/>
        </w:rPr>
        <w:t xml:space="preserve">הגוונים בתאי הטבלה מייצגים לגבי כל תא את התקבולים מהיטלי השבחה לתושב הגבוהים יחסית (גוונים ירוקים), את התקבולים בדרגי הביניים (גוני צהוב וכתום) ואת הנמוכים יחסית (גוני אדום). ירוק כהה מייצג </w:t>
      </w:r>
      <w:bookmarkStart w:id="2" w:name="_Hlk145920144"/>
      <w:r w:rsidRPr="008F01FF">
        <w:rPr>
          <w:rtl/>
        </w:rPr>
        <w:t xml:space="preserve">את התקבולים מהיטלי השבחה לתושב הגבוהים ביותר, </w:t>
      </w:r>
      <w:bookmarkEnd w:id="2"/>
      <w:r w:rsidRPr="008F01FF">
        <w:rPr>
          <w:rtl/>
        </w:rPr>
        <w:t>ואדום כהה - את הנמוכים ביותר.</w:t>
      </w:r>
    </w:p>
    <w:p w:rsidR="008C3F44" w:rsidP="005D0F8C" w14:paraId="25CE4971" w14:textId="65A93668">
      <w:pPr>
        <w:pStyle w:val="7313"/>
        <w:rPr>
          <w:b/>
          <w:bCs/>
          <w:noProof/>
          <w:color w:val="FFFFFF" w:themeColor="background1"/>
          <w:sz w:val="22"/>
          <w:szCs w:val="22"/>
          <w:rtl/>
        </w:rPr>
      </w:pPr>
    </w:p>
    <w:p w:rsidR="008C3F44" w:rsidP="005D0F8C" w14:paraId="27991E08" w14:textId="3821E21D">
      <w:pPr>
        <w:pStyle w:val="7313"/>
        <w:rPr>
          <w:b/>
          <w:bCs/>
          <w:noProof/>
          <w:color w:val="FFFFFF" w:themeColor="background1"/>
          <w:sz w:val="22"/>
          <w:szCs w:val="22"/>
          <w:rtl/>
        </w:rPr>
      </w:pPr>
    </w:p>
    <w:p w:rsidR="008C3F44" w:rsidP="005D0F8C" w14:paraId="06EC37C6" w14:textId="77777777">
      <w:pPr>
        <w:pStyle w:val="7313"/>
        <w:rPr>
          <w:noProof/>
          <w:rtl/>
        </w:rPr>
      </w:pPr>
    </w:p>
    <w:p w:rsidR="00215B86" w:rsidP="005D0F8C" w14:paraId="0476D12A" w14:textId="63D34A36">
      <w:pPr>
        <w:pStyle w:val="7313"/>
        <w:rPr>
          <w:noProof/>
          <w:rtl/>
        </w:rPr>
      </w:pPr>
    </w:p>
    <w:p w:rsidR="00B227D8" w:rsidRPr="00D57BE9" w:rsidP="00B227D8" w14:paraId="7EB68463" w14:textId="09A5A09B">
      <w:pPr>
        <w:rPr>
          <w:rtl/>
        </w:rPr>
      </w:pPr>
    </w:p>
    <w:p w:rsidR="004E71DD" w:rsidRPr="00C733DA" w:rsidP="00C733DA" w14:paraId="60AEFE54" w14:textId="17A98C0F">
      <w:pPr>
        <w:pStyle w:val="757"/>
        <w:rPr>
          <w:rtl/>
        </w:rPr>
      </w:pPr>
      <w:r w:rsidRPr="00C733DA">
        <w:rPr>
          <w:rFonts w:hint="cs"/>
          <w:rtl/>
        </w:rPr>
        <w:t>סיכום</w:t>
      </w:r>
    </w:p>
    <w:p w:rsidR="002D34E7" w:rsidP="002D15AD" w14:paraId="5F73B628" w14:textId="17997C19">
      <w:pPr>
        <w:pStyle w:val="759"/>
        <w:rPr>
          <w:rtl/>
        </w:rPr>
      </w:pPr>
      <w:r w:rsidRPr="008F01FF">
        <w:rPr>
          <w:rtl/>
        </w:rPr>
        <w:t xml:space="preserve">בשנת 2021 גבו הרשויות המקומיות כ-8.7 מיליארדי ש"ח מהיטלי השבחה; היתרות שהיו צבורות בקרנות הייעודיות לכספי ההיטל הסתכמו בסוף שנה זו בכ-7.5 מיליארדי ש"ח. בביקורת נמצא כי מתכונתם הנוכחית של היטלי ההשבחה גורמת להגדלת הפערים הכלכליים בין רשויות מקומיות במרכז הארץ לאלו שבפריפריה, ובין רשויות מקומיות בדירוג החברתי-כלכלי הגבוה לאלו שבדירוג הנמוך. כמו </w:t>
      </w:r>
      <w:r w:rsidRPr="00297CBC">
        <w:rPr>
          <w:rtl/>
        </w:rPr>
        <w:t>כן</w:t>
      </w:r>
      <w:r w:rsidRPr="008F01FF">
        <w:rPr>
          <w:rtl/>
        </w:rPr>
        <w:t xml:space="preserve">, הממצאים על תוצאות בירור מחלוקות בעניין השומות מצביעים על תופעה נרחבת של פערים מהותיים בין השומות שהכינו הוועדות המקומיות לתכנון ולבנייה לבין השומות הסופיות שקבעו שמאים מכריעים, והפערים הם לרעת החייבים; הדבר עלול לפגוע באמון הציבור בצדקת היטל </w:t>
      </w:r>
      <w:r w:rsidRPr="002D15AD">
        <w:rPr>
          <w:rtl/>
        </w:rPr>
        <w:t>ההשבחה</w:t>
      </w:r>
      <w:r w:rsidRPr="008F01FF">
        <w:rPr>
          <w:rtl/>
        </w:rPr>
        <w:t>, וכן בוודאות הנדרשת לפעילות כלכלית מושכלת בתחום הנדל"ן, ולכן מומלץ ליישם אמצעים שיאפשרו לטייב את השומות. עוד נמצא כי השקיפות לציבור בנושא השומות והחיובים בהיטל השבחה לוקה בחסר, ולכן מומלץ למחשב את המידע בתחום ולפרסמו לציבור. ליקויים נמצאו גם בתחום השירות לציבור, כגון מידע חסר על הנושא והיעדרם של שירותים מקוונים ושל אמנת שירות. על שר הפנים לפעול להקמת ועדה ציבורית לבחינת המנגנון של היטל השבחה, כפי שהחליטה הממשלה, כדי לפעול לתיקון הליקויים ולתת בידי הרשויות המקומיות אמצעי יעיל, הוגן וודאי להגשמת עקרון הצדק החלוקתי ולמימון הפיתוח של המרחב הציבורי והקמת מבני ציבור, שיידרשו לנוכח תהליכי הגידול הצפוי באוכלוסייה והציפוף של יישובים</w:t>
      </w:r>
      <w:r w:rsidRPr="00362BF7" w:rsidR="00362BF7">
        <w:rPr>
          <w:rFonts w:hint="cs"/>
          <w:rtl/>
        </w:rPr>
        <w:t>.</w:t>
      </w:r>
    </w:p>
    <w:p w:rsidR="002D34E7" w14:paraId="045EB8E0" w14:textId="2EC279ED">
      <w:pPr>
        <w:bidi w:val="0"/>
        <w:spacing w:after="200" w:line="276" w:lineRule="auto"/>
        <w:rPr>
          <w:rFonts w:ascii="Tahoma" w:hAnsi="Tahoma" w:cs="Tahoma"/>
          <w:color w:val="0D0D0D" w:themeColor="text1" w:themeTint="F2"/>
          <w:sz w:val="18"/>
          <w:szCs w:val="18"/>
          <w:rtl/>
        </w:rPr>
      </w:pPr>
    </w:p>
    <w:p w:rsidR="00362BF7" w:rsidP="00B8431A" w14:paraId="4898D756" w14:textId="187D6389">
      <w:pPr>
        <w:pStyle w:val="759"/>
        <w:rPr>
          <w:rtl/>
        </w:rPr>
      </w:pPr>
    </w:p>
    <w:p w:rsidR="00A5741B" w14:paraId="219A44E1" w14:textId="47A42D16">
      <w:pPr>
        <w:rPr>
          <w:rtl/>
        </w:rPr>
      </w:pPr>
    </w:p>
    <w:p w:rsidR="00BB3E05" w14:paraId="2CF1D167" w14:textId="7DB2798D">
      <w:pPr>
        <w:rPr>
          <w:rtl/>
        </w:rPr>
      </w:pPr>
    </w:p>
    <w:p w:rsidR="00BB3E05" w14:paraId="6418D948" w14:textId="53AB5834">
      <w:pPr>
        <w:rPr>
          <w:rtl/>
        </w:rPr>
      </w:pPr>
    </w:p>
    <w:p w:rsidR="00B8431A" w:rsidP="00B8431A" w14:paraId="6BCDF407" w14:textId="77777777">
      <w:pPr>
        <w:rPr>
          <w:rtl/>
        </w:rPr>
      </w:pPr>
    </w:p>
    <w:p w:rsidR="00B8431A" w:rsidP="00B8431A" w14:paraId="40F2BAB5" w14:textId="3AF19BDA">
      <w:pPr>
        <w:pStyle w:val="759"/>
        <w:rPr>
          <w:rtl/>
        </w:rPr>
      </w:pPr>
    </w:p>
    <w:p w:rsidR="00CF5A11" w14:paraId="61F4DBD3" w14:textId="1810437A">
      <w:pPr>
        <w:bidi w:val="0"/>
        <w:spacing w:after="200" w:line="276" w:lineRule="auto"/>
        <w:rPr>
          <w:rFonts w:ascii="Tahoma" w:hAnsi="Tahoma" w:cs="Tahoma"/>
          <w:color w:val="0D0D0D" w:themeColor="text1" w:themeTint="F2"/>
          <w:sz w:val="18"/>
          <w:szCs w:val="18"/>
          <w:rtl/>
        </w:rPr>
      </w:pPr>
      <w:r>
        <w:rPr>
          <w:rtl/>
        </w:rPr>
        <w:br w:type="page"/>
      </w:r>
    </w:p>
    <w:p w:rsidR="00A37FF9" w14:paraId="2C35FA53" w14:textId="57ADDC83">
      <w:pPr>
        <w:bidi w:val="0"/>
        <w:spacing w:after="200" w:line="276" w:lineRule="auto"/>
        <w:rPr>
          <w:rFonts w:ascii="Tahoma" w:hAnsi="Tahoma" w:cs="Tahoma"/>
          <w:color w:val="0D0D0D" w:themeColor="text1" w:themeTint="F2"/>
          <w:sz w:val="18"/>
          <w:szCs w:val="18"/>
          <w:rtl/>
        </w:rPr>
      </w:pPr>
      <w:r>
        <w:rPr>
          <w:rFonts w:ascii="Tahoma" w:hAnsi="Tahoma" w:cs="Tahoma"/>
          <w:noProof/>
          <w:color w:val="0D0D0D" w:themeColor="text1" w:themeTint="F2"/>
          <w:sz w:val="18"/>
          <w:szCs w:val="18"/>
          <w:rtl/>
          <w:lang w:val="he-IL"/>
        </w:rPr>
        <mc:AlternateContent>
          <mc:Choice Requires="wps">
            <w:drawing>
              <wp:anchor distT="0" distB="0" distL="114300" distR="114300" simplePos="0" relativeHeight="251703296" behindDoc="0" locked="0" layoutInCell="1" allowOverlap="1">
                <wp:simplePos x="0" y="0"/>
                <wp:positionH relativeFrom="column">
                  <wp:posOffset>-1487805</wp:posOffset>
                </wp:positionH>
                <wp:positionV relativeFrom="paragraph">
                  <wp:posOffset>-687070</wp:posOffset>
                </wp:positionV>
                <wp:extent cx="7124700" cy="1095375"/>
                <wp:effectExtent l="0" t="0" r="19050" b="28575"/>
                <wp:wrapNone/>
                <wp:docPr id="50" name="Rectangle 50"/>
                <wp:cNvGraphicFramePr/>
                <a:graphic xmlns:a="http://schemas.openxmlformats.org/drawingml/2006/main">
                  <a:graphicData uri="http://schemas.microsoft.com/office/word/2010/wordprocessingShape">
                    <wps:wsp xmlns:wps="http://schemas.microsoft.com/office/word/2010/wordprocessingShape">
                      <wps:cNvSpPr/>
                      <wps:spPr>
                        <a:xfrm>
                          <a:off x="0" y="0"/>
                          <a:ext cx="7124700" cy="10953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50" o:spid="_x0000_s1034" style="width:561pt;height:86.25pt;margin-top:-54.1pt;margin-left:-117.15pt;mso-wrap-distance-bottom:0;mso-wrap-distance-left:9pt;mso-wrap-distance-right:9pt;mso-wrap-distance-top:0;mso-wrap-style:square;position:absolute;visibility:visible;v-text-anchor:middle;z-index:251704320" fillcolor="white" strokecolor="white" strokeweight="1.25pt"/>
            </w:pict>
          </mc:Fallback>
        </mc:AlternateContent>
      </w:r>
    </w:p>
    <w:p w:rsidR="00B8431A" w:rsidRPr="00362BF7" w:rsidP="00E5156A" w14:paraId="075A4F84" w14:textId="72464086">
      <w:pPr>
        <w:pStyle w:val="759"/>
        <w:rPr>
          <w:rtl/>
        </w:rPr>
      </w:pPr>
      <w:r>
        <w:rPr>
          <w:noProof/>
          <w:rtl/>
          <w:lang w:val="he-IL"/>
        </w:rPr>
        <mc:AlternateContent>
          <mc:Choice Requires="wps">
            <w:drawing>
              <wp:anchor distT="0" distB="0" distL="114300" distR="114300" simplePos="0" relativeHeight="251705344" behindDoc="0" locked="0" layoutInCell="1" allowOverlap="1">
                <wp:simplePos x="0" y="0"/>
                <wp:positionH relativeFrom="column">
                  <wp:posOffset>-1597660</wp:posOffset>
                </wp:positionH>
                <wp:positionV relativeFrom="paragraph">
                  <wp:posOffset>6685915</wp:posOffset>
                </wp:positionV>
                <wp:extent cx="7124700" cy="1095375"/>
                <wp:effectExtent l="0" t="0" r="19050" b="28575"/>
                <wp:wrapNone/>
                <wp:docPr id="51" name="Rectangle 51"/>
                <wp:cNvGraphicFramePr/>
                <a:graphic xmlns:a="http://schemas.openxmlformats.org/drawingml/2006/main">
                  <a:graphicData uri="http://schemas.microsoft.com/office/word/2010/wordprocessingShape">
                    <wps:wsp xmlns:wps="http://schemas.microsoft.com/office/word/2010/wordprocessingShape">
                      <wps:cNvSpPr/>
                      <wps:spPr>
                        <a:xfrm>
                          <a:off x="0" y="0"/>
                          <a:ext cx="7124700" cy="10953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51" o:spid="_x0000_s1035" style="width:561pt;height:86.25pt;margin-top:526.45pt;margin-left:-125.8pt;mso-wrap-distance-bottom:0;mso-wrap-distance-left:9pt;mso-wrap-distance-right:9pt;mso-wrap-distance-top:0;mso-wrap-style:square;position:absolute;visibility:visible;v-text-anchor:middle;z-index:251706368" fillcolor="white" strokecolor="white" strokeweight="1.25pt"/>
            </w:pict>
          </mc:Fallback>
        </mc:AlternateContent>
      </w:r>
    </w:p>
    <w:sectPr w:rsidSect="00F35B8C">
      <w:headerReference w:type="default" r:id="rId27"/>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A10601" w14:paraId="242ADCB3" w14:textId="77777777">
      <w:pPr>
        <w:spacing w:line="240" w:lineRule="auto"/>
      </w:pPr>
      <w:r>
        <w:separator/>
      </w:r>
    </w:p>
    <w:p w:rsidR="00A10601" w14:paraId="1B618C5C" w14:textId="77777777"/>
    <w:p w:rsidR="00A10601" w14:paraId="08525AED" w14:textId="77777777"/>
    <w:p w:rsidR="00A10601" w14:paraId="5A76DDBC" w14:textId="77777777"/>
  </w:endnote>
  <w:endnote w:type="continuationSeparator" w:id="1">
    <w:p w:rsidR="00A10601" w14:paraId="3BDB1D91" w14:textId="77777777">
      <w:pPr>
        <w:spacing w:line="240" w:lineRule="auto"/>
      </w:pPr>
      <w:r>
        <w:continuationSeparator/>
      </w:r>
    </w:p>
    <w:p w:rsidR="00A10601" w14:paraId="600A236F" w14:textId="77777777"/>
    <w:p w:rsidR="00A10601" w14:paraId="7FFE3868" w14:textId="77777777"/>
    <w:p w:rsidR="00A10601" w14:paraId="56C6DAE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w Cen MT">
    <w:altName w:val="Calibri"/>
    <w:panose1 w:val="020B0602020104020603"/>
    <w:charset w:val="00"/>
    <w:family w:val="swiss"/>
    <w:pitch w:val="variable"/>
    <w:sig w:usb0="00000007" w:usb1="00000000" w:usb2="00000000" w:usb3="00000000" w:csb0="00000003" w:csb1="00000000"/>
  </w:font>
  <w:font w:name="David">
    <w:panose1 w:val="020E0502060401010101"/>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TypoUpright BT">
    <w:panose1 w:val="03020702030807050705"/>
    <w:charset w:val="00"/>
    <w:family w:val="script"/>
    <w:pitch w:val="variable"/>
    <w:sig w:usb0="00000087" w:usb1="00000000" w:usb2="00000000" w:usb3="00000000" w:csb0="0000001B" w:csb1="00000000"/>
  </w:font>
  <w:font w:name="Tw Cen MT Condensed">
    <w:panose1 w:val="020B0606020104020203"/>
    <w:charset w:val="00"/>
    <w:family w:val="swiss"/>
    <w:pitch w:val="variable"/>
    <w:sig w:usb0="00000007" w:usb1="00000000" w:usb2="00000000" w:usb3="00000000" w:csb0="00000003" w:csb1="00000000"/>
  </w:font>
  <w:font w:name="Levenim MT">
    <w:panose1 w:val="00000000000000000000"/>
    <w:charset w:val="B1"/>
    <w:family w:val="auto"/>
    <w:pitch w:val="variable"/>
    <w:sig w:usb0="00000803" w:usb1="00000000" w:usb2="00000000" w:usb3="00000000" w:csb0="00000021" w:csb1="00000000"/>
  </w:font>
  <w:font w:name="Almoni ML Regular AAA">
    <w:altName w:val="Arial"/>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704020202020204"/>
    <w:charset w:val="00"/>
    <w:family w:val="roman"/>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auto"/>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AC37C7" w14:paraId="7314E402" w14:textId="77777777">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037C10C0" w14:textId="77777777">
    <w:pPr>
      <w:pStyle w:val="Footer"/>
      <w:spacing w:after="120" w:line="312" w:lineRule="auto"/>
      <w:ind w:right="-737"/>
      <w:jc w:val="right"/>
      <w:rPr>
        <w:rFonts w:ascii="Tahoma" w:hAnsi="Tahoma" w:cs="Tahom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2D15AD" w14:paraId="6A4AA1EE" w14:textId="7D0A909D">
    <w:pPr>
      <w:pStyle w:val="Footer"/>
      <w:tabs>
        <w:tab w:val="left" w:pos="488"/>
        <w:tab w:val="left" w:pos="522"/>
        <w:tab w:val="clear" w:pos="4153"/>
        <w:tab w:val="clear" w:pos="8306"/>
      </w:tabs>
      <w:spacing w:after="30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8B694B" w:rsidRPr="004E71DD" w:rsidP="004E71DD" w14:paraId="4C3309D7" w14:textId="2218AC15">
    <w:pPr>
      <w:pStyle w:val="Footer"/>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10601" w:rsidP="00E7235E" w14:paraId="1DC4B056" w14:textId="77777777">
      <w:pPr>
        <w:spacing w:line="240" w:lineRule="auto"/>
      </w:pPr>
      <w:r>
        <w:separator/>
      </w:r>
    </w:p>
  </w:footnote>
  <w:footnote w:type="continuationSeparator" w:id="1">
    <w:p w:rsidR="00A10601" w:rsidP="00C23CC9" w14:paraId="2851ED46" w14:textId="77777777">
      <w:pPr>
        <w:spacing w:line="240" w:lineRule="auto"/>
      </w:pPr>
      <w:r>
        <w:continuationSeparator/>
      </w:r>
    </w:p>
    <w:p w:rsidR="00A10601" w14:paraId="6A084BDA" w14:textId="77777777"/>
    <w:p w:rsidR="00A10601" w14:paraId="5B52D797" w14:textId="77777777"/>
    <w:p w:rsidR="00A10601" w14:paraId="14259D3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7898F99C"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1FACDDD2" w14:textId="77777777">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45C6766A"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69B99207"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F24085D" w14:textId="77777777">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77777777">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2CEA5D81" w14:textId="77777777">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5CA700D4"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6961512F"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042893" w14:textId="0C78C6C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00975F02">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042893" w14:paraId="6BC4C0AD" w14:textId="0C78C6C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00975F02">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p>
                </w:txbxContent>
              </v:textbox>
              <w10:wrap type="square"/>
            </v:shape>
          </w:pict>
        </mc:Fallback>
      </mc:AlternateContent>
    </w:r>
  </w:p>
  <w:p w:rsidR="00F73EE0" w:rsidP="001526AC" w14:paraId="0DD7BE7A" w14:textId="77777777">
    <w:pPr>
      <w:pStyle w:val="Header"/>
      <w:tabs>
        <w:tab w:val="left" w:pos="493"/>
        <w:tab w:val="center" w:pos="4111"/>
        <w:tab w:val="clear" w:pos="4153"/>
        <w:tab w:val="right" w:pos="7478"/>
        <w:tab w:val="right" w:pos="8222"/>
        <w:tab w:val="clear" w:pos="8306"/>
      </w:tabs>
      <w:jc w:val="left"/>
      <w:rPr>
        <w:rtl/>
      </w:rPr>
    </w:pPr>
  </w:p>
  <w:p w:rsidR="00F73EE0" w:rsidRPr="001526AC" w:rsidP="00005B23" w14:paraId="28B312A8"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P="00B244B0" w14:textId="2BCEDE15">
                          <w:pPr>
                            <w:jc w:val="right"/>
                            <w:rPr>
                              <w:color w:val="0D0D0D" w:themeColor="text1" w:themeTint="F2"/>
                              <w:sz w:val="16"/>
                              <w:szCs w:val="16"/>
                            </w:rPr>
                          </w:pPr>
                          <w:r>
                            <w:rPr>
                              <w:rFonts w:ascii="Tahoma" w:hAnsi="Tahoma" w:cs="Tahoma" w:hint="cs"/>
                              <w:color w:val="0D0D0D"/>
                              <w:sz w:val="16"/>
                              <w:szCs w:val="16"/>
                              <w:rtl/>
                            </w:rPr>
                            <w:t xml:space="preserve">מבקר המדינה | </w:t>
                          </w:r>
                          <w:r w:rsidRPr="00AE7EA4" w:rsidR="00235CF1">
                            <w:rPr>
                              <w:rFonts w:ascii="Tahoma" w:hAnsi="Tahoma" w:cs="Tahoma"/>
                              <w:color w:val="0D0D0D"/>
                              <w:sz w:val="16"/>
                              <w:szCs w:val="16"/>
                              <w:rtl/>
                            </w:rPr>
                            <w:t xml:space="preserve">דוח </w:t>
                          </w:r>
                          <w:r w:rsidR="00114F3B">
                            <w:rPr>
                              <w:rFonts w:ascii="Tahoma" w:hAnsi="Tahoma" w:cs="Tahoma" w:hint="cs"/>
                              <w:color w:val="0D0D0D"/>
                              <w:sz w:val="16"/>
                              <w:szCs w:val="16"/>
                              <w:rtl/>
                            </w:rPr>
                            <w:t>על הביקורת בשלטון ה</w:t>
                          </w:r>
                          <w:r w:rsidR="00B54001">
                            <w:rPr>
                              <w:rFonts w:ascii="Tahoma" w:hAnsi="Tahoma" w:cs="Tahoma" w:hint="cs"/>
                              <w:color w:val="0D0D0D"/>
                              <w:sz w:val="16"/>
                              <w:szCs w:val="16"/>
                              <w:rtl/>
                            </w:rPr>
                            <w:t>מקומי</w:t>
                          </w:r>
                          <w:r w:rsidRPr="00AE7EA4" w:rsidR="00235CF1">
                            <w:rPr>
                              <w:rFonts w:ascii="Tahoma" w:hAnsi="Tahoma" w:cs="Tahoma"/>
                              <w:color w:val="0D0D0D"/>
                              <w:sz w:val="16"/>
                              <w:szCs w:val="16"/>
                              <w:rtl/>
                            </w:rPr>
                            <w:t xml:space="preserve"> | התשפ״ד</w:t>
                          </w:r>
                          <w:r>
                            <w:rPr>
                              <w:rFonts w:ascii="Tahoma" w:hAnsi="Tahoma" w:cs="Tahoma" w:hint="cs"/>
                              <w:color w:val="0D0D0D"/>
                              <w:sz w:val="16"/>
                              <w:szCs w:val="16"/>
                              <w:rtl/>
                            </w:rPr>
                            <w:t>-</w:t>
                          </w:r>
                          <w:r w:rsidRPr="00AE7EA4" w:rsidR="00235CF1">
                            <w:rPr>
                              <w:rFonts w:ascii="Tahoma" w:hAnsi="Tahoma" w:cs="Tahoma"/>
                              <w:color w:val="0D0D0D"/>
                              <w:sz w:val="16"/>
                              <w:szCs w:val="16"/>
                              <w:rtl/>
                            </w:rPr>
                            <w:t>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5BE3FCC4" w14:textId="2BCEDE15">
                    <w:pPr>
                      <w:jc w:val="right"/>
                      <w:rPr>
                        <w:color w:val="0D0D0D" w:themeColor="text1" w:themeTint="F2"/>
                        <w:sz w:val="16"/>
                        <w:szCs w:val="16"/>
                      </w:rPr>
                    </w:pPr>
                    <w:r>
                      <w:rPr>
                        <w:rFonts w:ascii="Tahoma" w:hAnsi="Tahoma" w:cs="Tahoma" w:hint="cs"/>
                        <w:color w:val="0D0D0D"/>
                        <w:sz w:val="16"/>
                        <w:szCs w:val="16"/>
                        <w:rtl/>
                      </w:rPr>
                      <w:t xml:space="preserve">מבקר המדינה | </w:t>
                    </w:r>
                    <w:r w:rsidRPr="00AE7EA4" w:rsidR="00235CF1">
                      <w:rPr>
                        <w:rFonts w:ascii="Tahoma" w:hAnsi="Tahoma" w:cs="Tahoma"/>
                        <w:color w:val="0D0D0D"/>
                        <w:sz w:val="16"/>
                        <w:szCs w:val="16"/>
                        <w:rtl/>
                      </w:rPr>
                      <w:t xml:space="preserve">דוח </w:t>
                    </w:r>
                    <w:r w:rsidR="00114F3B">
                      <w:rPr>
                        <w:rFonts w:ascii="Tahoma" w:hAnsi="Tahoma" w:cs="Tahoma" w:hint="cs"/>
                        <w:color w:val="0D0D0D"/>
                        <w:sz w:val="16"/>
                        <w:szCs w:val="16"/>
                        <w:rtl/>
                      </w:rPr>
                      <w:t>על הביקורת בשלטון ה</w:t>
                    </w:r>
                    <w:r w:rsidR="00B54001">
                      <w:rPr>
                        <w:rFonts w:ascii="Tahoma" w:hAnsi="Tahoma" w:cs="Tahoma" w:hint="cs"/>
                        <w:color w:val="0D0D0D"/>
                        <w:sz w:val="16"/>
                        <w:szCs w:val="16"/>
                        <w:rtl/>
                      </w:rPr>
                      <w:t>מקומי</w:t>
                    </w:r>
                    <w:r w:rsidRPr="00AE7EA4" w:rsidR="00235CF1">
                      <w:rPr>
                        <w:rFonts w:ascii="Tahoma" w:hAnsi="Tahoma" w:cs="Tahoma"/>
                        <w:color w:val="0D0D0D"/>
                        <w:sz w:val="16"/>
                        <w:szCs w:val="16"/>
                        <w:rtl/>
                      </w:rPr>
                      <w:t xml:space="preserve"> | התשפ״ד</w:t>
                    </w:r>
                    <w:r>
                      <w:rPr>
                        <w:rFonts w:ascii="Tahoma" w:hAnsi="Tahoma" w:cs="Tahoma" w:hint="cs"/>
                        <w:color w:val="0D0D0D"/>
                        <w:sz w:val="16"/>
                        <w:szCs w:val="16"/>
                        <w:rtl/>
                      </w:rPr>
                      <w:t>-</w:t>
                    </w:r>
                    <w:r w:rsidRPr="00AE7EA4" w:rsidR="00235CF1">
                      <w:rPr>
                        <w:rFonts w:ascii="Tahoma" w:hAnsi="Tahoma" w:cs="Tahoma"/>
                        <w:color w:val="0D0D0D"/>
                        <w:sz w:val="16"/>
                        <w:szCs w:val="16"/>
                        <w:rtl/>
                      </w:rPr>
                      <w:t>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03DC109" w14:textId="77777777">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39DF3D8C"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2C232BD8" w14:textId="77777777">
    <w:pPr>
      <w:pStyle w:val="Header"/>
      <w:ind w:firstLine="720"/>
      <w:rPr>
        <w:rtl/>
      </w:rPr>
    </w:pPr>
  </w:p>
  <w:p w:rsidR="00F73EE0" w14:paraId="5C55D270" w14:textId="77777777">
    <w:pPr>
      <w:pStyle w:val="Header"/>
      <w:rPr>
        <w:rtl/>
      </w:rPr>
    </w:pPr>
  </w:p>
  <w:p w:rsidR="00F73EE0" w14:paraId="6376EBC7"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77777777">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3DC99E41" w14:textId="77777777">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v:textbox>
              <w10:wrap type="square"/>
            </v:shape>
          </w:pict>
        </mc:Fallback>
      </mc:AlternateContent>
    </w:r>
  </w:p>
  <w:p w:rsidR="00F73EE0" w:rsidP="009620E7" w14:paraId="64400A02" w14:textId="7777777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56933035" w14:textId="77777777">
    <w:pPr>
      <w:pStyle w:val="Header"/>
      <w:rPr>
        <w:rtl/>
      </w:rPr>
    </w:pPr>
    <w:r>
      <w:rPr>
        <w:noProof/>
        <w:rtl/>
        <w:lang w:val="he-IL"/>
      </w:rPr>
      <mc:AlternateContent>
        <mc:Choice Requires="wps">
          <w:drawing>
            <wp:anchor distT="0" distB="0" distL="114300" distR="114300" simplePos="0" relativeHeight="25167769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3"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4E71DD" w:rsidRPr="00FD02CC" w:rsidP="004E71DD"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7760" filled="f" strokecolor="#a5a5a5" strokeweight="0.25pt">
              <v:stroke dashstyle="longDash"/>
              <v:textbox>
                <w:txbxContent>
                  <w:p w:rsidR="004E71DD" w:rsidRPr="00FD02CC" w:rsidP="004E71DD" w14:paraId="0A2EEE25"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4E71DD" w:rsidP="004E71DD" w14:paraId="67AD5038" w14:textId="77777777">
    <w:pPr>
      <w:pStyle w:val="Header"/>
      <w:ind w:firstLine="720"/>
      <w:rPr>
        <w:rtl/>
      </w:rPr>
    </w:pPr>
  </w:p>
  <w:p w:rsidR="004E71DD" w:rsidP="004E71DD" w14:paraId="7EEB74EB" w14:textId="77777777">
    <w:pPr>
      <w:pStyle w:val="Header"/>
      <w:rPr>
        <w:rtl/>
      </w:rPr>
    </w:pPr>
  </w:p>
  <w:p w:rsidR="004E71DD" w:rsidP="004E71DD" w14:paraId="29F14FE3"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5"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4E71DD" w:rsidRPr="003D62C4" w:rsidP="004E71DD" w14:textId="3AAF0579">
                          <w:pPr>
                            <w:pStyle w:val="Heading1"/>
                            <w:spacing w:line="269" w:lineRule="auto"/>
                            <w:jc w:val="left"/>
                            <w:rPr>
                              <w:rFonts w:ascii="Tahoma" w:hAnsi="Tahoma" w:eastAsiaTheme="minorHAnsi" w:cs="Tahoma"/>
                              <w:bCs w:val="0"/>
                              <w:color w:val="0D0D0D" w:themeColor="text1" w:themeTint="F2"/>
                              <w:sz w:val="16"/>
                              <w:szCs w:val="16"/>
                              <w:u w:val="none"/>
                            </w:rPr>
                          </w:pPr>
                          <w:r w:rsidRPr="00952B32">
                            <w:rPr>
                              <w:rFonts w:ascii="Tahoma" w:hAnsi="Tahoma" w:eastAsiaTheme="minorHAnsi" w:cs="Tahoma"/>
                              <w:bCs w:val="0"/>
                              <w:color w:val="0D0D0D" w:themeColor="text1" w:themeTint="F2"/>
                              <w:sz w:val="16"/>
                              <w:szCs w:val="16"/>
                              <w:u w:val="none"/>
                              <w:rtl/>
                            </w:rPr>
                            <w:t>גבייה של היטלי השבחה והשימוש בהם</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9" type="#_x0000_t202" alt="&quot;&quot;" style="width:357.2pt;height:22.1pt;margin-top:16.15pt;margin-left:-8.4pt;mso-width-percent:0;mso-width-relative:margin;mso-wrap-distance-bottom:0;mso-wrap-distance-left:9pt;mso-wrap-distance-right:9pt;mso-wrap-distance-top:0;mso-wrap-style:square;position:absolute;visibility:visible;v-text-anchor:top;z-index:251682816" stroked="f">
              <v:textbox style="mso-fit-shape-to-text:t">
                <w:txbxContent>
                  <w:p w:rsidR="004E71DD" w:rsidRPr="003D62C4" w:rsidP="004E71DD" w14:paraId="5EC6D3B2" w14:textId="3AAF0579">
                    <w:pPr>
                      <w:pStyle w:val="Heading1"/>
                      <w:spacing w:line="269" w:lineRule="auto"/>
                      <w:jc w:val="left"/>
                      <w:rPr>
                        <w:rFonts w:ascii="Tahoma" w:hAnsi="Tahoma" w:eastAsiaTheme="minorHAnsi" w:cs="Tahoma"/>
                        <w:bCs w:val="0"/>
                        <w:color w:val="0D0D0D" w:themeColor="text1" w:themeTint="F2"/>
                        <w:sz w:val="16"/>
                        <w:szCs w:val="16"/>
                        <w:u w:val="none"/>
                      </w:rPr>
                    </w:pPr>
                    <w:r w:rsidRPr="00952B32">
                      <w:rPr>
                        <w:rFonts w:ascii="Tahoma" w:hAnsi="Tahoma" w:eastAsiaTheme="minorHAnsi" w:cs="Tahoma"/>
                        <w:bCs w:val="0"/>
                        <w:color w:val="0D0D0D" w:themeColor="text1" w:themeTint="F2"/>
                        <w:sz w:val="16"/>
                        <w:szCs w:val="16"/>
                        <w:u w:val="none"/>
                        <w:rtl/>
                      </w:rPr>
                      <w:t>גבייה של היטלי השבחה והשימוש בהם</w:t>
                    </w:r>
                  </w:p>
                </w:txbxContent>
              </v:textbox>
              <w10:wrap type="square"/>
            </v:shape>
          </w:pict>
        </mc:Fallback>
      </mc:AlternateContent>
    </w:r>
  </w:p>
  <w:p w:rsidR="004E71DD" w:rsidP="004E71DD" w14:paraId="29927C53" w14:textId="77777777">
    <w:pPr>
      <w:pStyle w:val="Header"/>
      <w:rPr>
        <w:rtl/>
      </w:rPr>
    </w:pPr>
    <w:r>
      <w:rPr>
        <w:rFonts w:ascii="Tahoma" w:hAnsi="Tahoma" w:cs="Tahoma"/>
        <w:noProof/>
        <w:color w:val="002060"/>
        <w:sz w:val="18"/>
        <w:szCs w:val="18"/>
      </w:rPr>
      <w:drawing>
        <wp:anchor distT="0" distB="0" distL="114300" distR="114300" simplePos="0" relativeHeight="251683840"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49" name="Picture 9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97">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47"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0" style="flip:x;mso-height-percent:0;mso-height-relative:margin;mso-width-percent:0;mso-width-relative:margin;mso-wrap-distance-bottom:0;mso-wrap-distance-left:9pt;mso-wrap-distance-right:9pt;mso-wrap-distance-top:0;mso-wrap-style:square;position:absolute;visibility:visible;z-index:251680768" from="-109.7pt,27.8pt" to="367.9pt,27.8pt" strokecolor="#0d0d0d" strokeweight="0.25pt"/>
          </w:pict>
        </mc:Fallback>
      </mc:AlternateContent>
    </w:r>
  </w:p>
  <w:p w:rsidR="008B694B" w:rsidRPr="004E71DD" w:rsidP="004E71DD" w14:paraId="73B85337" w14:textId="776B8773">
    <w:pPr>
      <w:pStyle w:val="Header"/>
      <w:rPr>
        <w:szCs w:val="20"/>
        <w:rt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6721" w:rsidP="001526AC" w14:paraId="66A492DD"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203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3424" filled="f" strokecolor="#a5a5a5" strokeweight="0.25pt">
              <v:stroke dashstyle="longDash"/>
              <v:textbox>
                <w:txbxContent>
                  <w:p w:rsidR="00E56721" w:rsidRPr="00FD02CC" w:rsidP="006E67D8" w14:paraId="76E0C3EE"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085596" w:rsidP="00582DA9" w14:textId="18E0EA8D">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820929">
                            <w:rPr>
                              <w:rFonts w:hint="cs"/>
                              <w:rtl/>
                            </w:rPr>
                            <w:t xml:space="preserve"> </w:t>
                          </w:r>
                          <w:r>
                            <w:rPr>
                              <w:rFonts w:ascii="Tahoma" w:hAnsi="Tahoma" w:cs="Tahoma" w:hint="cs"/>
                              <w:sz w:val="24"/>
                              <w:szCs w:val="24"/>
                              <w:rtl/>
                            </w:rPr>
                            <w:t xml:space="preserve"> </w:t>
                          </w:r>
                          <w:r w:rsidR="00820929">
                            <w:rPr>
                              <w:rFonts w:ascii="Tahoma" w:hAnsi="Tahoma" w:cs="Tahoma" w:hint="cs"/>
                              <w:sz w:val="24"/>
                              <w:szCs w:val="24"/>
                              <w:rtl/>
                            </w:rPr>
                            <w:t xml:space="preserve"> </w:t>
                          </w:r>
                          <w:r w:rsidR="00EE210F">
                            <w:rPr>
                              <w:rFonts w:ascii="Tahoma" w:hAnsi="Tahoma" w:cs="Tahoma" w:hint="cs"/>
                              <w:sz w:val="24"/>
                              <w:szCs w:val="24"/>
                              <w:rtl/>
                            </w:rPr>
                            <w:t xml:space="preserve"> </w:t>
                          </w:r>
                          <w:r w:rsidRPr="00EE210F" w:rsidR="00820929">
                            <w:rPr>
                              <w:rFonts w:ascii="Tahoma" w:hAnsi="Tahoma" w:cs="Tahoma" w:hint="cs"/>
                              <w:sz w:val="21"/>
                              <w:szCs w:val="21"/>
                              <w:rtl/>
                            </w:rPr>
                            <w:t xml:space="preserve">תקציר </w:t>
                          </w:r>
                          <w:r w:rsidRPr="00EE210F">
                            <w:rPr>
                              <w:rFonts w:ascii="Tahoma" w:hAnsi="Tahoma" w:cs="Tahoma" w:hint="cs"/>
                              <w:sz w:val="21"/>
                              <w:szCs w:val="21"/>
                              <w:rtl/>
                            </w:rPr>
                            <w:t xml:space="preserve">|  </w:t>
                          </w:r>
                          <w:r w:rsidR="00952B32">
                            <w:rPr>
                              <w:rFonts w:ascii="Tahoma" w:hAnsi="Tahoma" w:cs="Tahoma" w:hint="cs"/>
                              <w:b/>
                              <w:bCs/>
                              <w:rtl/>
                            </w:rPr>
                            <w:t>גבייה של היטלי השבחה והשימוש בהם</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6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9984" fillcolor="#00305f" strokecolor="#00305f">
              <v:textbox style="layout-flow:vertical;mso-layout-flow-alt:bottom-to-top" inset="0,0,0,0">
                <w:txbxContent>
                  <w:p w:rsidR="00E56721" w:rsidRPr="00085596" w:rsidP="00582DA9" w14:paraId="766F404C" w14:textId="18E0EA8D">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820929">
                      <w:rPr>
                        <w:rFonts w:hint="cs"/>
                        <w:rtl/>
                      </w:rPr>
                      <w:t xml:space="preserve"> </w:t>
                    </w:r>
                    <w:r>
                      <w:rPr>
                        <w:rFonts w:ascii="Tahoma" w:hAnsi="Tahoma" w:cs="Tahoma" w:hint="cs"/>
                        <w:sz w:val="24"/>
                        <w:szCs w:val="24"/>
                        <w:rtl/>
                      </w:rPr>
                      <w:t xml:space="preserve"> </w:t>
                    </w:r>
                    <w:r w:rsidR="00820929">
                      <w:rPr>
                        <w:rFonts w:ascii="Tahoma" w:hAnsi="Tahoma" w:cs="Tahoma" w:hint="cs"/>
                        <w:sz w:val="24"/>
                        <w:szCs w:val="24"/>
                        <w:rtl/>
                      </w:rPr>
                      <w:t xml:space="preserve"> </w:t>
                    </w:r>
                    <w:r w:rsidR="00EE210F">
                      <w:rPr>
                        <w:rFonts w:ascii="Tahoma" w:hAnsi="Tahoma" w:cs="Tahoma" w:hint="cs"/>
                        <w:sz w:val="24"/>
                        <w:szCs w:val="24"/>
                        <w:rtl/>
                      </w:rPr>
                      <w:t xml:space="preserve"> </w:t>
                    </w:r>
                    <w:r w:rsidRPr="00EE210F" w:rsidR="00820929">
                      <w:rPr>
                        <w:rFonts w:ascii="Tahoma" w:hAnsi="Tahoma" w:cs="Tahoma" w:hint="cs"/>
                        <w:sz w:val="21"/>
                        <w:szCs w:val="21"/>
                        <w:rtl/>
                      </w:rPr>
                      <w:t xml:space="preserve">תקציר </w:t>
                    </w:r>
                    <w:r w:rsidRPr="00EE210F">
                      <w:rPr>
                        <w:rFonts w:ascii="Tahoma" w:hAnsi="Tahoma" w:cs="Tahoma" w:hint="cs"/>
                        <w:sz w:val="21"/>
                        <w:szCs w:val="21"/>
                        <w:rtl/>
                      </w:rPr>
                      <w:t xml:space="preserve">|  </w:t>
                    </w:r>
                    <w:r w:rsidR="00952B32">
                      <w:rPr>
                        <w:rFonts w:ascii="Tahoma" w:hAnsi="Tahoma" w:cs="Tahoma" w:hint="cs"/>
                        <w:b/>
                        <w:bCs/>
                        <w:rtl/>
                      </w:rPr>
                      <w:t>גבייה של היטלי השבחה והשימוש בהם</w:t>
                    </w:r>
                  </w:p>
                </w:txbxContent>
              </v:textbox>
              <w10:wrap type="square"/>
            </v:shape>
          </w:pict>
        </mc:Fallback>
      </mc:AlternateContent>
    </w:r>
  </w:p>
  <w:p w:rsidR="00E56721" w:rsidP="001526AC" w14:paraId="52A32138"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573E41A0"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4864"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279EFE22">
                          <w:pPr>
                            <w:jc w:val="right"/>
                            <w:rPr>
                              <w:color w:val="0D0D0D" w:themeColor="text1" w:themeTint="F2"/>
                              <w:sz w:val="16"/>
                              <w:szCs w:val="16"/>
                            </w:rPr>
                          </w:pPr>
                          <w:r>
                            <w:rPr>
                              <w:rFonts w:ascii="Tahoma" w:hAnsi="Tahoma" w:cs="Tahoma" w:hint="cs"/>
                              <w:color w:val="0D0D0D"/>
                              <w:sz w:val="16"/>
                              <w:szCs w:val="16"/>
                              <w:rtl/>
                            </w:rPr>
                            <w:t xml:space="preserve">מבקר המדינה | </w:t>
                          </w:r>
                          <w:r w:rsidRPr="00AE7EA4">
                            <w:rPr>
                              <w:rFonts w:ascii="Tahoma" w:hAnsi="Tahoma" w:cs="Tahoma"/>
                              <w:color w:val="0D0D0D"/>
                              <w:sz w:val="16"/>
                              <w:szCs w:val="16"/>
                              <w:rtl/>
                            </w:rPr>
                            <w:t xml:space="preserve">דוח </w:t>
                          </w:r>
                          <w:r>
                            <w:rPr>
                              <w:rFonts w:ascii="Tahoma" w:hAnsi="Tahoma" w:cs="Tahoma" w:hint="cs"/>
                              <w:color w:val="0D0D0D"/>
                              <w:sz w:val="16"/>
                              <w:szCs w:val="16"/>
                              <w:rtl/>
                            </w:rPr>
                            <w:t>על הביקורת בשלטון המקומי</w:t>
                          </w:r>
                          <w:r w:rsidRPr="00AE7EA4">
                            <w:rPr>
                              <w:rFonts w:ascii="Tahoma" w:hAnsi="Tahoma" w:cs="Tahoma"/>
                              <w:color w:val="0D0D0D"/>
                              <w:sz w:val="16"/>
                              <w:szCs w:val="16"/>
                              <w:rtl/>
                            </w:rPr>
                            <w:t xml:space="preserve"> | התשפ״ד</w:t>
                          </w:r>
                          <w:r>
                            <w:rPr>
                              <w:rFonts w:ascii="Tahoma" w:hAnsi="Tahoma" w:cs="Tahoma" w:hint="cs"/>
                              <w:color w:val="0D0D0D"/>
                              <w:sz w:val="16"/>
                              <w:szCs w:val="16"/>
                              <w:rtl/>
                            </w:rPr>
                            <w:t>-</w:t>
                          </w:r>
                          <w:r w:rsidRPr="00AE7EA4">
                            <w:rPr>
                              <w:rFonts w:ascii="Tahoma" w:hAnsi="Tahoma" w:cs="Tahoma"/>
                              <w:color w:val="0D0D0D"/>
                              <w:sz w:val="16"/>
                              <w:szCs w:val="16"/>
                              <w:rtl/>
                            </w:rPr>
                            <w:t>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3"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85888" strokecolor="white">
              <v:textbox>
                <w:txbxContent>
                  <w:p w:rsidR="00E56721" w:rsidRPr="00C55DC9" w:rsidP="00B244B0" w14:paraId="70F458A6" w14:textId="279EFE22">
                    <w:pPr>
                      <w:jc w:val="right"/>
                      <w:rPr>
                        <w:color w:val="0D0D0D" w:themeColor="text1" w:themeTint="F2"/>
                        <w:sz w:val="16"/>
                        <w:szCs w:val="16"/>
                      </w:rPr>
                    </w:pPr>
                    <w:r>
                      <w:rPr>
                        <w:rFonts w:ascii="Tahoma" w:hAnsi="Tahoma" w:cs="Tahoma" w:hint="cs"/>
                        <w:color w:val="0D0D0D"/>
                        <w:sz w:val="16"/>
                        <w:szCs w:val="16"/>
                        <w:rtl/>
                      </w:rPr>
                      <w:t xml:space="preserve">מבקר המדינה | </w:t>
                    </w:r>
                    <w:r w:rsidRPr="00AE7EA4">
                      <w:rPr>
                        <w:rFonts w:ascii="Tahoma" w:hAnsi="Tahoma" w:cs="Tahoma"/>
                        <w:color w:val="0D0D0D"/>
                        <w:sz w:val="16"/>
                        <w:szCs w:val="16"/>
                        <w:rtl/>
                      </w:rPr>
                      <w:t xml:space="preserve">דוח </w:t>
                    </w:r>
                    <w:r>
                      <w:rPr>
                        <w:rFonts w:ascii="Tahoma" w:hAnsi="Tahoma" w:cs="Tahoma" w:hint="cs"/>
                        <w:color w:val="0D0D0D"/>
                        <w:sz w:val="16"/>
                        <w:szCs w:val="16"/>
                        <w:rtl/>
                      </w:rPr>
                      <w:t>על הביקורת בשלטון המקומי</w:t>
                    </w:r>
                    <w:r w:rsidRPr="00AE7EA4">
                      <w:rPr>
                        <w:rFonts w:ascii="Tahoma" w:hAnsi="Tahoma" w:cs="Tahoma"/>
                        <w:color w:val="0D0D0D"/>
                        <w:sz w:val="16"/>
                        <w:szCs w:val="16"/>
                        <w:rtl/>
                      </w:rPr>
                      <w:t xml:space="preserve"> | התשפ״ד</w:t>
                    </w:r>
                    <w:r>
                      <w:rPr>
                        <w:rFonts w:ascii="Tahoma" w:hAnsi="Tahoma" w:cs="Tahoma" w:hint="cs"/>
                        <w:color w:val="0D0D0D"/>
                        <w:sz w:val="16"/>
                        <w:szCs w:val="16"/>
                        <w:rtl/>
                      </w:rPr>
                      <w:t>-</w:t>
                    </w:r>
                    <w:r w:rsidRPr="00AE7EA4">
                      <w:rPr>
                        <w:rFonts w:ascii="Tahoma" w:hAnsi="Tahoma" w:cs="Tahoma"/>
                        <w:color w:val="0D0D0D"/>
                        <w:sz w:val="16"/>
                        <w:szCs w:val="16"/>
                        <w:rtl/>
                      </w:rPr>
                      <w:t>2024</w:t>
                    </w:r>
                  </w:p>
                </w:txbxContent>
              </v:textbox>
            </v:shape>
          </w:pict>
        </mc:Fallback>
      </mc:AlternateContent>
    </w:r>
    <w:r>
      <w:rPr>
        <w:rFonts w:ascii="Tahoma" w:hAnsi="Tahoma" w:cs="Tahoma"/>
        <w:noProof/>
        <w:sz w:val="22"/>
        <w:szCs w:val="22"/>
        <w:rtl/>
        <w:lang w:val="he-IL"/>
      </w:rPr>
      <w:drawing>
        <wp:anchor distT="0" distB="0" distL="114300" distR="114300" simplePos="0" relativeHeight="25169100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3788749"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8749"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4" style="flip:x;mso-height-percent:0;mso-height-relative:margin;mso-width-percent:0;mso-width-relative:margin;mso-wrap-distance-bottom:0;mso-wrap-distance-left:9pt;mso-wrap-distance-right:9pt;mso-wrap-distance-top:0;mso-wrap-style:square;position:absolute;visibility:visible;z-index:251687936"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A74822EE"/>
    <w:lvl w:ilvl="0">
      <w:start w:val="1"/>
      <w:numFmt w:val="decimal"/>
      <w:lvlText w:val="%1."/>
      <w:lvlJc w:val="left"/>
      <w:pPr>
        <w:tabs>
          <w:tab w:val="num" w:pos="1492"/>
        </w:tabs>
        <w:ind w:left="1492" w:hanging="360"/>
      </w:pPr>
    </w:lvl>
  </w:abstractNum>
  <w:abstractNum w:abstractNumId="1">
    <w:nsid w:val="FFFFFF7D"/>
    <w:multiLevelType w:val="singleLevel"/>
    <w:tmpl w:val="6762B44E"/>
    <w:lvl w:ilvl="0">
      <w:start w:val="1"/>
      <w:numFmt w:val="decimal"/>
      <w:lvlText w:val="%1."/>
      <w:lvlJc w:val="left"/>
      <w:pPr>
        <w:tabs>
          <w:tab w:val="num" w:pos="1209"/>
        </w:tabs>
        <w:ind w:left="1209" w:hanging="360"/>
      </w:pPr>
    </w:lvl>
  </w:abstractNum>
  <w:abstractNum w:abstractNumId="2">
    <w:nsid w:val="FFFFFF7F"/>
    <w:multiLevelType w:val="singleLevel"/>
    <w:tmpl w:val="C868B49C"/>
    <w:lvl w:ilvl="0">
      <w:start w:val="1"/>
      <w:numFmt w:val="decimal"/>
      <w:lvlText w:val="%1."/>
      <w:lvlJc w:val="left"/>
      <w:pPr>
        <w:tabs>
          <w:tab w:val="num" w:pos="643"/>
        </w:tabs>
        <w:ind w:left="643" w:hanging="360"/>
      </w:pPr>
    </w:lvl>
  </w:abstractNum>
  <w:abstractNum w:abstractNumId="3">
    <w:nsid w:val="FFFFFF80"/>
    <w:multiLevelType w:val="singleLevel"/>
    <w:tmpl w:val="CA22EDF8"/>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6616F6B0"/>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EBFEF874"/>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AE0A621A"/>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561614A0"/>
    <w:lvl w:ilvl="0">
      <w:start w:val="1"/>
      <w:numFmt w:val="bullet"/>
      <w:lvlText w:val=""/>
      <w:lvlJc w:val="left"/>
      <w:pPr>
        <w:tabs>
          <w:tab w:val="num" w:pos="360"/>
        </w:tabs>
        <w:ind w:left="360" w:hanging="360"/>
      </w:pPr>
      <w:rPr>
        <w:rFonts w:ascii="Symbol" w:hAnsi="Symbol" w:hint="default"/>
      </w:rPr>
    </w:lvl>
  </w:abstractNum>
  <w:abstractNum w:abstractNumId="8">
    <w:nsid w:val="020A70F9"/>
    <w:multiLevelType w:val="hybridMultilevel"/>
    <w:tmpl w:val="A748F26C"/>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9">
    <w:nsid w:val="07C54509"/>
    <w:multiLevelType w:val="multilevel"/>
    <w:tmpl w:val="3030E6FC"/>
    <w:lvl w:ilvl="0">
      <w:start w:val="1"/>
      <w:numFmt w:val="decimal"/>
      <w:pStyle w:val="732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088216AB"/>
    <w:multiLevelType w:val="hybridMultilevel"/>
    <w:tmpl w:val="BB7ADECA"/>
    <w:lvl w:ilvl="0">
      <w:start w:val="1"/>
      <w:numFmt w:val="hebrew1"/>
      <w:pStyle w:val="123"/>
      <w:lvlText w:val="%1."/>
      <w:lvlJc w:val="center"/>
      <w:pPr>
        <w:ind w:left="1915" w:hanging="360"/>
      </w:pPr>
    </w:lvl>
    <w:lvl w:ilvl="1" w:tentative="1">
      <w:start w:val="1"/>
      <w:numFmt w:val="lowerLetter"/>
      <w:lvlText w:val="%2."/>
      <w:lvlJc w:val="left"/>
      <w:pPr>
        <w:ind w:left="2635" w:hanging="360"/>
      </w:pPr>
    </w:lvl>
    <w:lvl w:ilvl="2" w:tentative="1">
      <w:start w:val="1"/>
      <w:numFmt w:val="lowerRoman"/>
      <w:lvlText w:val="%3."/>
      <w:lvlJc w:val="right"/>
      <w:pPr>
        <w:ind w:left="3355" w:hanging="180"/>
      </w:pPr>
    </w:lvl>
    <w:lvl w:ilvl="3" w:tentative="1">
      <w:start w:val="1"/>
      <w:numFmt w:val="decimal"/>
      <w:lvlText w:val="%4."/>
      <w:lvlJc w:val="left"/>
      <w:pPr>
        <w:ind w:left="4075" w:hanging="360"/>
      </w:pPr>
    </w:lvl>
    <w:lvl w:ilvl="4" w:tentative="1">
      <w:start w:val="1"/>
      <w:numFmt w:val="lowerLetter"/>
      <w:lvlText w:val="%5."/>
      <w:lvlJc w:val="left"/>
      <w:pPr>
        <w:ind w:left="4795" w:hanging="360"/>
      </w:pPr>
    </w:lvl>
    <w:lvl w:ilvl="5" w:tentative="1">
      <w:start w:val="1"/>
      <w:numFmt w:val="lowerRoman"/>
      <w:lvlText w:val="%6."/>
      <w:lvlJc w:val="right"/>
      <w:pPr>
        <w:ind w:left="5515" w:hanging="180"/>
      </w:pPr>
    </w:lvl>
    <w:lvl w:ilvl="6" w:tentative="1">
      <w:start w:val="1"/>
      <w:numFmt w:val="decimal"/>
      <w:lvlText w:val="%7."/>
      <w:lvlJc w:val="left"/>
      <w:pPr>
        <w:ind w:left="6235" w:hanging="360"/>
      </w:pPr>
    </w:lvl>
    <w:lvl w:ilvl="7" w:tentative="1">
      <w:start w:val="1"/>
      <w:numFmt w:val="lowerLetter"/>
      <w:lvlText w:val="%8."/>
      <w:lvlJc w:val="left"/>
      <w:pPr>
        <w:ind w:left="6955" w:hanging="360"/>
      </w:pPr>
    </w:lvl>
    <w:lvl w:ilvl="8" w:tentative="1">
      <w:start w:val="1"/>
      <w:numFmt w:val="lowerRoman"/>
      <w:lvlText w:val="%9."/>
      <w:lvlJc w:val="right"/>
      <w:pPr>
        <w:ind w:left="7675" w:hanging="180"/>
      </w:pPr>
    </w:lvl>
  </w:abstractNum>
  <w:abstractNum w:abstractNumId="11">
    <w:nsid w:val="08CE6D0D"/>
    <w:multiLevelType w:val="multilevel"/>
    <w:tmpl w:val="34608E60"/>
    <w:lvl w:ilvl="0">
      <w:start w:val="1"/>
      <w:numFmt w:val="decimal"/>
      <w:lvlText w:val="%1."/>
      <w:lvlJc w:val="left"/>
      <w:pPr>
        <w:ind w:left="340" w:hanging="340"/>
      </w:pPr>
      <w:rPr>
        <w:rFonts w:hint="default"/>
        <w:b/>
        <w:bCs w:val="0"/>
        <w:lang w:val="en-U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CE47C9F"/>
    <w:multiLevelType w:val="hybridMultilevel"/>
    <w:tmpl w:val="5DD64334"/>
    <w:lvl w:ilvl="0">
      <w:start w:val="1"/>
      <w:numFmt w:val="bullet"/>
      <w:lvlText w:val=""/>
      <w:lvlJc w:val="left"/>
      <w:pPr>
        <w:ind w:left="217" w:hanging="360"/>
      </w:pPr>
      <w:rPr>
        <w:rFonts w:ascii="Symbol" w:hAnsi="Symbol" w:cs="Symbol" w:hint="default"/>
        <w:b/>
        <w:bCs/>
        <w:color w:val="FF0000"/>
        <w:szCs w:val="28"/>
      </w:rPr>
    </w:lvl>
    <w:lvl w:ilvl="1" w:tentative="1">
      <w:start w:val="1"/>
      <w:numFmt w:val="bullet"/>
      <w:lvlText w:val="o"/>
      <w:lvlJc w:val="left"/>
      <w:pPr>
        <w:ind w:left="937" w:hanging="360"/>
      </w:pPr>
      <w:rPr>
        <w:rFonts w:ascii="Courier New" w:hAnsi="Courier New" w:cs="Courier New" w:hint="default"/>
      </w:rPr>
    </w:lvl>
    <w:lvl w:ilvl="2" w:tentative="1">
      <w:start w:val="1"/>
      <w:numFmt w:val="bullet"/>
      <w:lvlText w:val=""/>
      <w:lvlJc w:val="left"/>
      <w:pPr>
        <w:ind w:left="1657" w:hanging="360"/>
      </w:pPr>
      <w:rPr>
        <w:rFonts w:ascii="Wingdings" w:hAnsi="Wingdings" w:hint="default"/>
      </w:rPr>
    </w:lvl>
    <w:lvl w:ilvl="3" w:tentative="1">
      <w:start w:val="1"/>
      <w:numFmt w:val="bullet"/>
      <w:lvlText w:val=""/>
      <w:lvlJc w:val="left"/>
      <w:pPr>
        <w:ind w:left="2377" w:hanging="360"/>
      </w:pPr>
      <w:rPr>
        <w:rFonts w:ascii="Symbol" w:hAnsi="Symbol" w:hint="default"/>
      </w:rPr>
    </w:lvl>
    <w:lvl w:ilvl="4" w:tentative="1">
      <w:start w:val="1"/>
      <w:numFmt w:val="bullet"/>
      <w:lvlText w:val="o"/>
      <w:lvlJc w:val="left"/>
      <w:pPr>
        <w:ind w:left="3097" w:hanging="360"/>
      </w:pPr>
      <w:rPr>
        <w:rFonts w:ascii="Courier New" w:hAnsi="Courier New" w:cs="Courier New" w:hint="default"/>
      </w:rPr>
    </w:lvl>
    <w:lvl w:ilvl="5" w:tentative="1">
      <w:start w:val="1"/>
      <w:numFmt w:val="bullet"/>
      <w:lvlText w:val=""/>
      <w:lvlJc w:val="left"/>
      <w:pPr>
        <w:ind w:left="3817" w:hanging="360"/>
      </w:pPr>
      <w:rPr>
        <w:rFonts w:ascii="Wingdings" w:hAnsi="Wingdings" w:hint="default"/>
      </w:rPr>
    </w:lvl>
    <w:lvl w:ilvl="6" w:tentative="1">
      <w:start w:val="1"/>
      <w:numFmt w:val="bullet"/>
      <w:lvlText w:val=""/>
      <w:lvlJc w:val="left"/>
      <w:pPr>
        <w:ind w:left="4537" w:hanging="360"/>
      </w:pPr>
      <w:rPr>
        <w:rFonts w:ascii="Symbol" w:hAnsi="Symbol" w:hint="default"/>
      </w:rPr>
    </w:lvl>
    <w:lvl w:ilvl="7" w:tentative="1">
      <w:start w:val="1"/>
      <w:numFmt w:val="bullet"/>
      <w:lvlText w:val="o"/>
      <w:lvlJc w:val="left"/>
      <w:pPr>
        <w:ind w:left="5257" w:hanging="360"/>
      </w:pPr>
      <w:rPr>
        <w:rFonts w:ascii="Courier New" w:hAnsi="Courier New" w:cs="Courier New" w:hint="default"/>
      </w:rPr>
    </w:lvl>
    <w:lvl w:ilvl="8" w:tentative="1">
      <w:start w:val="1"/>
      <w:numFmt w:val="bullet"/>
      <w:lvlText w:val=""/>
      <w:lvlJc w:val="left"/>
      <w:pPr>
        <w:ind w:left="5977" w:hanging="360"/>
      </w:pPr>
      <w:rPr>
        <w:rFonts w:ascii="Wingdings" w:hAnsi="Wingdings" w:hint="default"/>
      </w:rPr>
    </w:lvl>
  </w:abstractNum>
  <w:abstractNum w:abstractNumId="14">
    <w:nsid w:val="25C11F8F"/>
    <w:multiLevelType w:val="hybridMultilevel"/>
    <w:tmpl w:val="723AA1A8"/>
    <w:lvl w:ilvl="0">
      <w:start w:val="1"/>
      <w:numFmt w:val="bullet"/>
      <w:pStyle w:val="755"/>
      <w:lvlText w:val=""/>
      <w:lvlJc w:val="left"/>
      <w:pPr>
        <w:ind w:left="927" w:hanging="360"/>
      </w:pPr>
      <w:rPr>
        <w:rFonts w:ascii="Symbol" w:hAnsi="Symbol" w:cs="Symbol" w:hint="default"/>
        <w:b/>
        <w:bCs/>
        <w:color w:val="FF0000"/>
        <w:sz w:val="19"/>
        <w:szCs w:val="19"/>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15">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6">
    <w:nsid w:val="30D17255"/>
    <w:multiLevelType w:val="hybridMultilevel"/>
    <w:tmpl w:val="F1AE1FFC"/>
    <w:lvl w:ilvl="0">
      <w:start w:val="1"/>
      <w:numFmt w:val="decimal"/>
      <w:pStyle w:val="a57"/>
      <w:lvlText w:val="לוח %1:"/>
      <w:lvlJc w:val="left"/>
      <w:pPr>
        <w:ind w:left="185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17">
    <w:nsid w:val="316B14B9"/>
    <w:multiLevelType w:val="hybridMultilevel"/>
    <w:tmpl w:val="378E9214"/>
    <w:lvl w:ilvl="0">
      <w:start w:val="1"/>
      <w:numFmt w:val="decimal"/>
      <w:pStyle w:val="a55"/>
      <w:lvlText w:val="תמונה %1:"/>
      <w:lvlJc w:val="left"/>
      <w:pPr>
        <w:ind w:left="149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18">
    <w:nsid w:val="33A86F96"/>
    <w:multiLevelType w:val="hybridMultilevel"/>
    <w:tmpl w:val="220A2AB2"/>
    <w:lvl w:ilvl="0">
      <w:start w:val="1"/>
      <w:numFmt w:val="decimal"/>
      <w:pStyle w:val="a59"/>
      <w:lvlText w:val="מפה %1:"/>
      <w:lvlJc w:val="left"/>
      <w:pPr>
        <w:ind w:left="1858"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934" w:hanging="360"/>
      </w:pPr>
    </w:lvl>
    <w:lvl w:ilvl="2" w:tentative="1">
      <w:start w:val="1"/>
      <w:numFmt w:val="lowerRoman"/>
      <w:lvlText w:val="%3."/>
      <w:lvlJc w:val="right"/>
      <w:pPr>
        <w:ind w:left="3654" w:hanging="180"/>
      </w:pPr>
    </w:lvl>
    <w:lvl w:ilvl="3" w:tentative="1">
      <w:start w:val="1"/>
      <w:numFmt w:val="decimal"/>
      <w:lvlText w:val="%4."/>
      <w:lvlJc w:val="left"/>
      <w:pPr>
        <w:ind w:left="4374" w:hanging="360"/>
      </w:pPr>
    </w:lvl>
    <w:lvl w:ilvl="4" w:tentative="1">
      <w:start w:val="1"/>
      <w:numFmt w:val="lowerLetter"/>
      <w:lvlText w:val="%5."/>
      <w:lvlJc w:val="left"/>
      <w:pPr>
        <w:ind w:left="5094" w:hanging="360"/>
      </w:pPr>
    </w:lvl>
    <w:lvl w:ilvl="5" w:tentative="1">
      <w:start w:val="1"/>
      <w:numFmt w:val="lowerRoman"/>
      <w:lvlText w:val="%6."/>
      <w:lvlJc w:val="right"/>
      <w:pPr>
        <w:ind w:left="5814" w:hanging="180"/>
      </w:pPr>
    </w:lvl>
    <w:lvl w:ilvl="6" w:tentative="1">
      <w:start w:val="1"/>
      <w:numFmt w:val="decimal"/>
      <w:lvlText w:val="%7."/>
      <w:lvlJc w:val="left"/>
      <w:pPr>
        <w:ind w:left="6534" w:hanging="360"/>
      </w:pPr>
    </w:lvl>
    <w:lvl w:ilvl="7" w:tentative="1">
      <w:start w:val="1"/>
      <w:numFmt w:val="lowerLetter"/>
      <w:lvlText w:val="%8."/>
      <w:lvlJc w:val="left"/>
      <w:pPr>
        <w:ind w:left="7254" w:hanging="360"/>
      </w:pPr>
    </w:lvl>
    <w:lvl w:ilvl="8" w:tentative="1">
      <w:start w:val="1"/>
      <w:numFmt w:val="lowerRoman"/>
      <w:lvlText w:val="%9."/>
      <w:lvlJc w:val="right"/>
      <w:pPr>
        <w:ind w:left="7974" w:hanging="180"/>
      </w:pPr>
    </w:lvl>
  </w:abstractNum>
  <w:abstractNum w:abstractNumId="19">
    <w:nsid w:val="35EE30E9"/>
    <w:multiLevelType w:val="hybridMultilevel"/>
    <w:tmpl w:val="D2E4FDCC"/>
    <w:lvl w:ilvl="0">
      <w:start w:val="2"/>
      <w:numFmt w:val="bullet"/>
      <w:lvlText w:val=""/>
      <w:lvlJc w:val="left"/>
      <w:pPr>
        <w:ind w:left="397" w:hanging="397"/>
      </w:pPr>
      <w:rPr>
        <w:rFonts w:ascii="Symbol" w:hAnsi="Symbol" w:eastAsiaTheme="minorHAnsi" w:cs="David" w:hint="default"/>
        <w:b/>
        <w:i w:val="0"/>
        <w:caps w:val="0"/>
        <w:strike w:val="0"/>
        <w:dstrike w:val="0"/>
        <w:vanish w:val="0"/>
        <w:color w:val="auto"/>
        <w:sz w:val="22"/>
        <w:szCs w:val="1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A923526"/>
    <w:multiLevelType w:val="hybridMultilevel"/>
    <w:tmpl w:val="4E74417E"/>
    <w:lvl w:ilvl="0">
      <w:start w:val="1"/>
      <w:numFmt w:val="decimal"/>
      <w:pStyle w:val="a53"/>
      <w:lvlText w:val="תרשים %1:"/>
      <w:lvlJc w:val="left"/>
      <w:pPr>
        <w:ind w:left="149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21">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40DC7E01"/>
    <w:multiLevelType w:val="hybridMultilevel"/>
    <w:tmpl w:val="5D24C320"/>
    <w:lvl w:ilvl="0">
      <w:start w:val="1"/>
      <w:numFmt w:val="decimal"/>
      <w:pStyle w:val="33"/>
      <w:lvlText w:val="%1.1.1"/>
      <w:lvlJc w:val="left"/>
      <w:pPr>
        <w:ind w:left="1854" w:hanging="360"/>
      </w:pPr>
      <w:rPr>
        <w:rFonts w:hint="default"/>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23">
    <w:nsid w:val="441A6670"/>
    <w:multiLevelType w:val="hybridMultilevel"/>
    <w:tmpl w:val="369C82D6"/>
    <w:lvl w:ilvl="0">
      <w:start w:val="1"/>
      <w:numFmt w:val="hebrew1"/>
      <w:pStyle w:val="35"/>
      <w:lvlText w:val="%1."/>
      <w:lvlJc w:val="center"/>
      <w:pPr>
        <w:ind w:left="2705" w:hanging="360"/>
      </w:pPr>
    </w:lvl>
    <w:lvl w:ilvl="1" w:tentative="1">
      <w:start w:val="1"/>
      <w:numFmt w:val="lowerLetter"/>
      <w:lvlText w:val="%2."/>
      <w:lvlJc w:val="left"/>
      <w:pPr>
        <w:ind w:left="3425" w:hanging="360"/>
      </w:pPr>
    </w:lvl>
    <w:lvl w:ilvl="2" w:tentative="1">
      <w:start w:val="1"/>
      <w:numFmt w:val="lowerRoman"/>
      <w:lvlText w:val="%3."/>
      <w:lvlJc w:val="right"/>
      <w:pPr>
        <w:ind w:left="4145" w:hanging="180"/>
      </w:pPr>
    </w:lvl>
    <w:lvl w:ilvl="3" w:tentative="1">
      <w:start w:val="1"/>
      <w:numFmt w:val="decimal"/>
      <w:lvlText w:val="%4."/>
      <w:lvlJc w:val="left"/>
      <w:pPr>
        <w:ind w:left="4865" w:hanging="360"/>
      </w:pPr>
    </w:lvl>
    <w:lvl w:ilvl="4" w:tentative="1">
      <w:start w:val="1"/>
      <w:numFmt w:val="lowerLetter"/>
      <w:lvlText w:val="%5."/>
      <w:lvlJc w:val="left"/>
      <w:pPr>
        <w:ind w:left="5585" w:hanging="360"/>
      </w:pPr>
    </w:lvl>
    <w:lvl w:ilvl="5" w:tentative="1">
      <w:start w:val="1"/>
      <w:numFmt w:val="lowerRoman"/>
      <w:lvlText w:val="%6."/>
      <w:lvlJc w:val="right"/>
      <w:pPr>
        <w:ind w:left="6305" w:hanging="180"/>
      </w:pPr>
    </w:lvl>
    <w:lvl w:ilvl="6" w:tentative="1">
      <w:start w:val="1"/>
      <w:numFmt w:val="decimal"/>
      <w:lvlText w:val="%7."/>
      <w:lvlJc w:val="left"/>
      <w:pPr>
        <w:ind w:left="7025" w:hanging="360"/>
      </w:pPr>
    </w:lvl>
    <w:lvl w:ilvl="7" w:tentative="1">
      <w:start w:val="1"/>
      <w:numFmt w:val="lowerLetter"/>
      <w:lvlText w:val="%8."/>
      <w:lvlJc w:val="left"/>
      <w:pPr>
        <w:ind w:left="7745" w:hanging="360"/>
      </w:pPr>
    </w:lvl>
    <w:lvl w:ilvl="8" w:tentative="1">
      <w:start w:val="1"/>
      <w:numFmt w:val="lowerRoman"/>
      <w:lvlText w:val="%9."/>
      <w:lvlJc w:val="right"/>
      <w:pPr>
        <w:ind w:left="8465" w:hanging="180"/>
      </w:pPr>
    </w:lvl>
  </w:abstractNum>
  <w:abstractNum w:abstractNumId="24">
    <w:nsid w:val="459C2999"/>
    <w:multiLevelType w:val="multilevel"/>
    <w:tmpl w:val="065C52B0"/>
    <w:lvl w:ilvl="0">
      <w:start w:val="1"/>
      <w:numFmt w:val="hebrew1"/>
      <w:pStyle w:val="732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5">
    <w:nsid w:val="4DD35436"/>
    <w:multiLevelType w:val="hybridMultilevel"/>
    <w:tmpl w:val="EC1EC164"/>
    <w:lvl w:ilvl="0">
      <w:start w:val="1"/>
      <w:numFmt w:val="decimal"/>
      <w:pStyle w:val="24"/>
      <w:lvlText w:val="%1.1"/>
      <w:lvlJc w:val="left"/>
      <w:pPr>
        <w:ind w:left="1860" w:hanging="360"/>
      </w:pPr>
      <w:rPr>
        <w:rFonts w:hint="default"/>
      </w:rPr>
    </w:lvl>
    <w:lvl w:ilvl="1" w:tentative="1">
      <w:start w:val="1"/>
      <w:numFmt w:val="lowerLetter"/>
      <w:lvlText w:val="%2."/>
      <w:lvlJc w:val="left"/>
      <w:pPr>
        <w:ind w:left="2580" w:hanging="360"/>
      </w:pPr>
    </w:lvl>
    <w:lvl w:ilvl="2" w:tentative="1">
      <w:start w:val="1"/>
      <w:numFmt w:val="lowerRoman"/>
      <w:lvlText w:val="%3."/>
      <w:lvlJc w:val="right"/>
      <w:pPr>
        <w:ind w:left="3300" w:hanging="180"/>
      </w:pPr>
    </w:lvl>
    <w:lvl w:ilvl="3" w:tentative="1">
      <w:start w:val="1"/>
      <w:numFmt w:val="decimal"/>
      <w:lvlText w:val="%4."/>
      <w:lvlJc w:val="left"/>
      <w:pPr>
        <w:ind w:left="4020" w:hanging="360"/>
      </w:pPr>
    </w:lvl>
    <w:lvl w:ilvl="4" w:tentative="1">
      <w:start w:val="1"/>
      <w:numFmt w:val="lowerLetter"/>
      <w:lvlText w:val="%5."/>
      <w:lvlJc w:val="left"/>
      <w:pPr>
        <w:ind w:left="4740" w:hanging="360"/>
      </w:pPr>
    </w:lvl>
    <w:lvl w:ilvl="5" w:tentative="1">
      <w:start w:val="1"/>
      <w:numFmt w:val="lowerRoman"/>
      <w:lvlText w:val="%6."/>
      <w:lvlJc w:val="right"/>
      <w:pPr>
        <w:ind w:left="5460" w:hanging="180"/>
      </w:pPr>
    </w:lvl>
    <w:lvl w:ilvl="6" w:tentative="1">
      <w:start w:val="1"/>
      <w:numFmt w:val="decimal"/>
      <w:lvlText w:val="%7."/>
      <w:lvlJc w:val="left"/>
      <w:pPr>
        <w:ind w:left="6180" w:hanging="360"/>
      </w:pPr>
    </w:lvl>
    <w:lvl w:ilvl="7" w:tentative="1">
      <w:start w:val="1"/>
      <w:numFmt w:val="lowerLetter"/>
      <w:lvlText w:val="%8."/>
      <w:lvlJc w:val="left"/>
      <w:pPr>
        <w:ind w:left="6900" w:hanging="360"/>
      </w:pPr>
    </w:lvl>
    <w:lvl w:ilvl="8" w:tentative="1">
      <w:start w:val="1"/>
      <w:numFmt w:val="lowerRoman"/>
      <w:lvlText w:val="%9."/>
      <w:lvlJc w:val="right"/>
      <w:pPr>
        <w:ind w:left="7620" w:hanging="180"/>
      </w:pPr>
    </w:lvl>
  </w:abstractNum>
  <w:abstractNum w:abstractNumId="26">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7">
    <w:nsid w:val="5D6A7A2D"/>
    <w:multiLevelType w:val="hybridMultilevel"/>
    <w:tmpl w:val="66C05D20"/>
    <w:lvl w:ilvl="0">
      <w:start w:val="1"/>
      <w:numFmt w:val="bullet"/>
      <w:lvlText w:val=""/>
      <w:lvlJc w:val="left"/>
      <w:pPr>
        <w:ind w:left="360" w:hanging="360"/>
      </w:pPr>
      <w:rPr>
        <w:rFonts w:ascii="Symbol" w:hAnsi="Symbol" w:cs="Symbol" w:hint="default"/>
        <w:color w:val="FF0000"/>
        <w:sz w:val="2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F743717"/>
    <w:multiLevelType w:val="multilevel"/>
    <w:tmpl w:val="54B40DD4"/>
    <w:lvl w:ilvl="0">
      <w:start w:val="1"/>
      <w:numFmt w:val="decimal"/>
      <w:pStyle w:val="a15"/>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30">
    <w:nsid w:val="665B09CB"/>
    <w:multiLevelType w:val="hybridMultilevel"/>
    <w:tmpl w:val="F98283A0"/>
    <w:lvl w:ilvl="0">
      <w:start w:val="1"/>
      <w:numFmt w:val="bullet"/>
      <w:pStyle w:val="52"/>
      <w:lvlText w:val=""/>
      <w:lvlJc w:val="left"/>
      <w:pPr>
        <w:ind w:left="1854" w:hanging="360"/>
      </w:pPr>
      <w:rPr>
        <w:rFonts w:ascii="Wingdings" w:hAnsi="Wingdings" w:hint="default"/>
        <w:color w:val="FFF400"/>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31">
    <w:nsid w:val="73415DFB"/>
    <w:multiLevelType w:val="multilevel"/>
    <w:tmpl w:val="7E8C1EC0"/>
    <w:lvl w:ilvl="0">
      <w:start w:val="1"/>
      <w:numFmt w:val="decimal"/>
      <w:lvlText w:val="%1."/>
      <w:lvlJc w:val="left"/>
      <w:pPr>
        <w:ind w:left="340" w:hanging="340"/>
      </w:pPr>
      <w:rPr>
        <w:rFonts w:hint="default"/>
        <w:b/>
        <w:bCs w:val="0"/>
        <w:lang w:val="en-US"/>
      </w:rPr>
    </w:lvl>
    <w:lvl w:ilvl="1">
      <w:start w:val="1"/>
      <w:numFmt w:val="decimal"/>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2">
    <w:nsid w:val="7C023892"/>
    <w:multiLevelType w:val="hybridMultilevel"/>
    <w:tmpl w:val="8C4CE6C4"/>
    <w:lvl w:ilvl="0">
      <w:start w:val="1"/>
      <w:numFmt w:val="bullet"/>
      <w:lvlText w:val=""/>
      <w:lvlJc w:val="left"/>
      <w:pPr>
        <w:ind w:left="417"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D365B29"/>
    <w:multiLevelType w:val="multilevel"/>
    <w:tmpl w:val="E3AA6D54"/>
    <w:lvl w:ilvl="0">
      <w:start w:val="1"/>
      <w:numFmt w:val="hebrew1"/>
      <w:pStyle w:val="7320"/>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34">
    <w:nsid w:val="7E431D00"/>
    <w:multiLevelType w:val="hybridMultilevel"/>
    <w:tmpl w:val="7576C230"/>
    <w:lvl w:ilvl="0">
      <w:start w:val="1"/>
      <w:numFmt w:val="decimal"/>
      <w:pStyle w:val="120"/>
      <w:lvlText w:val="%1."/>
      <w:lvlJc w:val="left"/>
      <w:pPr>
        <w:ind w:left="1858" w:hanging="360"/>
      </w:pPr>
      <w:rPr>
        <w:rFonts w:ascii="Calibri" w:hAnsi="Calibri" w:cs="Calibri" w:hint="default"/>
        <w:b/>
        <w:bCs/>
        <w:i w:val="0"/>
        <w:iCs w:val="0"/>
        <w:color w:val="002060"/>
        <w:sz w:val="40"/>
        <w:szCs w:val="40"/>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num w:numId="1">
    <w:abstractNumId w:val="26"/>
  </w:num>
  <w:num w:numId="2">
    <w:abstractNumId w:val="15"/>
  </w:num>
  <w:num w:numId="3">
    <w:abstractNumId w:val="21"/>
  </w:num>
  <w:num w:numId="4">
    <w:abstractNumId w:val="33"/>
  </w:num>
  <w:num w:numId="5">
    <w:abstractNumId w:val="9"/>
  </w:num>
  <w:num w:numId="6">
    <w:abstractNumId w:val="24"/>
  </w:num>
  <w:num w:numId="7">
    <w:abstractNumId w:val="29"/>
  </w:num>
  <w:num w:numId="8">
    <w:abstractNumId w:val="12"/>
  </w:num>
  <w:num w:numId="9">
    <w:abstractNumId w:val="28"/>
  </w:num>
  <w:num w:numId="10">
    <w:abstractNumId w:val="32"/>
  </w:num>
  <w:num w:numId="11">
    <w:abstractNumId w:val="8"/>
  </w:num>
  <w:num w:numId="12">
    <w:abstractNumId w:val="19"/>
  </w:num>
  <w:num w:numId="13">
    <w:abstractNumId w:val="34"/>
  </w:num>
  <w:num w:numId="14">
    <w:abstractNumId w:val="25"/>
  </w:num>
  <w:num w:numId="15">
    <w:abstractNumId w:val="22"/>
  </w:num>
  <w:num w:numId="16">
    <w:abstractNumId w:val="10"/>
  </w:num>
  <w:num w:numId="17">
    <w:abstractNumId w:val="23"/>
  </w:num>
  <w:num w:numId="18">
    <w:abstractNumId w:val="30"/>
  </w:num>
  <w:num w:numId="19">
    <w:abstractNumId w:val="20"/>
  </w:num>
  <w:num w:numId="20">
    <w:abstractNumId w:val="17"/>
  </w:num>
  <w:num w:numId="21">
    <w:abstractNumId w:val="16"/>
  </w:num>
  <w:num w:numId="22">
    <w:abstractNumId w:val="18"/>
  </w:num>
  <w:num w:numId="23">
    <w:abstractNumId w:val="7"/>
  </w:num>
  <w:num w:numId="24">
    <w:abstractNumId w:val="6"/>
  </w:num>
  <w:num w:numId="25">
    <w:abstractNumId w:val="5"/>
  </w:num>
  <w:num w:numId="26">
    <w:abstractNumId w:val="4"/>
  </w:num>
  <w:num w:numId="27">
    <w:abstractNumId w:val="3"/>
  </w:num>
  <w:num w:numId="28">
    <w:abstractNumId w:val="2"/>
  </w:num>
  <w:num w:numId="29">
    <w:abstractNumId w:val="1"/>
  </w:num>
  <w:num w:numId="30">
    <w:abstractNumId w:val="0"/>
  </w:num>
  <w:num w:numId="31">
    <w:abstractNumId w:val="14"/>
  </w:num>
  <w:num w:numId="32">
    <w:abstractNumId w:val="14"/>
  </w:num>
  <w:num w:numId="33">
    <w:abstractNumId w:val="13"/>
  </w:num>
  <w:num w:numId="34">
    <w:abstractNumId w:val="14"/>
  </w:num>
  <w:num w:numId="35">
    <w:abstractNumId w:val="14"/>
  </w:num>
  <w:num w:numId="36">
    <w:abstractNumId w:val="14"/>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27"/>
  </w:num>
  <w:num w:numId="45">
    <w:abstractNumId w:val="14"/>
  </w:num>
  <w:num w:numId="46">
    <w:abstractNumId w:val="14"/>
  </w:num>
  <w:num w:numId="47">
    <w:abstractNumId w:val="11"/>
  </w:num>
  <w:num w:numId="48">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20"/>
  <w:displayBackgroundShape/>
  <w:gutterAtTop/>
  <w:proofState w:spelling="clean"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2F7"/>
    <w:rsid w:val="00015564"/>
    <w:rsid w:val="000155F0"/>
    <w:rsid w:val="000157CF"/>
    <w:rsid w:val="00015A22"/>
    <w:rsid w:val="00016541"/>
    <w:rsid w:val="000166CA"/>
    <w:rsid w:val="000168DE"/>
    <w:rsid w:val="00016F7F"/>
    <w:rsid w:val="0001735B"/>
    <w:rsid w:val="00020441"/>
    <w:rsid w:val="000206F1"/>
    <w:rsid w:val="00021298"/>
    <w:rsid w:val="00021ED5"/>
    <w:rsid w:val="00021FFB"/>
    <w:rsid w:val="000224FF"/>
    <w:rsid w:val="00023E81"/>
    <w:rsid w:val="000246D2"/>
    <w:rsid w:val="00024BF9"/>
    <w:rsid w:val="00024E0C"/>
    <w:rsid w:val="000251E2"/>
    <w:rsid w:val="0002526A"/>
    <w:rsid w:val="0002582E"/>
    <w:rsid w:val="000259C7"/>
    <w:rsid w:val="0002619B"/>
    <w:rsid w:val="00026245"/>
    <w:rsid w:val="00026367"/>
    <w:rsid w:val="000264D7"/>
    <w:rsid w:val="00026738"/>
    <w:rsid w:val="00026ACC"/>
    <w:rsid w:val="0002705C"/>
    <w:rsid w:val="00027522"/>
    <w:rsid w:val="000277E2"/>
    <w:rsid w:val="00027B6F"/>
    <w:rsid w:val="00027BF3"/>
    <w:rsid w:val="0003001D"/>
    <w:rsid w:val="00030058"/>
    <w:rsid w:val="000303C9"/>
    <w:rsid w:val="00031C68"/>
    <w:rsid w:val="00031C69"/>
    <w:rsid w:val="00031CEB"/>
    <w:rsid w:val="00032932"/>
    <w:rsid w:val="00033124"/>
    <w:rsid w:val="0003410F"/>
    <w:rsid w:val="00034327"/>
    <w:rsid w:val="0003494D"/>
    <w:rsid w:val="00035688"/>
    <w:rsid w:val="00035B80"/>
    <w:rsid w:val="00035C03"/>
    <w:rsid w:val="00036B0F"/>
    <w:rsid w:val="00036C7E"/>
    <w:rsid w:val="00036EB8"/>
    <w:rsid w:val="000406E3"/>
    <w:rsid w:val="00040918"/>
    <w:rsid w:val="00040C4D"/>
    <w:rsid w:val="00041058"/>
    <w:rsid w:val="000413AB"/>
    <w:rsid w:val="000414A8"/>
    <w:rsid w:val="000419ED"/>
    <w:rsid w:val="00042688"/>
    <w:rsid w:val="00042837"/>
    <w:rsid w:val="00042893"/>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19C"/>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ABB"/>
    <w:rsid w:val="00061D7A"/>
    <w:rsid w:val="00062475"/>
    <w:rsid w:val="00062BF2"/>
    <w:rsid w:val="00063297"/>
    <w:rsid w:val="00063A11"/>
    <w:rsid w:val="00063BDC"/>
    <w:rsid w:val="0006411D"/>
    <w:rsid w:val="000644E4"/>
    <w:rsid w:val="0006456C"/>
    <w:rsid w:val="00064637"/>
    <w:rsid w:val="0006515E"/>
    <w:rsid w:val="000651DF"/>
    <w:rsid w:val="00066AF6"/>
    <w:rsid w:val="00066F43"/>
    <w:rsid w:val="0006721D"/>
    <w:rsid w:val="000672AB"/>
    <w:rsid w:val="000675B0"/>
    <w:rsid w:val="00067A5D"/>
    <w:rsid w:val="00067A76"/>
    <w:rsid w:val="00067E32"/>
    <w:rsid w:val="00067F12"/>
    <w:rsid w:val="00070525"/>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9BB"/>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59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6E4E"/>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4C6"/>
    <w:rsid w:val="000C5E23"/>
    <w:rsid w:val="000C5F85"/>
    <w:rsid w:val="000C6AAF"/>
    <w:rsid w:val="000C7459"/>
    <w:rsid w:val="000D02DC"/>
    <w:rsid w:val="000D04B8"/>
    <w:rsid w:val="000D0837"/>
    <w:rsid w:val="000D11EB"/>
    <w:rsid w:val="000D1714"/>
    <w:rsid w:val="000D2056"/>
    <w:rsid w:val="000D215D"/>
    <w:rsid w:val="000D22F0"/>
    <w:rsid w:val="000D2A57"/>
    <w:rsid w:val="000D2B0A"/>
    <w:rsid w:val="000D2CDA"/>
    <w:rsid w:val="000D2F7F"/>
    <w:rsid w:val="000D2F93"/>
    <w:rsid w:val="000D2FE7"/>
    <w:rsid w:val="000D317B"/>
    <w:rsid w:val="000D4B88"/>
    <w:rsid w:val="000D53BB"/>
    <w:rsid w:val="000D543D"/>
    <w:rsid w:val="000D5B81"/>
    <w:rsid w:val="000D5C0B"/>
    <w:rsid w:val="000D63C9"/>
    <w:rsid w:val="000D69F0"/>
    <w:rsid w:val="000D7666"/>
    <w:rsid w:val="000D7EB1"/>
    <w:rsid w:val="000E013E"/>
    <w:rsid w:val="000E0809"/>
    <w:rsid w:val="000E1102"/>
    <w:rsid w:val="000E1475"/>
    <w:rsid w:val="000E1FBD"/>
    <w:rsid w:val="000E2359"/>
    <w:rsid w:val="000E23EA"/>
    <w:rsid w:val="000E2715"/>
    <w:rsid w:val="000E2B2C"/>
    <w:rsid w:val="000E3022"/>
    <w:rsid w:val="000E3B68"/>
    <w:rsid w:val="000E3D52"/>
    <w:rsid w:val="000E3DFA"/>
    <w:rsid w:val="000E3F0C"/>
    <w:rsid w:val="000E400A"/>
    <w:rsid w:val="000E432E"/>
    <w:rsid w:val="000E44FD"/>
    <w:rsid w:val="000E4CE7"/>
    <w:rsid w:val="000E4D6A"/>
    <w:rsid w:val="000E4DF7"/>
    <w:rsid w:val="000E4FA5"/>
    <w:rsid w:val="000E50E1"/>
    <w:rsid w:val="000E5149"/>
    <w:rsid w:val="000E54D2"/>
    <w:rsid w:val="000E5834"/>
    <w:rsid w:val="000E618D"/>
    <w:rsid w:val="000E6198"/>
    <w:rsid w:val="000E64A1"/>
    <w:rsid w:val="000E6AAF"/>
    <w:rsid w:val="000E6F44"/>
    <w:rsid w:val="000E73AF"/>
    <w:rsid w:val="000E7622"/>
    <w:rsid w:val="000E7B08"/>
    <w:rsid w:val="000E7B12"/>
    <w:rsid w:val="000F158C"/>
    <w:rsid w:val="000F1DEA"/>
    <w:rsid w:val="000F23C7"/>
    <w:rsid w:val="000F2408"/>
    <w:rsid w:val="000F2A10"/>
    <w:rsid w:val="000F2DB4"/>
    <w:rsid w:val="000F2E36"/>
    <w:rsid w:val="000F2F7E"/>
    <w:rsid w:val="000F3700"/>
    <w:rsid w:val="000F441E"/>
    <w:rsid w:val="000F4578"/>
    <w:rsid w:val="000F4B6E"/>
    <w:rsid w:val="000F4C79"/>
    <w:rsid w:val="000F5023"/>
    <w:rsid w:val="000F53C2"/>
    <w:rsid w:val="000F59F3"/>
    <w:rsid w:val="000F5EDB"/>
    <w:rsid w:val="000F60AB"/>
    <w:rsid w:val="000F62A9"/>
    <w:rsid w:val="000F62EF"/>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4F3B"/>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0A"/>
    <w:rsid w:val="00124DC1"/>
    <w:rsid w:val="00125628"/>
    <w:rsid w:val="00125881"/>
    <w:rsid w:val="001262F9"/>
    <w:rsid w:val="001268C7"/>
    <w:rsid w:val="00127D9D"/>
    <w:rsid w:val="001305E5"/>
    <w:rsid w:val="00131349"/>
    <w:rsid w:val="0013138F"/>
    <w:rsid w:val="001313B7"/>
    <w:rsid w:val="00131CCD"/>
    <w:rsid w:val="00132126"/>
    <w:rsid w:val="001321A1"/>
    <w:rsid w:val="0013302E"/>
    <w:rsid w:val="0013406B"/>
    <w:rsid w:val="00134F83"/>
    <w:rsid w:val="001354CB"/>
    <w:rsid w:val="00135693"/>
    <w:rsid w:val="00135695"/>
    <w:rsid w:val="00135742"/>
    <w:rsid w:val="001357C3"/>
    <w:rsid w:val="00135A23"/>
    <w:rsid w:val="00135B1B"/>
    <w:rsid w:val="00136479"/>
    <w:rsid w:val="00136496"/>
    <w:rsid w:val="0013664A"/>
    <w:rsid w:val="0013667B"/>
    <w:rsid w:val="0013696C"/>
    <w:rsid w:val="00136A10"/>
    <w:rsid w:val="00136A3E"/>
    <w:rsid w:val="0013702C"/>
    <w:rsid w:val="001370CF"/>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1DD"/>
    <w:rsid w:val="00155501"/>
    <w:rsid w:val="001560B9"/>
    <w:rsid w:val="00156CAA"/>
    <w:rsid w:val="00156DEF"/>
    <w:rsid w:val="0015702B"/>
    <w:rsid w:val="00157577"/>
    <w:rsid w:val="00157D86"/>
    <w:rsid w:val="00160155"/>
    <w:rsid w:val="001602D0"/>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AAE"/>
    <w:rsid w:val="00170DCB"/>
    <w:rsid w:val="0017146B"/>
    <w:rsid w:val="00171552"/>
    <w:rsid w:val="00171B4A"/>
    <w:rsid w:val="00171F57"/>
    <w:rsid w:val="0017200D"/>
    <w:rsid w:val="0017265F"/>
    <w:rsid w:val="00172E36"/>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0DA8"/>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5DF7"/>
    <w:rsid w:val="00186BD2"/>
    <w:rsid w:val="0018758B"/>
    <w:rsid w:val="00187D1B"/>
    <w:rsid w:val="001900F7"/>
    <w:rsid w:val="0019015A"/>
    <w:rsid w:val="00190396"/>
    <w:rsid w:val="00190855"/>
    <w:rsid w:val="00190F93"/>
    <w:rsid w:val="00191D43"/>
    <w:rsid w:val="00191FF6"/>
    <w:rsid w:val="00192E51"/>
    <w:rsid w:val="00192F16"/>
    <w:rsid w:val="00193071"/>
    <w:rsid w:val="001930AF"/>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AF0"/>
    <w:rsid w:val="001B4B0A"/>
    <w:rsid w:val="001B4E87"/>
    <w:rsid w:val="001B4EA7"/>
    <w:rsid w:val="001B5656"/>
    <w:rsid w:val="001B5DFF"/>
    <w:rsid w:val="001B65B8"/>
    <w:rsid w:val="001B6F86"/>
    <w:rsid w:val="001B70CA"/>
    <w:rsid w:val="001B75F0"/>
    <w:rsid w:val="001B773F"/>
    <w:rsid w:val="001B78F8"/>
    <w:rsid w:val="001C00D8"/>
    <w:rsid w:val="001C057E"/>
    <w:rsid w:val="001C1095"/>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1307"/>
    <w:rsid w:val="001D223A"/>
    <w:rsid w:val="001D2243"/>
    <w:rsid w:val="001D228F"/>
    <w:rsid w:val="001D2793"/>
    <w:rsid w:val="001D2F2A"/>
    <w:rsid w:val="001D3679"/>
    <w:rsid w:val="001D3CC2"/>
    <w:rsid w:val="001D4015"/>
    <w:rsid w:val="001D4406"/>
    <w:rsid w:val="001D461F"/>
    <w:rsid w:val="001D46D3"/>
    <w:rsid w:val="001D6714"/>
    <w:rsid w:val="001D6BF7"/>
    <w:rsid w:val="001D713E"/>
    <w:rsid w:val="001D77E6"/>
    <w:rsid w:val="001E0306"/>
    <w:rsid w:val="001E076C"/>
    <w:rsid w:val="001E09E8"/>
    <w:rsid w:val="001E0A7D"/>
    <w:rsid w:val="001E0D0D"/>
    <w:rsid w:val="001E0F6A"/>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E7FD4"/>
    <w:rsid w:val="001F068F"/>
    <w:rsid w:val="001F0BBB"/>
    <w:rsid w:val="001F0DE8"/>
    <w:rsid w:val="001F2E3B"/>
    <w:rsid w:val="001F3363"/>
    <w:rsid w:val="001F3815"/>
    <w:rsid w:val="001F4057"/>
    <w:rsid w:val="001F407D"/>
    <w:rsid w:val="001F4183"/>
    <w:rsid w:val="001F4340"/>
    <w:rsid w:val="001F54B2"/>
    <w:rsid w:val="001F5566"/>
    <w:rsid w:val="001F5736"/>
    <w:rsid w:val="001F67DA"/>
    <w:rsid w:val="001F6AE0"/>
    <w:rsid w:val="001F6B1F"/>
    <w:rsid w:val="001F6BA7"/>
    <w:rsid w:val="001F6CBF"/>
    <w:rsid w:val="001F76D7"/>
    <w:rsid w:val="00200434"/>
    <w:rsid w:val="002005A2"/>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07AC8"/>
    <w:rsid w:val="0021058F"/>
    <w:rsid w:val="00210B32"/>
    <w:rsid w:val="0021135F"/>
    <w:rsid w:val="0021150C"/>
    <w:rsid w:val="00212144"/>
    <w:rsid w:val="002127FD"/>
    <w:rsid w:val="00212B04"/>
    <w:rsid w:val="00212EEA"/>
    <w:rsid w:val="002130B4"/>
    <w:rsid w:val="00213453"/>
    <w:rsid w:val="0021348C"/>
    <w:rsid w:val="00214BC0"/>
    <w:rsid w:val="00214CAA"/>
    <w:rsid w:val="002154D1"/>
    <w:rsid w:val="00215B86"/>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CF1"/>
    <w:rsid w:val="00235D75"/>
    <w:rsid w:val="002366CE"/>
    <w:rsid w:val="00236D0B"/>
    <w:rsid w:val="00236F10"/>
    <w:rsid w:val="002375D3"/>
    <w:rsid w:val="00237F59"/>
    <w:rsid w:val="0024001A"/>
    <w:rsid w:val="00240887"/>
    <w:rsid w:val="00240A1C"/>
    <w:rsid w:val="00241142"/>
    <w:rsid w:val="00241958"/>
    <w:rsid w:val="002419DB"/>
    <w:rsid w:val="002419F2"/>
    <w:rsid w:val="00242326"/>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57DE5"/>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BB4"/>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7B5"/>
    <w:rsid w:val="00293FC3"/>
    <w:rsid w:val="00294150"/>
    <w:rsid w:val="00294251"/>
    <w:rsid w:val="00294322"/>
    <w:rsid w:val="00294784"/>
    <w:rsid w:val="00294AF0"/>
    <w:rsid w:val="0029542A"/>
    <w:rsid w:val="00296A9F"/>
    <w:rsid w:val="00296C97"/>
    <w:rsid w:val="002970CC"/>
    <w:rsid w:val="00297730"/>
    <w:rsid w:val="00297B77"/>
    <w:rsid w:val="00297CBC"/>
    <w:rsid w:val="00297FD7"/>
    <w:rsid w:val="002A04CC"/>
    <w:rsid w:val="002A0913"/>
    <w:rsid w:val="002A0B1E"/>
    <w:rsid w:val="002A1117"/>
    <w:rsid w:val="002A18D6"/>
    <w:rsid w:val="002A1999"/>
    <w:rsid w:val="002A2132"/>
    <w:rsid w:val="002A232C"/>
    <w:rsid w:val="002A29AB"/>
    <w:rsid w:val="002A2C5A"/>
    <w:rsid w:val="002A374A"/>
    <w:rsid w:val="002A3A3E"/>
    <w:rsid w:val="002A4103"/>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24D"/>
    <w:rsid w:val="002B55FA"/>
    <w:rsid w:val="002B5A1F"/>
    <w:rsid w:val="002B5C10"/>
    <w:rsid w:val="002B5C6F"/>
    <w:rsid w:val="002B5D65"/>
    <w:rsid w:val="002B5EF2"/>
    <w:rsid w:val="002B637F"/>
    <w:rsid w:val="002B65DC"/>
    <w:rsid w:val="002B6803"/>
    <w:rsid w:val="002B6BE3"/>
    <w:rsid w:val="002B6FB4"/>
    <w:rsid w:val="002B730D"/>
    <w:rsid w:val="002B797F"/>
    <w:rsid w:val="002B7BE6"/>
    <w:rsid w:val="002B7EC3"/>
    <w:rsid w:val="002C06EB"/>
    <w:rsid w:val="002C169F"/>
    <w:rsid w:val="002C1BB5"/>
    <w:rsid w:val="002C1D86"/>
    <w:rsid w:val="002C1EE0"/>
    <w:rsid w:val="002C2340"/>
    <w:rsid w:val="002C247E"/>
    <w:rsid w:val="002C28D3"/>
    <w:rsid w:val="002C2B0E"/>
    <w:rsid w:val="002C316A"/>
    <w:rsid w:val="002C3B87"/>
    <w:rsid w:val="002C3D55"/>
    <w:rsid w:val="002C4139"/>
    <w:rsid w:val="002C4302"/>
    <w:rsid w:val="002C4F9F"/>
    <w:rsid w:val="002C54FF"/>
    <w:rsid w:val="002C58AD"/>
    <w:rsid w:val="002C5943"/>
    <w:rsid w:val="002C65B3"/>
    <w:rsid w:val="002C6D22"/>
    <w:rsid w:val="002C70A2"/>
    <w:rsid w:val="002C7A5A"/>
    <w:rsid w:val="002C7BB5"/>
    <w:rsid w:val="002C7D35"/>
    <w:rsid w:val="002C7FC3"/>
    <w:rsid w:val="002D083D"/>
    <w:rsid w:val="002D15AD"/>
    <w:rsid w:val="002D1688"/>
    <w:rsid w:val="002D2963"/>
    <w:rsid w:val="002D3201"/>
    <w:rsid w:val="002D32B9"/>
    <w:rsid w:val="002D34E7"/>
    <w:rsid w:val="002D38CB"/>
    <w:rsid w:val="002D3AC8"/>
    <w:rsid w:val="002D3EF1"/>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1EAF"/>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283"/>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3CFF"/>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1A96"/>
    <w:rsid w:val="00332663"/>
    <w:rsid w:val="00332C43"/>
    <w:rsid w:val="00332F33"/>
    <w:rsid w:val="00333BC5"/>
    <w:rsid w:val="003346F8"/>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AC1"/>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6A0B"/>
    <w:rsid w:val="00347011"/>
    <w:rsid w:val="00347612"/>
    <w:rsid w:val="00347800"/>
    <w:rsid w:val="00347942"/>
    <w:rsid w:val="00347A15"/>
    <w:rsid w:val="003509DF"/>
    <w:rsid w:val="003513C7"/>
    <w:rsid w:val="0035145F"/>
    <w:rsid w:val="00351AD0"/>
    <w:rsid w:val="00351F4E"/>
    <w:rsid w:val="003521AA"/>
    <w:rsid w:val="00352339"/>
    <w:rsid w:val="003525D4"/>
    <w:rsid w:val="00352FE4"/>
    <w:rsid w:val="0035300F"/>
    <w:rsid w:val="003541BC"/>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2BF7"/>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0C4D"/>
    <w:rsid w:val="0037112B"/>
    <w:rsid w:val="00371181"/>
    <w:rsid w:val="0037128C"/>
    <w:rsid w:val="00371316"/>
    <w:rsid w:val="00371B1D"/>
    <w:rsid w:val="0037230B"/>
    <w:rsid w:val="00372476"/>
    <w:rsid w:val="003724C3"/>
    <w:rsid w:val="0037259B"/>
    <w:rsid w:val="0037289B"/>
    <w:rsid w:val="003729F9"/>
    <w:rsid w:val="003734FE"/>
    <w:rsid w:val="0037355B"/>
    <w:rsid w:val="0037370B"/>
    <w:rsid w:val="00373CE2"/>
    <w:rsid w:val="00374340"/>
    <w:rsid w:val="0037575D"/>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703"/>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5AEF"/>
    <w:rsid w:val="00395BB1"/>
    <w:rsid w:val="00396082"/>
    <w:rsid w:val="00396AAF"/>
    <w:rsid w:val="00396D3F"/>
    <w:rsid w:val="00396EB2"/>
    <w:rsid w:val="00396F8D"/>
    <w:rsid w:val="003971AD"/>
    <w:rsid w:val="00397234"/>
    <w:rsid w:val="00397B41"/>
    <w:rsid w:val="00397C56"/>
    <w:rsid w:val="003A042B"/>
    <w:rsid w:val="003A065D"/>
    <w:rsid w:val="003A0852"/>
    <w:rsid w:val="003A08AE"/>
    <w:rsid w:val="003A1C2B"/>
    <w:rsid w:val="003A22C1"/>
    <w:rsid w:val="003A239E"/>
    <w:rsid w:val="003A24CA"/>
    <w:rsid w:val="003A26D2"/>
    <w:rsid w:val="003A3978"/>
    <w:rsid w:val="003A3D05"/>
    <w:rsid w:val="003A47A9"/>
    <w:rsid w:val="003A5748"/>
    <w:rsid w:val="003A613A"/>
    <w:rsid w:val="003A66EF"/>
    <w:rsid w:val="003A689D"/>
    <w:rsid w:val="003A68C5"/>
    <w:rsid w:val="003A769E"/>
    <w:rsid w:val="003A780A"/>
    <w:rsid w:val="003A7F68"/>
    <w:rsid w:val="003B0B84"/>
    <w:rsid w:val="003B0BB0"/>
    <w:rsid w:val="003B0E50"/>
    <w:rsid w:val="003B1053"/>
    <w:rsid w:val="003B12C2"/>
    <w:rsid w:val="003B166B"/>
    <w:rsid w:val="003B1F61"/>
    <w:rsid w:val="003B23BE"/>
    <w:rsid w:val="003B30AD"/>
    <w:rsid w:val="003B4099"/>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1B3C"/>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7DC"/>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4F02"/>
    <w:rsid w:val="003D5549"/>
    <w:rsid w:val="003D5B8A"/>
    <w:rsid w:val="003D5BAF"/>
    <w:rsid w:val="003D5CAC"/>
    <w:rsid w:val="003D62C4"/>
    <w:rsid w:val="003D6310"/>
    <w:rsid w:val="003D6CAC"/>
    <w:rsid w:val="003D6FE1"/>
    <w:rsid w:val="003D7383"/>
    <w:rsid w:val="003D7489"/>
    <w:rsid w:val="003D7A6A"/>
    <w:rsid w:val="003D7BEB"/>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A00"/>
    <w:rsid w:val="003F0C61"/>
    <w:rsid w:val="003F0C8F"/>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010"/>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182"/>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AD7"/>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A95"/>
    <w:rsid w:val="00426CE7"/>
    <w:rsid w:val="00426D50"/>
    <w:rsid w:val="00427673"/>
    <w:rsid w:val="004276E0"/>
    <w:rsid w:val="00427A72"/>
    <w:rsid w:val="00427D9F"/>
    <w:rsid w:val="00430277"/>
    <w:rsid w:val="004303B4"/>
    <w:rsid w:val="00430AA9"/>
    <w:rsid w:val="00430ADE"/>
    <w:rsid w:val="00431AA5"/>
    <w:rsid w:val="00431C39"/>
    <w:rsid w:val="00432941"/>
    <w:rsid w:val="00432A56"/>
    <w:rsid w:val="0043384C"/>
    <w:rsid w:val="00433D69"/>
    <w:rsid w:val="00433DC5"/>
    <w:rsid w:val="00434C19"/>
    <w:rsid w:val="00435183"/>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40"/>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790"/>
    <w:rsid w:val="00457ADE"/>
    <w:rsid w:val="00460179"/>
    <w:rsid w:val="00460407"/>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ACD"/>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7E7"/>
    <w:rsid w:val="00473871"/>
    <w:rsid w:val="004743DF"/>
    <w:rsid w:val="00474EE3"/>
    <w:rsid w:val="00474EFE"/>
    <w:rsid w:val="004753DB"/>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2DEB"/>
    <w:rsid w:val="004830BE"/>
    <w:rsid w:val="004833CE"/>
    <w:rsid w:val="0048349C"/>
    <w:rsid w:val="00483526"/>
    <w:rsid w:val="004836A0"/>
    <w:rsid w:val="00483BD1"/>
    <w:rsid w:val="00483D0D"/>
    <w:rsid w:val="004845B2"/>
    <w:rsid w:val="00485309"/>
    <w:rsid w:val="00485787"/>
    <w:rsid w:val="00486172"/>
    <w:rsid w:val="004865D8"/>
    <w:rsid w:val="0048673E"/>
    <w:rsid w:val="00486D58"/>
    <w:rsid w:val="00487083"/>
    <w:rsid w:val="00487169"/>
    <w:rsid w:val="004875EB"/>
    <w:rsid w:val="004878FE"/>
    <w:rsid w:val="0049015A"/>
    <w:rsid w:val="004902C9"/>
    <w:rsid w:val="00490D8B"/>
    <w:rsid w:val="00490E40"/>
    <w:rsid w:val="00491199"/>
    <w:rsid w:val="00491607"/>
    <w:rsid w:val="004917DE"/>
    <w:rsid w:val="004919A3"/>
    <w:rsid w:val="00491D1E"/>
    <w:rsid w:val="00492A59"/>
    <w:rsid w:val="00492B5D"/>
    <w:rsid w:val="00492D47"/>
    <w:rsid w:val="004930AA"/>
    <w:rsid w:val="004939B6"/>
    <w:rsid w:val="00493AE1"/>
    <w:rsid w:val="00493CBE"/>
    <w:rsid w:val="004945A4"/>
    <w:rsid w:val="00494C49"/>
    <w:rsid w:val="00495214"/>
    <w:rsid w:val="00495276"/>
    <w:rsid w:val="0049546D"/>
    <w:rsid w:val="0049556D"/>
    <w:rsid w:val="004955D7"/>
    <w:rsid w:val="0049574B"/>
    <w:rsid w:val="00495B2E"/>
    <w:rsid w:val="004964BE"/>
    <w:rsid w:val="004964E5"/>
    <w:rsid w:val="004965B9"/>
    <w:rsid w:val="00496644"/>
    <w:rsid w:val="00497103"/>
    <w:rsid w:val="004976B0"/>
    <w:rsid w:val="00497953"/>
    <w:rsid w:val="00497FC7"/>
    <w:rsid w:val="00497FC9"/>
    <w:rsid w:val="004A023D"/>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A32"/>
    <w:rsid w:val="004A4B21"/>
    <w:rsid w:val="004A581E"/>
    <w:rsid w:val="004A5AE0"/>
    <w:rsid w:val="004A5D89"/>
    <w:rsid w:val="004A5FCA"/>
    <w:rsid w:val="004A60D6"/>
    <w:rsid w:val="004A6B9E"/>
    <w:rsid w:val="004A6C9C"/>
    <w:rsid w:val="004A6CC0"/>
    <w:rsid w:val="004A6FE6"/>
    <w:rsid w:val="004A7190"/>
    <w:rsid w:val="004A7203"/>
    <w:rsid w:val="004A7751"/>
    <w:rsid w:val="004A77C4"/>
    <w:rsid w:val="004A7ABE"/>
    <w:rsid w:val="004B0303"/>
    <w:rsid w:val="004B039B"/>
    <w:rsid w:val="004B09A3"/>
    <w:rsid w:val="004B117A"/>
    <w:rsid w:val="004B1737"/>
    <w:rsid w:val="004B18AE"/>
    <w:rsid w:val="004B1C8E"/>
    <w:rsid w:val="004B21B0"/>
    <w:rsid w:val="004B2564"/>
    <w:rsid w:val="004B2D77"/>
    <w:rsid w:val="004B2F85"/>
    <w:rsid w:val="004B3850"/>
    <w:rsid w:val="004B3910"/>
    <w:rsid w:val="004B3A7A"/>
    <w:rsid w:val="004B42DF"/>
    <w:rsid w:val="004B4502"/>
    <w:rsid w:val="004B4756"/>
    <w:rsid w:val="004B5F52"/>
    <w:rsid w:val="004B5F7A"/>
    <w:rsid w:val="004B6164"/>
    <w:rsid w:val="004B63AE"/>
    <w:rsid w:val="004B7C1A"/>
    <w:rsid w:val="004C056A"/>
    <w:rsid w:val="004C0FFF"/>
    <w:rsid w:val="004C1260"/>
    <w:rsid w:val="004C1653"/>
    <w:rsid w:val="004C1BDC"/>
    <w:rsid w:val="004C209B"/>
    <w:rsid w:val="004C2149"/>
    <w:rsid w:val="004C2531"/>
    <w:rsid w:val="004C2B02"/>
    <w:rsid w:val="004C2E2E"/>
    <w:rsid w:val="004C3342"/>
    <w:rsid w:val="004C3B1F"/>
    <w:rsid w:val="004C4056"/>
    <w:rsid w:val="004C42E0"/>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3FB"/>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0B05"/>
    <w:rsid w:val="004F0BEF"/>
    <w:rsid w:val="004F1244"/>
    <w:rsid w:val="004F19E2"/>
    <w:rsid w:val="004F1D1F"/>
    <w:rsid w:val="004F23B5"/>
    <w:rsid w:val="004F24FD"/>
    <w:rsid w:val="004F2E45"/>
    <w:rsid w:val="004F30E8"/>
    <w:rsid w:val="004F379D"/>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4C7B"/>
    <w:rsid w:val="00505366"/>
    <w:rsid w:val="0050657A"/>
    <w:rsid w:val="00507986"/>
    <w:rsid w:val="00510184"/>
    <w:rsid w:val="00510973"/>
    <w:rsid w:val="00510A6C"/>
    <w:rsid w:val="00510D89"/>
    <w:rsid w:val="00511F6D"/>
    <w:rsid w:val="005125A5"/>
    <w:rsid w:val="00512DCB"/>
    <w:rsid w:val="005130A4"/>
    <w:rsid w:val="00513195"/>
    <w:rsid w:val="0051326F"/>
    <w:rsid w:val="00513BCD"/>
    <w:rsid w:val="00513F33"/>
    <w:rsid w:val="005147FC"/>
    <w:rsid w:val="00514DD2"/>
    <w:rsid w:val="005158BE"/>
    <w:rsid w:val="00515C82"/>
    <w:rsid w:val="005164BC"/>
    <w:rsid w:val="00516835"/>
    <w:rsid w:val="005169B9"/>
    <w:rsid w:val="00516FB8"/>
    <w:rsid w:val="005175EF"/>
    <w:rsid w:val="00517613"/>
    <w:rsid w:val="00517AA9"/>
    <w:rsid w:val="00517E6B"/>
    <w:rsid w:val="0052031E"/>
    <w:rsid w:val="005204F9"/>
    <w:rsid w:val="00520550"/>
    <w:rsid w:val="00520A36"/>
    <w:rsid w:val="00520B9E"/>
    <w:rsid w:val="00520C3B"/>
    <w:rsid w:val="00520C4B"/>
    <w:rsid w:val="0052156D"/>
    <w:rsid w:val="00521A4E"/>
    <w:rsid w:val="0052209E"/>
    <w:rsid w:val="00522475"/>
    <w:rsid w:val="005227A0"/>
    <w:rsid w:val="0052289F"/>
    <w:rsid w:val="00522FC1"/>
    <w:rsid w:val="005232B5"/>
    <w:rsid w:val="00523504"/>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27FB4"/>
    <w:rsid w:val="00530147"/>
    <w:rsid w:val="0053022D"/>
    <w:rsid w:val="005308B4"/>
    <w:rsid w:val="00530924"/>
    <w:rsid w:val="005315AB"/>
    <w:rsid w:val="00531684"/>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065F"/>
    <w:rsid w:val="005715C9"/>
    <w:rsid w:val="00571D67"/>
    <w:rsid w:val="0057297C"/>
    <w:rsid w:val="00572E2F"/>
    <w:rsid w:val="00572E40"/>
    <w:rsid w:val="0057319D"/>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9B7"/>
    <w:rsid w:val="00582A39"/>
    <w:rsid w:val="00582DA9"/>
    <w:rsid w:val="00583471"/>
    <w:rsid w:val="00583B95"/>
    <w:rsid w:val="005850FD"/>
    <w:rsid w:val="0058515C"/>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0F2"/>
    <w:rsid w:val="005A021D"/>
    <w:rsid w:val="005A0737"/>
    <w:rsid w:val="005A0CEA"/>
    <w:rsid w:val="005A1450"/>
    <w:rsid w:val="005A17FB"/>
    <w:rsid w:val="005A1852"/>
    <w:rsid w:val="005A190A"/>
    <w:rsid w:val="005A1A1B"/>
    <w:rsid w:val="005A20C9"/>
    <w:rsid w:val="005A2216"/>
    <w:rsid w:val="005A24B5"/>
    <w:rsid w:val="005A2A4D"/>
    <w:rsid w:val="005A2CFC"/>
    <w:rsid w:val="005A2F84"/>
    <w:rsid w:val="005A3347"/>
    <w:rsid w:val="005A4042"/>
    <w:rsid w:val="005A40BA"/>
    <w:rsid w:val="005A4228"/>
    <w:rsid w:val="005A504A"/>
    <w:rsid w:val="005A57D6"/>
    <w:rsid w:val="005A5A22"/>
    <w:rsid w:val="005A5A70"/>
    <w:rsid w:val="005A7389"/>
    <w:rsid w:val="005A752E"/>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2EF"/>
    <w:rsid w:val="005B4811"/>
    <w:rsid w:val="005B4C75"/>
    <w:rsid w:val="005B529D"/>
    <w:rsid w:val="005B52D1"/>
    <w:rsid w:val="005B53E0"/>
    <w:rsid w:val="005B554D"/>
    <w:rsid w:val="005B5853"/>
    <w:rsid w:val="005B5E6C"/>
    <w:rsid w:val="005B63E4"/>
    <w:rsid w:val="005B69CA"/>
    <w:rsid w:val="005B6AB5"/>
    <w:rsid w:val="005B6CCC"/>
    <w:rsid w:val="005B71CE"/>
    <w:rsid w:val="005B74F3"/>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2FA2"/>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1558"/>
    <w:rsid w:val="005E1A77"/>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098"/>
    <w:rsid w:val="005F14B1"/>
    <w:rsid w:val="005F16C0"/>
    <w:rsid w:val="005F1D95"/>
    <w:rsid w:val="005F1FA4"/>
    <w:rsid w:val="005F2129"/>
    <w:rsid w:val="005F22F1"/>
    <w:rsid w:val="005F27EF"/>
    <w:rsid w:val="005F2BA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0C5"/>
    <w:rsid w:val="005F7321"/>
    <w:rsid w:val="005F7CC7"/>
    <w:rsid w:val="00600F74"/>
    <w:rsid w:val="00601269"/>
    <w:rsid w:val="00601459"/>
    <w:rsid w:val="00601C2F"/>
    <w:rsid w:val="00602BBC"/>
    <w:rsid w:val="00603003"/>
    <w:rsid w:val="00603ABE"/>
    <w:rsid w:val="00603B97"/>
    <w:rsid w:val="00603D36"/>
    <w:rsid w:val="00603F19"/>
    <w:rsid w:val="0060433E"/>
    <w:rsid w:val="00604D69"/>
    <w:rsid w:val="006052E4"/>
    <w:rsid w:val="00605442"/>
    <w:rsid w:val="0060549B"/>
    <w:rsid w:val="00605538"/>
    <w:rsid w:val="00605776"/>
    <w:rsid w:val="006059E7"/>
    <w:rsid w:val="006061DB"/>
    <w:rsid w:val="006061F3"/>
    <w:rsid w:val="0060683C"/>
    <w:rsid w:val="00607532"/>
    <w:rsid w:val="00607C9B"/>
    <w:rsid w:val="006104FE"/>
    <w:rsid w:val="00610930"/>
    <w:rsid w:val="00610B37"/>
    <w:rsid w:val="00611216"/>
    <w:rsid w:val="006112E4"/>
    <w:rsid w:val="0061223F"/>
    <w:rsid w:val="006125B0"/>
    <w:rsid w:val="00612C20"/>
    <w:rsid w:val="00612DA5"/>
    <w:rsid w:val="00612E61"/>
    <w:rsid w:val="00612FC6"/>
    <w:rsid w:val="00613D28"/>
    <w:rsid w:val="0061404F"/>
    <w:rsid w:val="0061424C"/>
    <w:rsid w:val="00614C2C"/>
    <w:rsid w:val="00614E96"/>
    <w:rsid w:val="00614EA9"/>
    <w:rsid w:val="00615072"/>
    <w:rsid w:val="00615EA0"/>
    <w:rsid w:val="00615F30"/>
    <w:rsid w:val="00616E27"/>
    <w:rsid w:val="00617088"/>
    <w:rsid w:val="00617396"/>
    <w:rsid w:val="00617831"/>
    <w:rsid w:val="0061794C"/>
    <w:rsid w:val="0062007E"/>
    <w:rsid w:val="00620205"/>
    <w:rsid w:val="006202CC"/>
    <w:rsid w:val="0062030A"/>
    <w:rsid w:val="00620470"/>
    <w:rsid w:val="00620736"/>
    <w:rsid w:val="006212E4"/>
    <w:rsid w:val="00621EF4"/>
    <w:rsid w:val="00622128"/>
    <w:rsid w:val="006229D3"/>
    <w:rsid w:val="006230E9"/>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099"/>
    <w:rsid w:val="006541A6"/>
    <w:rsid w:val="00654347"/>
    <w:rsid w:val="00654926"/>
    <w:rsid w:val="00654BA4"/>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1234"/>
    <w:rsid w:val="0067240D"/>
    <w:rsid w:val="006726E0"/>
    <w:rsid w:val="006742C5"/>
    <w:rsid w:val="006749B3"/>
    <w:rsid w:val="00674A96"/>
    <w:rsid w:val="00674D18"/>
    <w:rsid w:val="006750F1"/>
    <w:rsid w:val="00675A81"/>
    <w:rsid w:val="0067643D"/>
    <w:rsid w:val="0067675D"/>
    <w:rsid w:val="00677A1C"/>
    <w:rsid w:val="00677C73"/>
    <w:rsid w:val="00677E30"/>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525F"/>
    <w:rsid w:val="00696ADE"/>
    <w:rsid w:val="00697143"/>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AB7"/>
    <w:rsid w:val="006A5EE2"/>
    <w:rsid w:val="006A5F7C"/>
    <w:rsid w:val="006A6846"/>
    <w:rsid w:val="006A7121"/>
    <w:rsid w:val="006A75AC"/>
    <w:rsid w:val="006A7632"/>
    <w:rsid w:val="006A7897"/>
    <w:rsid w:val="006A7F23"/>
    <w:rsid w:val="006B0109"/>
    <w:rsid w:val="006B056A"/>
    <w:rsid w:val="006B0630"/>
    <w:rsid w:val="006B0FA2"/>
    <w:rsid w:val="006B10F5"/>
    <w:rsid w:val="006B1475"/>
    <w:rsid w:val="006B1754"/>
    <w:rsid w:val="006B1A63"/>
    <w:rsid w:val="006B1D79"/>
    <w:rsid w:val="006B1ED5"/>
    <w:rsid w:val="006B20E7"/>
    <w:rsid w:val="006B28F0"/>
    <w:rsid w:val="006B2A03"/>
    <w:rsid w:val="006B2ABD"/>
    <w:rsid w:val="006B2E94"/>
    <w:rsid w:val="006B307B"/>
    <w:rsid w:val="006B3858"/>
    <w:rsid w:val="006B424E"/>
    <w:rsid w:val="006B4FA7"/>
    <w:rsid w:val="006B5363"/>
    <w:rsid w:val="006B55BA"/>
    <w:rsid w:val="006B56D9"/>
    <w:rsid w:val="006B59BE"/>
    <w:rsid w:val="006B61DB"/>
    <w:rsid w:val="006B657B"/>
    <w:rsid w:val="006B709C"/>
    <w:rsid w:val="006B7AF5"/>
    <w:rsid w:val="006C01B3"/>
    <w:rsid w:val="006C0671"/>
    <w:rsid w:val="006C0F3D"/>
    <w:rsid w:val="006C0FB3"/>
    <w:rsid w:val="006C150F"/>
    <w:rsid w:val="006C1538"/>
    <w:rsid w:val="006C1918"/>
    <w:rsid w:val="006C1ABF"/>
    <w:rsid w:val="006C1BD3"/>
    <w:rsid w:val="006C1C44"/>
    <w:rsid w:val="006C1C92"/>
    <w:rsid w:val="006C1D80"/>
    <w:rsid w:val="006C2017"/>
    <w:rsid w:val="006C292F"/>
    <w:rsid w:val="006C2950"/>
    <w:rsid w:val="006C2C47"/>
    <w:rsid w:val="006C34ED"/>
    <w:rsid w:val="006C3549"/>
    <w:rsid w:val="006C3A8A"/>
    <w:rsid w:val="006C3B12"/>
    <w:rsid w:val="006C3D2D"/>
    <w:rsid w:val="006C4023"/>
    <w:rsid w:val="006C4287"/>
    <w:rsid w:val="006C431D"/>
    <w:rsid w:val="006C4D54"/>
    <w:rsid w:val="006C58DF"/>
    <w:rsid w:val="006C5E1D"/>
    <w:rsid w:val="006C6452"/>
    <w:rsid w:val="006C6848"/>
    <w:rsid w:val="006C6CE3"/>
    <w:rsid w:val="006C6D27"/>
    <w:rsid w:val="006C7199"/>
    <w:rsid w:val="006C7422"/>
    <w:rsid w:val="006D0087"/>
    <w:rsid w:val="006D04D2"/>
    <w:rsid w:val="006D09D9"/>
    <w:rsid w:val="006D131F"/>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07989"/>
    <w:rsid w:val="00710AF8"/>
    <w:rsid w:val="00710BF9"/>
    <w:rsid w:val="00710F65"/>
    <w:rsid w:val="0071142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1719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3F7"/>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4C5"/>
    <w:rsid w:val="007356CC"/>
    <w:rsid w:val="0073630E"/>
    <w:rsid w:val="0073631E"/>
    <w:rsid w:val="0073661A"/>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0F7"/>
    <w:rsid w:val="0076564F"/>
    <w:rsid w:val="007657FC"/>
    <w:rsid w:val="00765971"/>
    <w:rsid w:val="0076677C"/>
    <w:rsid w:val="00766829"/>
    <w:rsid w:val="00766A81"/>
    <w:rsid w:val="00766AEC"/>
    <w:rsid w:val="0076737F"/>
    <w:rsid w:val="00767502"/>
    <w:rsid w:val="007678E6"/>
    <w:rsid w:val="00767B25"/>
    <w:rsid w:val="007702E5"/>
    <w:rsid w:val="00770AC7"/>
    <w:rsid w:val="0077118C"/>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68B"/>
    <w:rsid w:val="00781F3B"/>
    <w:rsid w:val="007824AB"/>
    <w:rsid w:val="0078358A"/>
    <w:rsid w:val="00783850"/>
    <w:rsid w:val="00783CD9"/>
    <w:rsid w:val="00784D2F"/>
    <w:rsid w:val="00784F53"/>
    <w:rsid w:val="00785D0A"/>
    <w:rsid w:val="00785D38"/>
    <w:rsid w:val="00785F19"/>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01E"/>
    <w:rsid w:val="0079764A"/>
    <w:rsid w:val="00797A48"/>
    <w:rsid w:val="00797D0E"/>
    <w:rsid w:val="00797D14"/>
    <w:rsid w:val="00797DAD"/>
    <w:rsid w:val="007A0926"/>
    <w:rsid w:val="007A09E2"/>
    <w:rsid w:val="007A1269"/>
    <w:rsid w:val="007A1E36"/>
    <w:rsid w:val="007A2FCF"/>
    <w:rsid w:val="007A3128"/>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080"/>
    <w:rsid w:val="007D01B9"/>
    <w:rsid w:val="007D0632"/>
    <w:rsid w:val="007D0E2D"/>
    <w:rsid w:val="007D15AE"/>
    <w:rsid w:val="007D16B5"/>
    <w:rsid w:val="007D189C"/>
    <w:rsid w:val="007D1D12"/>
    <w:rsid w:val="007D1D95"/>
    <w:rsid w:val="007D233B"/>
    <w:rsid w:val="007D29F6"/>
    <w:rsid w:val="007D2A91"/>
    <w:rsid w:val="007D337B"/>
    <w:rsid w:val="007D4382"/>
    <w:rsid w:val="007D4637"/>
    <w:rsid w:val="007D46C8"/>
    <w:rsid w:val="007D56D2"/>
    <w:rsid w:val="007D5C93"/>
    <w:rsid w:val="007D61B8"/>
    <w:rsid w:val="007D6945"/>
    <w:rsid w:val="007D6C89"/>
    <w:rsid w:val="007D6CF7"/>
    <w:rsid w:val="007D6D6F"/>
    <w:rsid w:val="007D6DE7"/>
    <w:rsid w:val="007D6DEE"/>
    <w:rsid w:val="007D70B5"/>
    <w:rsid w:val="007D7181"/>
    <w:rsid w:val="007D7206"/>
    <w:rsid w:val="007D72D2"/>
    <w:rsid w:val="007D760B"/>
    <w:rsid w:val="007D77AF"/>
    <w:rsid w:val="007D7E03"/>
    <w:rsid w:val="007D7EB3"/>
    <w:rsid w:val="007D7F32"/>
    <w:rsid w:val="007D7FD7"/>
    <w:rsid w:val="007E01DB"/>
    <w:rsid w:val="007E10DE"/>
    <w:rsid w:val="007E128A"/>
    <w:rsid w:val="007E19A6"/>
    <w:rsid w:val="007E25C1"/>
    <w:rsid w:val="007E2A38"/>
    <w:rsid w:val="007E2D14"/>
    <w:rsid w:val="007E3217"/>
    <w:rsid w:val="007E36FC"/>
    <w:rsid w:val="007E3828"/>
    <w:rsid w:val="007E3B77"/>
    <w:rsid w:val="007E3C92"/>
    <w:rsid w:val="007E405F"/>
    <w:rsid w:val="007E4217"/>
    <w:rsid w:val="007E49EE"/>
    <w:rsid w:val="007E52DC"/>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2D38"/>
    <w:rsid w:val="007F34DE"/>
    <w:rsid w:val="007F34EB"/>
    <w:rsid w:val="007F3B20"/>
    <w:rsid w:val="007F3B2C"/>
    <w:rsid w:val="007F3C16"/>
    <w:rsid w:val="007F4051"/>
    <w:rsid w:val="007F42D5"/>
    <w:rsid w:val="007F48AD"/>
    <w:rsid w:val="007F4A1B"/>
    <w:rsid w:val="007F4A1C"/>
    <w:rsid w:val="007F4A20"/>
    <w:rsid w:val="007F4AD9"/>
    <w:rsid w:val="007F4C7A"/>
    <w:rsid w:val="007F52E0"/>
    <w:rsid w:val="007F53B3"/>
    <w:rsid w:val="007F572D"/>
    <w:rsid w:val="007F5D02"/>
    <w:rsid w:val="007F6056"/>
    <w:rsid w:val="007F64B4"/>
    <w:rsid w:val="007F7FF2"/>
    <w:rsid w:val="00800889"/>
    <w:rsid w:val="00800A64"/>
    <w:rsid w:val="00800C46"/>
    <w:rsid w:val="008013A1"/>
    <w:rsid w:val="0080175F"/>
    <w:rsid w:val="00801B3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929"/>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C20"/>
    <w:rsid w:val="00834E18"/>
    <w:rsid w:val="00834E9C"/>
    <w:rsid w:val="00835707"/>
    <w:rsid w:val="00835CAC"/>
    <w:rsid w:val="0083622F"/>
    <w:rsid w:val="00836462"/>
    <w:rsid w:val="0083646C"/>
    <w:rsid w:val="008364D5"/>
    <w:rsid w:val="008368AA"/>
    <w:rsid w:val="00836BBB"/>
    <w:rsid w:val="0083723D"/>
    <w:rsid w:val="00837276"/>
    <w:rsid w:val="008372A9"/>
    <w:rsid w:val="008375AA"/>
    <w:rsid w:val="00837997"/>
    <w:rsid w:val="00842138"/>
    <w:rsid w:val="00842561"/>
    <w:rsid w:val="00842644"/>
    <w:rsid w:val="00842BBF"/>
    <w:rsid w:val="00842F70"/>
    <w:rsid w:val="00843FE7"/>
    <w:rsid w:val="0084464C"/>
    <w:rsid w:val="008446B5"/>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09"/>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4DDF"/>
    <w:rsid w:val="00855D0F"/>
    <w:rsid w:val="008565BC"/>
    <w:rsid w:val="00856648"/>
    <w:rsid w:val="00856A67"/>
    <w:rsid w:val="00856B26"/>
    <w:rsid w:val="00856B71"/>
    <w:rsid w:val="00856C36"/>
    <w:rsid w:val="00856C93"/>
    <w:rsid w:val="008573F9"/>
    <w:rsid w:val="00857D59"/>
    <w:rsid w:val="00860880"/>
    <w:rsid w:val="00861572"/>
    <w:rsid w:val="00861731"/>
    <w:rsid w:val="0086190F"/>
    <w:rsid w:val="00861974"/>
    <w:rsid w:val="00861EB1"/>
    <w:rsid w:val="0086219D"/>
    <w:rsid w:val="00862402"/>
    <w:rsid w:val="00862660"/>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049C"/>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0B4"/>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2FA"/>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D41"/>
    <w:rsid w:val="008B5F0A"/>
    <w:rsid w:val="008B694B"/>
    <w:rsid w:val="008B6972"/>
    <w:rsid w:val="008C05F1"/>
    <w:rsid w:val="008C07C7"/>
    <w:rsid w:val="008C097F"/>
    <w:rsid w:val="008C09EB"/>
    <w:rsid w:val="008C0B8B"/>
    <w:rsid w:val="008C0E17"/>
    <w:rsid w:val="008C1006"/>
    <w:rsid w:val="008C1CE6"/>
    <w:rsid w:val="008C2AB9"/>
    <w:rsid w:val="008C329B"/>
    <w:rsid w:val="008C3DBB"/>
    <w:rsid w:val="008C3F44"/>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1BDA"/>
    <w:rsid w:val="008E20F1"/>
    <w:rsid w:val="008E2F17"/>
    <w:rsid w:val="008E3175"/>
    <w:rsid w:val="008E32CE"/>
    <w:rsid w:val="008E3CC4"/>
    <w:rsid w:val="008E3DDC"/>
    <w:rsid w:val="008E417F"/>
    <w:rsid w:val="008E47F3"/>
    <w:rsid w:val="008E4F24"/>
    <w:rsid w:val="008E52B9"/>
    <w:rsid w:val="008E5512"/>
    <w:rsid w:val="008E566F"/>
    <w:rsid w:val="008E57FE"/>
    <w:rsid w:val="008E59C0"/>
    <w:rsid w:val="008E5F4E"/>
    <w:rsid w:val="008E6511"/>
    <w:rsid w:val="008E6EF3"/>
    <w:rsid w:val="008E75D6"/>
    <w:rsid w:val="008E76F8"/>
    <w:rsid w:val="008F01FF"/>
    <w:rsid w:val="008F0475"/>
    <w:rsid w:val="008F058D"/>
    <w:rsid w:val="008F080D"/>
    <w:rsid w:val="008F08C3"/>
    <w:rsid w:val="008F1056"/>
    <w:rsid w:val="008F1589"/>
    <w:rsid w:val="008F1873"/>
    <w:rsid w:val="008F18E5"/>
    <w:rsid w:val="008F1E86"/>
    <w:rsid w:val="008F2E02"/>
    <w:rsid w:val="008F3327"/>
    <w:rsid w:val="008F3549"/>
    <w:rsid w:val="008F3E44"/>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C68"/>
    <w:rsid w:val="008F7DE6"/>
    <w:rsid w:val="00900FAB"/>
    <w:rsid w:val="009014C8"/>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54D"/>
    <w:rsid w:val="00912796"/>
    <w:rsid w:val="0091293D"/>
    <w:rsid w:val="00912CB8"/>
    <w:rsid w:val="00912D42"/>
    <w:rsid w:val="0091353C"/>
    <w:rsid w:val="00913863"/>
    <w:rsid w:val="00913B73"/>
    <w:rsid w:val="00913C62"/>
    <w:rsid w:val="00913C83"/>
    <w:rsid w:val="009143C1"/>
    <w:rsid w:val="009147BA"/>
    <w:rsid w:val="00914E96"/>
    <w:rsid w:val="00914ED5"/>
    <w:rsid w:val="009155E5"/>
    <w:rsid w:val="0091566D"/>
    <w:rsid w:val="009160AC"/>
    <w:rsid w:val="00916484"/>
    <w:rsid w:val="0091656F"/>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4425"/>
    <w:rsid w:val="009252F5"/>
    <w:rsid w:val="009261BF"/>
    <w:rsid w:val="009266A4"/>
    <w:rsid w:val="00926AD5"/>
    <w:rsid w:val="00926EC9"/>
    <w:rsid w:val="009272C6"/>
    <w:rsid w:val="009279B7"/>
    <w:rsid w:val="0093051C"/>
    <w:rsid w:val="0093056D"/>
    <w:rsid w:val="00930866"/>
    <w:rsid w:val="0093107E"/>
    <w:rsid w:val="009313EE"/>
    <w:rsid w:val="00931A9D"/>
    <w:rsid w:val="00931E55"/>
    <w:rsid w:val="009328F8"/>
    <w:rsid w:val="00932F82"/>
    <w:rsid w:val="009336A3"/>
    <w:rsid w:val="00933910"/>
    <w:rsid w:val="00933A3E"/>
    <w:rsid w:val="009348FC"/>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14C"/>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EF0"/>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3C3"/>
    <w:rsid w:val="0095242E"/>
    <w:rsid w:val="00952B32"/>
    <w:rsid w:val="009532F6"/>
    <w:rsid w:val="009538A9"/>
    <w:rsid w:val="00953A7B"/>
    <w:rsid w:val="00953B97"/>
    <w:rsid w:val="00954408"/>
    <w:rsid w:val="009547EC"/>
    <w:rsid w:val="00954D0E"/>
    <w:rsid w:val="00954FE1"/>
    <w:rsid w:val="0095542B"/>
    <w:rsid w:val="009556AE"/>
    <w:rsid w:val="00955DD9"/>
    <w:rsid w:val="009560EE"/>
    <w:rsid w:val="009565BD"/>
    <w:rsid w:val="00956939"/>
    <w:rsid w:val="00956AAC"/>
    <w:rsid w:val="00956AB0"/>
    <w:rsid w:val="00956B15"/>
    <w:rsid w:val="00956BC0"/>
    <w:rsid w:val="009578F0"/>
    <w:rsid w:val="00961878"/>
    <w:rsid w:val="00961B62"/>
    <w:rsid w:val="00961EF6"/>
    <w:rsid w:val="009620E7"/>
    <w:rsid w:val="00962780"/>
    <w:rsid w:val="00962B87"/>
    <w:rsid w:val="00962E13"/>
    <w:rsid w:val="00962FF1"/>
    <w:rsid w:val="009630CE"/>
    <w:rsid w:val="00963209"/>
    <w:rsid w:val="00964074"/>
    <w:rsid w:val="009641AD"/>
    <w:rsid w:val="009641EB"/>
    <w:rsid w:val="009642EC"/>
    <w:rsid w:val="009647A2"/>
    <w:rsid w:val="00964E73"/>
    <w:rsid w:val="00965248"/>
    <w:rsid w:val="00965427"/>
    <w:rsid w:val="00965842"/>
    <w:rsid w:val="00966017"/>
    <w:rsid w:val="0096617E"/>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5F0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8AF"/>
    <w:rsid w:val="00980BF6"/>
    <w:rsid w:val="00981170"/>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B13"/>
    <w:rsid w:val="00987CA0"/>
    <w:rsid w:val="00990506"/>
    <w:rsid w:val="00990883"/>
    <w:rsid w:val="00990F79"/>
    <w:rsid w:val="009910DC"/>
    <w:rsid w:val="00991584"/>
    <w:rsid w:val="0099172C"/>
    <w:rsid w:val="00991B19"/>
    <w:rsid w:val="00991E0C"/>
    <w:rsid w:val="00991F23"/>
    <w:rsid w:val="00992605"/>
    <w:rsid w:val="00992CD6"/>
    <w:rsid w:val="0099339C"/>
    <w:rsid w:val="00993599"/>
    <w:rsid w:val="00994CCA"/>
    <w:rsid w:val="00996FFF"/>
    <w:rsid w:val="009974A8"/>
    <w:rsid w:val="009975C9"/>
    <w:rsid w:val="009A0A09"/>
    <w:rsid w:val="009A0A9F"/>
    <w:rsid w:val="009A1489"/>
    <w:rsid w:val="009A14E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058"/>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5237"/>
    <w:rsid w:val="009D55EE"/>
    <w:rsid w:val="009D58A8"/>
    <w:rsid w:val="009D5970"/>
    <w:rsid w:val="009D59AE"/>
    <w:rsid w:val="009D5C32"/>
    <w:rsid w:val="009D73F5"/>
    <w:rsid w:val="009D740A"/>
    <w:rsid w:val="009D7D93"/>
    <w:rsid w:val="009E040E"/>
    <w:rsid w:val="009E1385"/>
    <w:rsid w:val="009E1397"/>
    <w:rsid w:val="009E15ED"/>
    <w:rsid w:val="009E1607"/>
    <w:rsid w:val="009E1936"/>
    <w:rsid w:val="009E1A3F"/>
    <w:rsid w:val="009E21B7"/>
    <w:rsid w:val="009E22AA"/>
    <w:rsid w:val="009E2CF2"/>
    <w:rsid w:val="009E2EA7"/>
    <w:rsid w:val="009E312B"/>
    <w:rsid w:val="009E3337"/>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4C6"/>
    <w:rsid w:val="009F0A3A"/>
    <w:rsid w:val="009F0BD3"/>
    <w:rsid w:val="009F1A72"/>
    <w:rsid w:val="009F1A79"/>
    <w:rsid w:val="009F1F49"/>
    <w:rsid w:val="009F254C"/>
    <w:rsid w:val="009F2CB1"/>
    <w:rsid w:val="009F3218"/>
    <w:rsid w:val="009F354F"/>
    <w:rsid w:val="009F394C"/>
    <w:rsid w:val="009F3A44"/>
    <w:rsid w:val="009F4F1D"/>
    <w:rsid w:val="009F4F93"/>
    <w:rsid w:val="009F556C"/>
    <w:rsid w:val="009F63EE"/>
    <w:rsid w:val="009F711E"/>
    <w:rsid w:val="009F7F2B"/>
    <w:rsid w:val="00A0001D"/>
    <w:rsid w:val="00A01037"/>
    <w:rsid w:val="00A0119C"/>
    <w:rsid w:val="00A017D4"/>
    <w:rsid w:val="00A01C9C"/>
    <w:rsid w:val="00A01E3D"/>
    <w:rsid w:val="00A01F05"/>
    <w:rsid w:val="00A0267D"/>
    <w:rsid w:val="00A0287D"/>
    <w:rsid w:val="00A03332"/>
    <w:rsid w:val="00A0369C"/>
    <w:rsid w:val="00A03771"/>
    <w:rsid w:val="00A04024"/>
    <w:rsid w:val="00A04595"/>
    <w:rsid w:val="00A052E4"/>
    <w:rsid w:val="00A0541B"/>
    <w:rsid w:val="00A05DBE"/>
    <w:rsid w:val="00A06208"/>
    <w:rsid w:val="00A0628B"/>
    <w:rsid w:val="00A068D9"/>
    <w:rsid w:val="00A06EB9"/>
    <w:rsid w:val="00A075E3"/>
    <w:rsid w:val="00A1016F"/>
    <w:rsid w:val="00A105AE"/>
    <w:rsid w:val="00A10601"/>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362"/>
    <w:rsid w:val="00A177A3"/>
    <w:rsid w:val="00A17907"/>
    <w:rsid w:val="00A2072F"/>
    <w:rsid w:val="00A20EFE"/>
    <w:rsid w:val="00A213F8"/>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37FF9"/>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798"/>
    <w:rsid w:val="00A47902"/>
    <w:rsid w:val="00A47B8B"/>
    <w:rsid w:val="00A50258"/>
    <w:rsid w:val="00A5085F"/>
    <w:rsid w:val="00A51149"/>
    <w:rsid w:val="00A52796"/>
    <w:rsid w:val="00A53AB4"/>
    <w:rsid w:val="00A53DBB"/>
    <w:rsid w:val="00A53FB6"/>
    <w:rsid w:val="00A541A4"/>
    <w:rsid w:val="00A5498C"/>
    <w:rsid w:val="00A549E2"/>
    <w:rsid w:val="00A54E15"/>
    <w:rsid w:val="00A54FE4"/>
    <w:rsid w:val="00A5541A"/>
    <w:rsid w:val="00A56092"/>
    <w:rsid w:val="00A567CB"/>
    <w:rsid w:val="00A57263"/>
    <w:rsid w:val="00A5741B"/>
    <w:rsid w:val="00A57B23"/>
    <w:rsid w:val="00A57DEC"/>
    <w:rsid w:val="00A6094A"/>
    <w:rsid w:val="00A60C13"/>
    <w:rsid w:val="00A615A6"/>
    <w:rsid w:val="00A61AD5"/>
    <w:rsid w:val="00A61C95"/>
    <w:rsid w:val="00A62ADC"/>
    <w:rsid w:val="00A62DEF"/>
    <w:rsid w:val="00A637C6"/>
    <w:rsid w:val="00A63824"/>
    <w:rsid w:val="00A63A5F"/>
    <w:rsid w:val="00A63D9A"/>
    <w:rsid w:val="00A63FAB"/>
    <w:rsid w:val="00A642DF"/>
    <w:rsid w:val="00A6458B"/>
    <w:rsid w:val="00A64688"/>
    <w:rsid w:val="00A649B7"/>
    <w:rsid w:val="00A64C0E"/>
    <w:rsid w:val="00A65221"/>
    <w:rsid w:val="00A65327"/>
    <w:rsid w:val="00A6533E"/>
    <w:rsid w:val="00A653AC"/>
    <w:rsid w:val="00A65632"/>
    <w:rsid w:val="00A65BF7"/>
    <w:rsid w:val="00A65DCD"/>
    <w:rsid w:val="00A65F94"/>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08A"/>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964"/>
    <w:rsid w:val="00A93F51"/>
    <w:rsid w:val="00A940CD"/>
    <w:rsid w:val="00A94153"/>
    <w:rsid w:val="00A94747"/>
    <w:rsid w:val="00A947D6"/>
    <w:rsid w:val="00A955C0"/>
    <w:rsid w:val="00A95C9D"/>
    <w:rsid w:val="00A96010"/>
    <w:rsid w:val="00A9684D"/>
    <w:rsid w:val="00A97402"/>
    <w:rsid w:val="00A97873"/>
    <w:rsid w:val="00A979F1"/>
    <w:rsid w:val="00AA0426"/>
    <w:rsid w:val="00AA0B30"/>
    <w:rsid w:val="00AA0CEA"/>
    <w:rsid w:val="00AA0EFF"/>
    <w:rsid w:val="00AA1D97"/>
    <w:rsid w:val="00AA1E6C"/>
    <w:rsid w:val="00AA23B0"/>
    <w:rsid w:val="00AA29DC"/>
    <w:rsid w:val="00AA2B4F"/>
    <w:rsid w:val="00AA321D"/>
    <w:rsid w:val="00AA3259"/>
    <w:rsid w:val="00AA3620"/>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233"/>
    <w:rsid w:val="00AB4DCD"/>
    <w:rsid w:val="00AB4F87"/>
    <w:rsid w:val="00AB5377"/>
    <w:rsid w:val="00AB5B77"/>
    <w:rsid w:val="00AB763D"/>
    <w:rsid w:val="00AB7891"/>
    <w:rsid w:val="00AB7B94"/>
    <w:rsid w:val="00AB7D08"/>
    <w:rsid w:val="00AB7F83"/>
    <w:rsid w:val="00AC0639"/>
    <w:rsid w:val="00AC0B81"/>
    <w:rsid w:val="00AC1D7C"/>
    <w:rsid w:val="00AC2090"/>
    <w:rsid w:val="00AC2300"/>
    <w:rsid w:val="00AC328A"/>
    <w:rsid w:val="00AC3451"/>
    <w:rsid w:val="00AC3506"/>
    <w:rsid w:val="00AC37C7"/>
    <w:rsid w:val="00AC387E"/>
    <w:rsid w:val="00AC3937"/>
    <w:rsid w:val="00AC4346"/>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4C1"/>
    <w:rsid w:val="00AD277E"/>
    <w:rsid w:val="00AD343E"/>
    <w:rsid w:val="00AD39FB"/>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EA4"/>
    <w:rsid w:val="00AE7F44"/>
    <w:rsid w:val="00AF0329"/>
    <w:rsid w:val="00AF0774"/>
    <w:rsid w:val="00AF11B5"/>
    <w:rsid w:val="00AF1C76"/>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7D8"/>
    <w:rsid w:val="00B14BEA"/>
    <w:rsid w:val="00B14F47"/>
    <w:rsid w:val="00B15F1F"/>
    <w:rsid w:val="00B167CE"/>
    <w:rsid w:val="00B16B62"/>
    <w:rsid w:val="00B16DD7"/>
    <w:rsid w:val="00B17902"/>
    <w:rsid w:val="00B17A2E"/>
    <w:rsid w:val="00B17C66"/>
    <w:rsid w:val="00B20292"/>
    <w:rsid w:val="00B206B1"/>
    <w:rsid w:val="00B22004"/>
    <w:rsid w:val="00B227D8"/>
    <w:rsid w:val="00B22C0A"/>
    <w:rsid w:val="00B22F42"/>
    <w:rsid w:val="00B22FE6"/>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25B"/>
    <w:rsid w:val="00B32403"/>
    <w:rsid w:val="00B32623"/>
    <w:rsid w:val="00B32BC9"/>
    <w:rsid w:val="00B331DC"/>
    <w:rsid w:val="00B33BCF"/>
    <w:rsid w:val="00B3520E"/>
    <w:rsid w:val="00B35546"/>
    <w:rsid w:val="00B3556A"/>
    <w:rsid w:val="00B35594"/>
    <w:rsid w:val="00B3580D"/>
    <w:rsid w:val="00B359BE"/>
    <w:rsid w:val="00B366E5"/>
    <w:rsid w:val="00B36879"/>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0F2B"/>
    <w:rsid w:val="00B51EF7"/>
    <w:rsid w:val="00B5205A"/>
    <w:rsid w:val="00B52363"/>
    <w:rsid w:val="00B524C0"/>
    <w:rsid w:val="00B52693"/>
    <w:rsid w:val="00B52CF9"/>
    <w:rsid w:val="00B52D9E"/>
    <w:rsid w:val="00B52E12"/>
    <w:rsid w:val="00B530F8"/>
    <w:rsid w:val="00B53C31"/>
    <w:rsid w:val="00B54001"/>
    <w:rsid w:val="00B5445A"/>
    <w:rsid w:val="00B555A9"/>
    <w:rsid w:val="00B55A15"/>
    <w:rsid w:val="00B55A1E"/>
    <w:rsid w:val="00B55E0E"/>
    <w:rsid w:val="00B55E82"/>
    <w:rsid w:val="00B55ED0"/>
    <w:rsid w:val="00B56334"/>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4B94"/>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4C3"/>
    <w:rsid w:val="00B83A38"/>
    <w:rsid w:val="00B83D46"/>
    <w:rsid w:val="00B84147"/>
    <w:rsid w:val="00B8431A"/>
    <w:rsid w:val="00B850CE"/>
    <w:rsid w:val="00B85CE0"/>
    <w:rsid w:val="00B862C0"/>
    <w:rsid w:val="00B863D9"/>
    <w:rsid w:val="00B864BA"/>
    <w:rsid w:val="00B86606"/>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B4B"/>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3E05"/>
    <w:rsid w:val="00BB48F1"/>
    <w:rsid w:val="00BB5036"/>
    <w:rsid w:val="00BB5BAF"/>
    <w:rsid w:val="00BB5F46"/>
    <w:rsid w:val="00BB6218"/>
    <w:rsid w:val="00BB6888"/>
    <w:rsid w:val="00BB6EFD"/>
    <w:rsid w:val="00BB75F8"/>
    <w:rsid w:val="00BB7709"/>
    <w:rsid w:val="00BB779D"/>
    <w:rsid w:val="00BB7899"/>
    <w:rsid w:val="00BB789F"/>
    <w:rsid w:val="00BB7A4D"/>
    <w:rsid w:val="00BC0217"/>
    <w:rsid w:val="00BC068E"/>
    <w:rsid w:val="00BC107E"/>
    <w:rsid w:val="00BC1C0B"/>
    <w:rsid w:val="00BC1C7C"/>
    <w:rsid w:val="00BC205F"/>
    <w:rsid w:val="00BC26CC"/>
    <w:rsid w:val="00BC2C45"/>
    <w:rsid w:val="00BC31E2"/>
    <w:rsid w:val="00BC3D44"/>
    <w:rsid w:val="00BC4213"/>
    <w:rsid w:val="00BC4C7F"/>
    <w:rsid w:val="00BC4FF8"/>
    <w:rsid w:val="00BC5C80"/>
    <w:rsid w:val="00BC5D5B"/>
    <w:rsid w:val="00BC5F08"/>
    <w:rsid w:val="00BC6161"/>
    <w:rsid w:val="00BC65A4"/>
    <w:rsid w:val="00BC65B2"/>
    <w:rsid w:val="00BC6DAD"/>
    <w:rsid w:val="00BC717C"/>
    <w:rsid w:val="00BC75B3"/>
    <w:rsid w:val="00BC7B04"/>
    <w:rsid w:val="00BC7E15"/>
    <w:rsid w:val="00BC7E36"/>
    <w:rsid w:val="00BD020B"/>
    <w:rsid w:val="00BD024E"/>
    <w:rsid w:val="00BD09B1"/>
    <w:rsid w:val="00BD0FE8"/>
    <w:rsid w:val="00BD16D6"/>
    <w:rsid w:val="00BD1B72"/>
    <w:rsid w:val="00BD31B3"/>
    <w:rsid w:val="00BD35AA"/>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5FD"/>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DBB"/>
    <w:rsid w:val="00BF7F37"/>
    <w:rsid w:val="00C000A0"/>
    <w:rsid w:val="00C00585"/>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0EEB"/>
    <w:rsid w:val="00C113A8"/>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1566"/>
    <w:rsid w:val="00C21AF6"/>
    <w:rsid w:val="00C226C2"/>
    <w:rsid w:val="00C2297F"/>
    <w:rsid w:val="00C22CC3"/>
    <w:rsid w:val="00C2305A"/>
    <w:rsid w:val="00C23CC9"/>
    <w:rsid w:val="00C24114"/>
    <w:rsid w:val="00C2429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237"/>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37FCC"/>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7D2"/>
    <w:rsid w:val="00C55DC9"/>
    <w:rsid w:val="00C56262"/>
    <w:rsid w:val="00C565FB"/>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7DC"/>
    <w:rsid w:val="00C70A37"/>
    <w:rsid w:val="00C70F72"/>
    <w:rsid w:val="00C713C7"/>
    <w:rsid w:val="00C715CB"/>
    <w:rsid w:val="00C71914"/>
    <w:rsid w:val="00C71A43"/>
    <w:rsid w:val="00C7263B"/>
    <w:rsid w:val="00C727EF"/>
    <w:rsid w:val="00C72D01"/>
    <w:rsid w:val="00C72F2F"/>
    <w:rsid w:val="00C73290"/>
    <w:rsid w:val="00C733DA"/>
    <w:rsid w:val="00C736A7"/>
    <w:rsid w:val="00C73D50"/>
    <w:rsid w:val="00C74181"/>
    <w:rsid w:val="00C7460F"/>
    <w:rsid w:val="00C74636"/>
    <w:rsid w:val="00C74AF1"/>
    <w:rsid w:val="00C752C9"/>
    <w:rsid w:val="00C759F1"/>
    <w:rsid w:val="00C75F55"/>
    <w:rsid w:val="00C7613A"/>
    <w:rsid w:val="00C761B9"/>
    <w:rsid w:val="00C76377"/>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4CB"/>
    <w:rsid w:val="00C93941"/>
    <w:rsid w:val="00C94857"/>
    <w:rsid w:val="00C959C2"/>
    <w:rsid w:val="00C95BC5"/>
    <w:rsid w:val="00C95DEA"/>
    <w:rsid w:val="00C95FCA"/>
    <w:rsid w:val="00C96B8D"/>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5A0"/>
    <w:rsid w:val="00CA4753"/>
    <w:rsid w:val="00CA4D91"/>
    <w:rsid w:val="00CA4EB1"/>
    <w:rsid w:val="00CA4F20"/>
    <w:rsid w:val="00CA5080"/>
    <w:rsid w:val="00CA5908"/>
    <w:rsid w:val="00CA5A5A"/>
    <w:rsid w:val="00CA5D21"/>
    <w:rsid w:val="00CA5F84"/>
    <w:rsid w:val="00CA6512"/>
    <w:rsid w:val="00CA722D"/>
    <w:rsid w:val="00CA7A61"/>
    <w:rsid w:val="00CA7BF2"/>
    <w:rsid w:val="00CB0A21"/>
    <w:rsid w:val="00CB0C16"/>
    <w:rsid w:val="00CB1327"/>
    <w:rsid w:val="00CB144F"/>
    <w:rsid w:val="00CB149F"/>
    <w:rsid w:val="00CB1EAE"/>
    <w:rsid w:val="00CB1F5B"/>
    <w:rsid w:val="00CB2107"/>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1F12"/>
    <w:rsid w:val="00CD21A2"/>
    <w:rsid w:val="00CD2331"/>
    <w:rsid w:val="00CD2889"/>
    <w:rsid w:val="00CD34FD"/>
    <w:rsid w:val="00CD35E8"/>
    <w:rsid w:val="00CD3AB1"/>
    <w:rsid w:val="00CD3E17"/>
    <w:rsid w:val="00CD3EFC"/>
    <w:rsid w:val="00CD467E"/>
    <w:rsid w:val="00CD4860"/>
    <w:rsid w:val="00CD4B86"/>
    <w:rsid w:val="00CD4E3B"/>
    <w:rsid w:val="00CD50A4"/>
    <w:rsid w:val="00CD51ED"/>
    <w:rsid w:val="00CD5CFC"/>
    <w:rsid w:val="00CD63B2"/>
    <w:rsid w:val="00CD6538"/>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7C7"/>
    <w:rsid w:val="00CE5D42"/>
    <w:rsid w:val="00CE5FE1"/>
    <w:rsid w:val="00CE6526"/>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A11"/>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ABC"/>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2BF6"/>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3167"/>
    <w:rsid w:val="00D446AE"/>
    <w:rsid w:val="00D457ED"/>
    <w:rsid w:val="00D468B0"/>
    <w:rsid w:val="00D46A9C"/>
    <w:rsid w:val="00D46AEF"/>
    <w:rsid w:val="00D46D32"/>
    <w:rsid w:val="00D46EB7"/>
    <w:rsid w:val="00D46FA2"/>
    <w:rsid w:val="00D476EB"/>
    <w:rsid w:val="00D478AA"/>
    <w:rsid w:val="00D47F55"/>
    <w:rsid w:val="00D5010C"/>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57BE9"/>
    <w:rsid w:val="00D60345"/>
    <w:rsid w:val="00D606FC"/>
    <w:rsid w:val="00D60B6B"/>
    <w:rsid w:val="00D60D72"/>
    <w:rsid w:val="00D60D80"/>
    <w:rsid w:val="00D61918"/>
    <w:rsid w:val="00D61CAC"/>
    <w:rsid w:val="00D6232D"/>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4642"/>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5B2"/>
    <w:rsid w:val="00D9696E"/>
    <w:rsid w:val="00D96BFE"/>
    <w:rsid w:val="00D96F7E"/>
    <w:rsid w:val="00D9778A"/>
    <w:rsid w:val="00D97B59"/>
    <w:rsid w:val="00D97C16"/>
    <w:rsid w:val="00D97D49"/>
    <w:rsid w:val="00D97DD7"/>
    <w:rsid w:val="00DA022A"/>
    <w:rsid w:val="00DA025F"/>
    <w:rsid w:val="00DA04E9"/>
    <w:rsid w:val="00DA0755"/>
    <w:rsid w:val="00DA07A7"/>
    <w:rsid w:val="00DA08A5"/>
    <w:rsid w:val="00DA1D77"/>
    <w:rsid w:val="00DA23AB"/>
    <w:rsid w:val="00DA2B4B"/>
    <w:rsid w:val="00DA3F04"/>
    <w:rsid w:val="00DA4512"/>
    <w:rsid w:val="00DA48C9"/>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3CAE"/>
    <w:rsid w:val="00DB4D6A"/>
    <w:rsid w:val="00DB52B9"/>
    <w:rsid w:val="00DB532F"/>
    <w:rsid w:val="00DB53D6"/>
    <w:rsid w:val="00DB5641"/>
    <w:rsid w:val="00DB5CC0"/>
    <w:rsid w:val="00DB5FF0"/>
    <w:rsid w:val="00DB60C6"/>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BEE"/>
    <w:rsid w:val="00DC5ED6"/>
    <w:rsid w:val="00DC5F7A"/>
    <w:rsid w:val="00DC6513"/>
    <w:rsid w:val="00DC693E"/>
    <w:rsid w:val="00DC723A"/>
    <w:rsid w:val="00DC7C31"/>
    <w:rsid w:val="00DD0C3F"/>
    <w:rsid w:val="00DD1AA9"/>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0EB"/>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9F5"/>
    <w:rsid w:val="00E03F4C"/>
    <w:rsid w:val="00E03F4E"/>
    <w:rsid w:val="00E0439C"/>
    <w:rsid w:val="00E049A5"/>
    <w:rsid w:val="00E051FB"/>
    <w:rsid w:val="00E056B0"/>
    <w:rsid w:val="00E05984"/>
    <w:rsid w:val="00E05C27"/>
    <w:rsid w:val="00E05C4F"/>
    <w:rsid w:val="00E063DE"/>
    <w:rsid w:val="00E066B5"/>
    <w:rsid w:val="00E0671B"/>
    <w:rsid w:val="00E06E82"/>
    <w:rsid w:val="00E07453"/>
    <w:rsid w:val="00E07737"/>
    <w:rsid w:val="00E07DB1"/>
    <w:rsid w:val="00E07E7B"/>
    <w:rsid w:val="00E07F6A"/>
    <w:rsid w:val="00E10117"/>
    <w:rsid w:val="00E1064A"/>
    <w:rsid w:val="00E1077C"/>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15C"/>
    <w:rsid w:val="00E14ACF"/>
    <w:rsid w:val="00E14BAD"/>
    <w:rsid w:val="00E14D14"/>
    <w:rsid w:val="00E159EC"/>
    <w:rsid w:val="00E15AC4"/>
    <w:rsid w:val="00E15C68"/>
    <w:rsid w:val="00E16A5E"/>
    <w:rsid w:val="00E16E4C"/>
    <w:rsid w:val="00E173EF"/>
    <w:rsid w:val="00E177CD"/>
    <w:rsid w:val="00E20A78"/>
    <w:rsid w:val="00E20B50"/>
    <w:rsid w:val="00E20B5E"/>
    <w:rsid w:val="00E20F69"/>
    <w:rsid w:val="00E20FC3"/>
    <w:rsid w:val="00E21906"/>
    <w:rsid w:val="00E221AF"/>
    <w:rsid w:val="00E224BF"/>
    <w:rsid w:val="00E22732"/>
    <w:rsid w:val="00E22B39"/>
    <w:rsid w:val="00E22F22"/>
    <w:rsid w:val="00E2398E"/>
    <w:rsid w:val="00E23A5C"/>
    <w:rsid w:val="00E2406F"/>
    <w:rsid w:val="00E24570"/>
    <w:rsid w:val="00E2459F"/>
    <w:rsid w:val="00E24B98"/>
    <w:rsid w:val="00E2527D"/>
    <w:rsid w:val="00E25D12"/>
    <w:rsid w:val="00E262A9"/>
    <w:rsid w:val="00E2688C"/>
    <w:rsid w:val="00E2693C"/>
    <w:rsid w:val="00E26C16"/>
    <w:rsid w:val="00E26F87"/>
    <w:rsid w:val="00E2710F"/>
    <w:rsid w:val="00E274BB"/>
    <w:rsid w:val="00E3047D"/>
    <w:rsid w:val="00E3066D"/>
    <w:rsid w:val="00E30AF9"/>
    <w:rsid w:val="00E3182B"/>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077"/>
    <w:rsid w:val="00E3745E"/>
    <w:rsid w:val="00E3763A"/>
    <w:rsid w:val="00E37A35"/>
    <w:rsid w:val="00E37B12"/>
    <w:rsid w:val="00E37BEF"/>
    <w:rsid w:val="00E37D65"/>
    <w:rsid w:val="00E403C7"/>
    <w:rsid w:val="00E40A27"/>
    <w:rsid w:val="00E41042"/>
    <w:rsid w:val="00E41074"/>
    <w:rsid w:val="00E4127C"/>
    <w:rsid w:val="00E41B14"/>
    <w:rsid w:val="00E41DD4"/>
    <w:rsid w:val="00E4219A"/>
    <w:rsid w:val="00E42241"/>
    <w:rsid w:val="00E422B6"/>
    <w:rsid w:val="00E424A0"/>
    <w:rsid w:val="00E425C4"/>
    <w:rsid w:val="00E42698"/>
    <w:rsid w:val="00E426C9"/>
    <w:rsid w:val="00E4274A"/>
    <w:rsid w:val="00E433FB"/>
    <w:rsid w:val="00E4381F"/>
    <w:rsid w:val="00E43B12"/>
    <w:rsid w:val="00E43E66"/>
    <w:rsid w:val="00E443AB"/>
    <w:rsid w:val="00E4440A"/>
    <w:rsid w:val="00E444BC"/>
    <w:rsid w:val="00E450AD"/>
    <w:rsid w:val="00E4510E"/>
    <w:rsid w:val="00E45294"/>
    <w:rsid w:val="00E46906"/>
    <w:rsid w:val="00E4697F"/>
    <w:rsid w:val="00E46A8F"/>
    <w:rsid w:val="00E46B21"/>
    <w:rsid w:val="00E46EA3"/>
    <w:rsid w:val="00E47D3D"/>
    <w:rsid w:val="00E47E7C"/>
    <w:rsid w:val="00E50223"/>
    <w:rsid w:val="00E50354"/>
    <w:rsid w:val="00E5059B"/>
    <w:rsid w:val="00E50F61"/>
    <w:rsid w:val="00E51502"/>
    <w:rsid w:val="00E5156A"/>
    <w:rsid w:val="00E51789"/>
    <w:rsid w:val="00E51C1B"/>
    <w:rsid w:val="00E52143"/>
    <w:rsid w:val="00E52D13"/>
    <w:rsid w:val="00E52FD1"/>
    <w:rsid w:val="00E5332C"/>
    <w:rsid w:val="00E53353"/>
    <w:rsid w:val="00E535A6"/>
    <w:rsid w:val="00E53C45"/>
    <w:rsid w:val="00E53CE0"/>
    <w:rsid w:val="00E53DA7"/>
    <w:rsid w:val="00E540FC"/>
    <w:rsid w:val="00E54245"/>
    <w:rsid w:val="00E54C11"/>
    <w:rsid w:val="00E55DB0"/>
    <w:rsid w:val="00E56721"/>
    <w:rsid w:val="00E5703B"/>
    <w:rsid w:val="00E577EC"/>
    <w:rsid w:val="00E57C4D"/>
    <w:rsid w:val="00E602BD"/>
    <w:rsid w:val="00E61A8D"/>
    <w:rsid w:val="00E62337"/>
    <w:rsid w:val="00E62809"/>
    <w:rsid w:val="00E62FAF"/>
    <w:rsid w:val="00E63321"/>
    <w:rsid w:val="00E634AD"/>
    <w:rsid w:val="00E635BD"/>
    <w:rsid w:val="00E63675"/>
    <w:rsid w:val="00E638A7"/>
    <w:rsid w:val="00E63FAC"/>
    <w:rsid w:val="00E64141"/>
    <w:rsid w:val="00E645AB"/>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D84"/>
    <w:rsid w:val="00E72E0E"/>
    <w:rsid w:val="00E72FE7"/>
    <w:rsid w:val="00E73D0E"/>
    <w:rsid w:val="00E74A39"/>
    <w:rsid w:val="00E75609"/>
    <w:rsid w:val="00E75790"/>
    <w:rsid w:val="00E75BCD"/>
    <w:rsid w:val="00E76031"/>
    <w:rsid w:val="00E76714"/>
    <w:rsid w:val="00E80437"/>
    <w:rsid w:val="00E81031"/>
    <w:rsid w:val="00E81525"/>
    <w:rsid w:val="00E817FE"/>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070"/>
    <w:rsid w:val="00E942AE"/>
    <w:rsid w:val="00E949C6"/>
    <w:rsid w:val="00E94CDE"/>
    <w:rsid w:val="00E96274"/>
    <w:rsid w:val="00E9641D"/>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2DD"/>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ACE"/>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171D"/>
    <w:rsid w:val="00EE210F"/>
    <w:rsid w:val="00EE298D"/>
    <w:rsid w:val="00EE2B5D"/>
    <w:rsid w:val="00EE2BB3"/>
    <w:rsid w:val="00EE2EAC"/>
    <w:rsid w:val="00EE31A7"/>
    <w:rsid w:val="00EE3291"/>
    <w:rsid w:val="00EE343A"/>
    <w:rsid w:val="00EE37A3"/>
    <w:rsid w:val="00EE3E91"/>
    <w:rsid w:val="00EE49A6"/>
    <w:rsid w:val="00EE4E61"/>
    <w:rsid w:val="00EE4F91"/>
    <w:rsid w:val="00EE6737"/>
    <w:rsid w:val="00EE6D5C"/>
    <w:rsid w:val="00EE7093"/>
    <w:rsid w:val="00EE70C3"/>
    <w:rsid w:val="00EE7375"/>
    <w:rsid w:val="00EE7465"/>
    <w:rsid w:val="00EE75B5"/>
    <w:rsid w:val="00EE7E8F"/>
    <w:rsid w:val="00EF03CC"/>
    <w:rsid w:val="00EF098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77C"/>
    <w:rsid w:val="00F04BF2"/>
    <w:rsid w:val="00F05790"/>
    <w:rsid w:val="00F05CF9"/>
    <w:rsid w:val="00F068C9"/>
    <w:rsid w:val="00F06960"/>
    <w:rsid w:val="00F06967"/>
    <w:rsid w:val="00F0721F"/>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4FBA"/>
    <w:rsid w:val="00F15ED6"/>
    <w:rsid w:val="00F15F5B"/>
    <w:rsid w:val="00F16210"/>
    <w:rsid w:val="00F164D5"/>
    <w:rsid w:val="00F16A67"/>
    <w:rsid w:val="00F1792F"/>
    <w:rsid w:val="00F17A56"/>
    <w:rsid w:val="00F20151"/>
    <w:rsid w:val="00F20474"/>
    <w:rsid w:val="00F209A2"/>
    <w:rsid w:val="00F20E9E"/>
    <w:rsid w:val="00F21AB6"/>
    <w:rsid w:val="00F22340"/>
    <w:rsid w:val="00F223D4"/>
    <w:rsid w:val="00F223D5"/>
    <w:rsid w:val="00F2283A"/>
    <w:rsid w:val="00F22A84"/>
    <w:rsid w:val="00F22A8F"/>
    <w:rsid w:val="00F22CA7"/>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40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37DA3"/>
    <w:rsid w:val="00F40730"/>
    <w:rsid w:val="00F40A31"/>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E7B"/>
    <w:rsid w:val="00F56FE5"/>
    <w:rsid w:val="00F575AF"/>
    <w:rsid w:val="00F57877"/>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C7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1C3C"/>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1EDE"/>
    <w:rsid w:val="00F8260F"/>
    <w:rsid w:val="00F8301D"/>
    <w:rsid w:val="00F831F9"/>
    <w:rsid w:val="00F83228"/>
    <w:rsid w:val="00F834A7"/>
    <w:rsid w:val="00F846CD"/>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2FDD"/>
    <w:rsid w:val="00F93676"/>
    <w:rsid w:val="00F93A3D"/>
    <w:rsid w:val="00F93C72"/>
    <w:rsid w:val="00F93C99"/>
    <w:rsid w:val="00F93DCD"/>
    <w:rsid w:val="00F94009"/>
    <w:rsid w:val="00F9412A"/>
    <w:rsid w:val="00F945FC"/>
    <w:rsid w:val="00F9466A"/>
    <w:rsid w:val="00F94C16"/>
    <w:rsid w:val="00F94D3F"/>
    <w:rsid w:val="00F94EB4"/>
    <w:rsid w:val="00F955C0"/>
    <w:rsid w:val="00F9591A"/>
    <w:rsid w:val="00F9689E"/>
    <w:rsid w:val="00F96F26"/>
    <w:rsid w:val="00F970A3"/>
    <w:rsid w:val="00F975F4"/>
    <w:rsid w:val="00F97A71"/>
    <w:rsid w:val="00F97F91"/>
    <w:rsid w:val="00FA03A6"/>
    <w:rsid w:val="00FA03D6"/>
    <w:rsid w:val="00FA066D"/>
    <w:rsid w:val="00FA0956"/>
    <w:rsid w:val="00FA0FB3"/>
    <w:rsid w:val="00FA1118"/>
    <w:rsid w:val="00FA1126"/>
    <w:rsid w:val="00FA1816"/>
    <w:rsid w:val="00FA1B03"/>
    <w:rsid w:val="00FA1FC6"/>
    <w:rsid w:val="00FA23D2"/>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70B"/>
    <w:rsid w:val="00FA7846"/>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88"/>
    <w:rsid w:val="00FC6CEF"/>
    <w:rsid w:val="00FC6E1D"/>
    <w:rsid w:val="00FC740E"/>
    <w:rsid w:val="00FD02CC"/>
    <w:rsid w:val="00FD1685"/>
    <w:rsid w:val="00FD1AA4"/>
    <w:rsid w:val="00FD1BD4"/>
    <w:rsid w:val="00FD1EA8"/>
    <w:rsid w:val="00FD2DBC"/>
    <w:rsid w:val="00FD2FA7"/>
    <w:rsid w:val="00FD3B87"/>
    <w:rsid w:val="00FD4B79"/>
    <w:rsid w:val="00FD5465"/>
    <w:rsid w:val="00FD5595"/>
    <w:rsid w:val="00FD58EF"/>
    <w:rsid w:val="00FD5BC9"/>
    <w:rsid w:val="00FD620D"/>
    <w:rsid w:val="00FD64B8"/>
    <w:rsid w:val="00FD667B"/>
    <w:rsid w:val="00FD7165"/>
    <w:rsid w:val="00FE00CF"/>
    <w:rsid w:val="00FE013B"/>
    <w:rsid w:val="00FE0207"/>
    <w:rsid w:val="00FE0C90"/>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84E"/>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6D7"/>
    <w:rsid w:val="00FF3803"/>
    <w:rsid w:val="00FF4871"/>
    <w:rsid w:val="00FF4A4D"/>
    <w:rsid w:val="00FF556E"/>
    <w:rsid w:val="00FF5630"/>
    <w:rsid w:val="00FF5813"/>
    <w:rsid w:val="00FF5E54"/>
    <w:rsid w:val="00FF5E85"/>
    <w:rsid w:val="00FF680F"/>
    <w:rsid w:val="00FF69CB"/>
    <w:rsid w:val="00FF6AD9"/>
    <w:rsid w:val="00FF6AE2"/>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14:defaultImageDpi w14:val="32767"/>
  <w14:docId w14:val="4D1A3F2C"/>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aliases w:val="כותרת תחתונה תו תו תו Char,כותרת תחתונה תו תו תו תו תו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qFormat/>
    <w:rsid w:val="00574579"/>
    <w:pPr>
      <w:spacing w:line="240" w:lineRule="auto"/>
      <w:ind w:left="720" w:hanging="720"/>
    </w:pPr>
    <w:rPr>
      <w:szCs w:val="20"/>
    </w:rPr>
  </w:style>
  <w:style w:type="character" w:customStyle="1" w:styleId="FootnoteTextChar">
    <w:name w:val="Footnote Text Char"/>
    <w:aliases w:val=" Char Char,FOOTNOTES Char,Footnote Text - Sharp Char Char Char,Footnote Text - Sharp Char Char1,Footnote Text - Sharp Char1,Footnote Text Char Char Char Char Char Char,Footnote reference Char,Sharp - Footnote Text Char,fn Char"/>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Bullet List,Dell,FooterText,LP1,List Paragraph1,List Paragraph_0,List Paragraph_1,List Paragraph_2,Paragraphe de liste1,lp1,numbered,style 2,פיסקת bullets"/>
    <w:basedOn w:val="Normal"/>
    <w:link w:val="ListParagraphChar"/>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5">
    <w:name w:val="75א פעולות ביקורת"/>
    <w:basedOn w:val="214"/>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0">
    <w:name w:val="73א קוביה רצה תו"/>
    <w:basedOn w:val="DefaultParagraphFont"/>
    <w:link w:val="7314"/>
    <w:rsid w:val="004B039B"/>
    <w:rPr>
      <w:rFonts w:ascii="Tahoma" w:eastAsia="Times New Roman" w:hAnsi="Tahoma" w:cs="Tahoma"/>
      <w:color w:val="0D0D0D" w:themeColor="text1" w:themeTint="F2"/>
      <w:sz w:val="18"/>
      <w:szCs w:val="18"/>
      <w:shd w:val="solid" w:color="CEEAF5" w:fill="auto"/>
      <w:lang w:eastAsia="he-IL"/>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
    <w:name w:val="תואר"/>
    <w:basedOn w:val="Normal"/>
    <w:link w:val="a0"/>
    <w:qFormat/>
    <w:rsid w:val="00417266"/>
    <w:pPr>
      <w:spacing w:line="240" w:lineRule="auto"/>
      <w:jc w:val="center"/>
    </w:pPr>
    <w:rPr>
      <w:rFonts w:eastAsia="Times New Roman" w:cs="Times New Roman"/>
      <w:b/>
      <w:bCs/>
      <w:sz w:val="32"/>
      <w:szCs w:val="32"/>
      <w:lang w:eastAsia="he-IL"/>
    </w:rPr>
  </w:style>
  <w:style w:type="character" w:customStyle="1" w:styleId="a0">
    <w:name w:val="תואר תו"/>
    <w:link w:val="a"/>
    <w:locked/>
    <w:rsid w:val="00417266"/>
    <w:rPr>
      <w:rFonts w:eastAsia="Times New Roman" w:cs="Times New Roman"/>
      <w:b/>
      <w:bCs/>
      <w:sz w:val="32"/>
      <w:szCs w:val="32"/>
      <w:lang w:eastAsia="he-IL"/>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Heading3Char"/>
    <w:link w:val="733155"/>
    <w:rsid w:val="00092EAB"/>
    <w:rPr>
      <w:rFonts w:ascii="Tahoma" w:eastAsia="Times New Roman" w:hAnsi="Tahoma" w:cs="Tahoma"/>
      <w:b/>
      <w:bCs/>
      <w:color w:val="00305F"/>
      <w:sz w:val="31"/>
      <w:szCs w:val="31"/>
      <w:u w:val="single"/>
    </w:rPr>
  </w:style>
  <w:style w:type="paragraph" w:customStyle="1" w:styleId="732">
    <w:name w:val="73א הערות שוליים"/>
    <w:basedOn w:val="FootnoteText"/>
    <w:link w:val="7324"/>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50">
    <w:name w:val="75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Bullet List Char,Dell Char,FooterText Char,LP1 Char,List Paragraph1 Char,List Paragraph_0 Char,List Paragraph_1 Char,List Paragraph_2 Char,Paragraphe de liste1 Char,lp1 Char,numbered Char,style 2 Char,פיסקת bullets Char"/>
    <w:link w:val="ListParagraph"/>
    <w:uiPriority w:val="34"/>
    <w:rsid w:val="00DD7B55"/>
  </w:style>
  <w:style w:type="paragraph" w:customStyle="1" w:styleId="751">
    <w:name w:val="75א הזחה ראשונה מספר"/>
    <w:basedOn w:val="ListParagraph"/>
    <w:link w:val="75Char1"/>
    <w:qFormat/>
    <w:rsid w:val="003346F8"/>
    <w:pPr>
      <w:spacing w:after="180" w:line="260" w:lineRule="exact"/>
      <w:ind w:left="454" w:hanging="454"/>
      <w:contextualSpacing w:val="0"/>
    </w:pPr>
    <w:rPr>
      <w:rFonts w:ascii="Tahoma" w:hAnsi="Tahoma" w:cs="Tahoma"/>
      <w:color w:val="0D0D0D" w:themeColor="text1" w:themeTint="F2"/>
      <w:sz w:val="18"/>
      <w:szCs w:val="18"/>
    </w:rPr>
  </w:style>
  <w:style w:type="paragraph" w:customStyle="1" w:styleId="733">
    <w:name w:val="73א הזחה שנייה ריק"/>
    <w:basedOn w:val="BodyTextIndent"/>
    <w:link w:val="738"/>
    <w:qFormat/>
    <w:rsid w:val="0074714A"/>
    <w:pPr>
      <w:spacing w:after="180" w:line="260" w:lineRule="exact"/>
      <w:ind w:left="794"/>
    </w:pPr>
    <w:rPr>
      <w:color w:val="0D0D0D" w:themeColor="text1" w:themeTint="F2"/>
      <w:sz w:val="18"/>
      <w:szCs w:val="18"/>
    </w:rPr>
  </w:style>
  <w:style w:type="paragraph" w:customStyle="1" w:styleId="734">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52">
    <w:name w:val="75א מקרא+הערות לתרשים/לוח/תמונה"/>
    <w:basedOn w:val="732"/>
    <w:link w:val="75Char0"/>
    <w:qFormat/>
    <w:rsid w:val="00DE1F29"/>
    <w:pPr>
      <w:keepLines w:val="0"/>
      <w:spacing w:before="120" w:after="240" w:line="260" w:lineRule="exact"/>
      <w:ind w:left="0" w:firstLine="0"/>
    </w:pPr>
    <w:rPr>
      <w:sz w:val="16"/>
      <w:szCs w:val="16"/>
    </w:rPr>
  </w:style>
  <w:style w:type="paragraph" w:customStyle="1" w:styleId="735">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6">
    <w:name w:val="73א קוביה כחולה בתוך הזחה ראשונה"/>
    <w:basedOn w:val="735"/>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7">
    <w:name w:val="73א הזחה שנייה ללא מספר"/>
    <w:basedOn w:val="733"/>
    <w:link w:val="739"/>
    <w:qFormat/>
    <w:rsid w:val="00543F8A"/>
  </w:style>
  <w:style w:type="character" w:customStyle="1" w:styleId="738">
    <w:name w:val="73א הזחה שנייה ריק תו"/>
    <w:basedOn w:val="BodyTextIndentChar"/>
    <w:link w:val="733"/>
    <w:rsid w:val="0074714A"/>
    <w:rPr>
      <w:rFonts w:ascii="Tahoma" w:hAnsi="Tahoma" w:cs="Tahoma"/>
      <w:color w:val="0D0D0D" w:themeColor="text1" w:themeTint="F2"/>
      <w:sz w:val="18"/>
      <w:szCs w:val="18"/>
    </w:rPr>
  </w:style>
  <w:style w:type="character" w:customStyle="1" w:styleId="739">
    <w:name w:val="73א הזחה שנייה ללא מספר תו"/>
    <w:basedOn w:val="738"/>
    <w:link w:val="737"/>
    <w:rsid w:val="00543F8A"/>
    <w:rPr>
      <w:rFonts w:ascii="Tahoma" w:hAnsi="Tahoma" w:cs="Tahoma"/>
      <w:color w:val="0D0D0D" w:themeColor="text1" w:themeTint="F2"/>
      <w:sz w:val="18"/>
      <w:szCs w:val="18"/>
    </w:rPr>
  </w:style>
  <w:style w:type="paragraph" w:customStyle="1" w:styleId="7310">
    <w:name w:val="73א מספור הערות שוליים"/>
    <w:basedOn w:val="732"/>
    <w:qFormat/>
    <w:rsid w:val="003B639B"/>
  </w:style>
  <w:style w:type="paragraph" w:customStyle="1" w:styleId="73R">
    <w:name w:val="73א טבלה טקסט R"/>
    <w:basedOn w:val="Normal"/>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1">
    <w:name w:val="כניסה שלישית"/>
    <w:basedOn w:val="ListParagraph"/>
    <w:qFormat/>
    <w:rsid w:val="008E5512"/>
    <w:pPr>
      <w:spacing w:after="120"/>
      <w:ind w:left="0"/>
    </w:pPr>
    <w:rPr>
      <w:rFonts w:ascii="Tahoma" w:hAnsi="Tahoma" w:cs="Tahoma"/>
      <w:szCs w:val="20"/>
    </w:rPr>
  </w:style>
  <w:style w:type="paragraph" w:customStyle="1" w:styleId="7311">
    <w:name w:val="73א הזחה שלישית"/>
    <w:basedOn w:val="737"/>
    <w:qFormat/>
    <w:rsid w:val="00591F15"/>
    <w:pPr>
      <w:ind w:left="1191"/>
    </w:pPr>
  </w:style>
  <w:style w:type="paragraph" w:customStyle="1" w:styleId="7312">
    <w:name w:val="73א קוביה כחולה הזחה שלישית"/>
    <w:basedOn w:val="735"/>
    <w:qFormat/>
    <w:rsid w:val="00FF6AD9"/>
    <w:pPr>
      <w:framePr w:wrap="around" w:vAnchor="text" w:hAnchor="text" w:y="1"/>
      <w:shd w:val="solid" w:color="CEEAF6" w:fill="CEEAF6"/>
      <w:spacing w:after="120"/>
      <w:ind w:left="1474"/>
    </w:pPr>
  </w:style>
  <w:style w:type="paragraph" w:customStyle="1" w:styleId="11">
    <w:name w:val="קוביה הזחה 1"/>
    <w:basedOn w:val="735"/>
    <w:qFormat/>
    <w:rsid w:val="005C2859"/>
    <w:pPr>
      <w:ind w:left="680"/>
    </w:pPr>
  </w:style>
  <w:style w:type="paragraph" w:customStyle="1" w:styleId="7313">
    <w:name w:val="73א הזחה ראשונה ללא מספר"/>
    <w:basedOn w:val="737"/>
    <w:qFormat/>
    <w:rsid w:val="003570AC"/>
    <w:pPr>
      <w:ind w:left="397"/>
    </w:pPr>
  </w:style>
  <w:style w:type="paragraph" w:customStyle="1" w:styleId="7314">
    <w:name w:val="73א קוביה רצה"/>
    <w:basedOn w:val="736"/>
    <w:link w:val="730"/>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5">
    <w:name w:val="73א הזחה בתוך קוביה"/>
    <w:basedOn w:val="7314"/>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16">
    <w:name w:val="73א מספרים בתוך קוביה"/>
    <w:basedOn w:val="7315"/>
    <w:rsid w:val="00520550"/>
  </w:style>
  <w:style w:type="paragraph" w:customStyle="1" w:styleId="7317">
    <w:name w:val="73א אותיות בתוך קוביה 1"/>
    <w:basedOn w:val="7316"/>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3">
    <w:name w:val="כותרת עליונה1"/>
    <w:basedOn w:val="Normal"/>
    <w:link w:val="a2"/>
    <w:uiPriority w:val="99"/>
    <w:unhideWhenUsed/>
    <w:rsid w:val="002516DF"/>
    <w:pPr>
      <w:tabs>
        <w:tab w:val="center" w:pos="4153"/>
        <w:tab w:val="right" w:pos="8306"/>
      </w:tabs>
      <w:spacing w:line="240" w:lineRule="auto"/>
    </w:pPr>
    <w:rPr>
      <w:rFonts w:eastAsia="Calibri"/>
    </w:rPr>
  </w:style>
  <w:style w:type="character" w:customStyle="1" w:styleId="a2">
    <w:name w:val="כותרת עליונה תו"/>
    <w:basedOn w:val="DefaultParagraphFont"/>
    <w:link w:val="13"/>
    <w:uiPriority w:val="99"/>
    <w:rsid w:val="002516DF"/>
    <w:rPr>
      <w:rFonts w:eastAsia="Calibri"/>
    </w:rPr>
  </w:style>
  <w:style w:type="paragraph" w:customStyle="1" w:styleId="14">
    <w:name w:val="כותרת תחת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תחתונה תו"/>
    <w:basedOn w:val="DefaultParagraphFont"/>
    <w:link w:val="14"/>
    <w:uiPriority w:val="99"/>
    <w:rsid w:val="002516DF"/>
    <w:rPr>
      <w:rFonts w:eastAsia="Calibri"/>
    </w:rPr>
  </w:style>
  <w:style w:type="paragraph" w:customStyle="1" w:styleId="15">
    <w:name w:val="תאריך1"/>
    <w:basedOn w:val="Normal"/>
    <w:next w:val="Normal"/>
    <w:link w:val="a4"/>
    <w:uiPriority w:val="99"/>
    <w:unhideWhenUsed/>
    <w:rsid w:val="002516DF"/>
    <w:pPr>
      <w:spacing w:before="120" w:line="240" w:lineRule="auto"/>
    </w:pPr>
    <w:rPr>
      <w:rFonts w:eastAsia="Calibri"/>
    </w:rPr>
  </w:style>
  <w:style w:type="character" w:customStyle="1" w:styleId="a4">
    <w:name w:val="תאריך תו"/>
    <w:basedOn w:val="DefaultParagraphFont"/>
    <w:link w:val="15"/>
    <w:uiPriority w:val="99"/>
    <w:rsid w:val="002516DF"/>
    <w:rPr>
      <w:rFonts w:eastAsia="Calibri"/>
    </w:rPr>
  </w:style>
  <w:style w:type="character" w:customStyle="1" w:styleId="a5">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rsid w:val="002516DF"/>
    <w:rPr>
      <w:szCs w:val="20"/>
    </w:rPr>
  </w:style>
  <w:style w:type="paragraph" w:customStyle="1" w:styleId="16">
    <w:name w:val="פיסקת רשימה1"/>
    <w:basedOn w:val="Normal"/>
    <w:uiPriority w:val="34"/>
    <w:qFormat/>
    <w:rsid w:val="002516DF"/>
    <w:pPr>
      <w:ind w:left="720"/>
      <w:contextualSpacing/>
    </w:pPr>
    <w:rPr>
      <w:rFonts w:eastAsia="Calibri"/>
    </w:rPr>
  </w:style>
  <w:style w:type="paragraph" w:customStyle="1" w:styleId="a6">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7">
    <w:name w:val="טקסט בלונים1"/>
    <w:basedOn w:val="Normal"/>
    <w:link w:val="a7"/>
    <w:uiPriority w:val="99"/>
    <w:semiHidden/>
    <w:unhideWhenUsed/>
    <w:rsid w:val="002516DF"/>
    <w:pPr>
      <w:spacing w:line="240" w:lineRule="auto"/>
    </w:pPr>
    <w:rPr>
      <w:rFonts w:ascii="Tahoma" w:eastAsia="Calibri" w:hAnsi="Tahoma" w:cs="Tahoma"/>
      <w:sz w:val="18"/>
      <w:szCs w:val="18"/>
    </w:rPr>
  </w:style>
  <w:style w:type="character" w:customStyle="1" w:styleId="a7">
    <w:name w:val="טקסט בלונים תו"/>
    <w:link w:val="17"/>
    <w:uiPriority w:val="99"/>
    <w:semiHidden/>
    <w:rsid w:val="002516DF"/>
    <w:rPr>
      <w:rFonts w:ascii="Tahoma" w:eastAsia="Calibri" w:hAnsi="Tahoma" w:cs="Tahoma"/>
      <w:sz w:val="18"/>
      <w:szCs w:val="18"/>
    </w:rPr>
  </w:style>
  <w:style w:type="character" w:customStyle="1" w:styleId="18">
    <w:name w:val="כותרת תחתונה תו1"/>
    <w:uiPriority w:val="99"/>
    <w:rsid w:val="002516DF"/>
    <w:rPr>
      <w:rFonts w:cs="David"/>
      <w:sz w:val="24"/>
      <w:szCs w:val="24"/>
    </w:rPr>
  </w:style>
  <w:style w:type="character" w:customStyle="1" w:styleId="19">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1">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2">
    <w:name w:val="טקסט הערה1"/>
    <w:basedOn w:val="Normal"/>
    <w:link w:val="a8"/>
    <w:uiPriority w:val="99"/>
    <w:unhideWhenUsed/>
    <w:rsid w:val="002516DF"/>
    <w:pPr>
      <w:spacing w:line="240" w:lineRule="auto"/>
    </w:pPr>
    <w:rPr>
      <w:rFonts w:eastAsia="Calibri"/>
      <w:szCs w:val="20"/>
    </w:rPr>
  </w:style>
  <w:style w:type="character" w:customStyle="1" w:styleId="a8">
    <w:name w:val="טקסט הערה תו"/>
    <w:link w:val="112"/>
    <w:uiPriority w:val="99"/>
    <w:rsid w:val="002516DF"/>
    <w:rPr>
      <w:rFonts w:eastAsia="Calibri"/>
      <w:szCs w:val="20"/>
    </w:rPr>
  </w:style>
  <w:style w:type="paragraph" w:customStyle="1" w:styleId="113">
    <w:name w:val="נושא הערה1"/>
    <w:basedOn w:val="112"/>
    <w:next w:val="112"/>
    <w:link w:val="a9"/>
    <w:uiPriority w:val="99"/>
    <w:semiHidden/>
    <w:unhideWhenUsed/>
    <w:rsid w:val="002516DF"/>
    <w:rPr>
      <w:b/>
      <w:bCs/>
    </w:rPr>
  </w:style>
  <w:style w:type="character" w:customStyle="1" w:styleId="a9">
    <w:name w:val="נושא הערה תו"/>
    <w:link w:val="113"/>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4">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5">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18">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19">
    <w:name w:val="73א כוכבית בתוך קוביה"/>
    <w:basedOn w:val="7314"/>
    <w:qFormat/>
    <w:rsid w:val="001F0DE8"/>
    <w:pPr>
      <w:jc w:val="center"/>
    </w:pPr>
    <w:rPr>
      <w:rFonts w:ascii="Segoe UI Symbol" w:hAnsi="Segoe UI Symbol" w:cs="Segoe UI Symbol"/>
    </w:rPr>
  </w:style>
  <w:style w:type="paragraph" w:customStyle="1" w:styleId="7320">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1">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0">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1">
    <w:name w:val="טבלה הערות מתחת"/>
    <w:basedOn w:val="732"/>
    <w:qFormat/>
    <w:rsid w:val="00771BEC"/>
    <w:pPr>
      <w:spacing w:before="120"/>
    </w:pPr>
  </w:style>
  <w:style w:type="paragraph" w:customStyle="1" w:styleId="7322">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2">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3">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5">
    <w:name w:val="ציטוט בג&quot;צ Char"/>
    <w:link w:val="a14"/>
    <w:locked/>
    <w:rsid w:val="00CF1EB5"/>
    <w:rPr>
      <w:bCs/>
      <w:noProof/>
      <w:sz w:val="24"/>
      <w:lang w:eastAsia="he-IL"/>
    </w:rPr>
  </w:style>
  <w:style w:type="paragraph" w:customStyle="1" w:styleId="a14">
    <w:name w:val="ציטוט בג&quot;צ"/>
    <w:basedOn w:val="Normal"/>
    <w:link w:val="Char5"/>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16">
    <w:name w:val="כותרת טקסט1"/>
    <w:basedOn w:val="DefaultParagraphFont"/>
    <w:rsid w:val="00D81F77"/>
  </w:style>
  <w:style w:type="paragraph" w:customStyle="1" w:styleId="a15">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16">
    <w:name w:val="טקסט רץ"/>
    <w:basedOn w:val="100"/>
    <w:link w:val="Char6"/>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6">
    <w:name w:val="טקסט רץ Char"/>
    <w:basedOn w:val="10Char"/>
    <w:link w:val="a16"/>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2">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3">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2"/>
    <w:rsid w:val="00454096"/>
    <w:rPr>
      <w:rFonts w:ascii="Tahoma" w:hAnsi="Tahoma" w:eastAsiaTheme="minorEastAsia" w:cs="Tahoma"/>
      <w:b/>
      <w:bCs/>
      <w:color w:val="00305F"/>
      <w:sz w:val="34"/>
      <w:szCs w:val="32"/>
    </w:rPr>
  </w:style>
  <w:style w:type="paragraph" w:customStyle="1" w:styleId="214">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3"/>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4"/>
    <w:rsid w:val="00454096"/>
    <w:rPr>
      <w:rFonts w:ascii="Tahoma" w:hAnsi="Tahoma" w:eastAsiaTheme="minorEastAsia" w:cs="Tahoma"/>
      <w:b w:val="0"/>
      <w:bCs/>
      <w:color w:val="00305F"/>
      <w:sz w:val="32"/>
      <w:szCs w:val="32"/>
    </w:rPr>
  </w:style>
  <w:style w:type="paragraph" w:customStyle="1" w:styleId="215">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17">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3">
    <w:name w:val="73א כותרת סיכום"/>
    <w:basedOn w:val="733155"/>
    <w:qFormat/>
    <w:rsid w:val="00662020"/>
    <w:rPr>
      <w:b w:val="0"/>
    </w:rPr>
  </w:style>
  <w:style w:type="paragraph" w:customStyle="1" w:styleId="753">
    <w:name w:val="75א תמונת המצב העולה מן הביקורת"/>
    <w:basedOn w:val="214"/>
    <w:link w:val="75Char"/>
    <w:qFormat/>
    <w:rsid w:val="006F49D3"/>
    <w:pPr>
      <w:keepNext/>
      <w:keepLines/>
      <w:pBdr>
        <w:top w:val="single" w:sz="12" w:space="5" w:color="auto"/>
      </w:pBdr>
      <w:spacing w:before="360" w:after="240"/>
      <w:outlineLvl w:val="9"/>
    </w:pPr>
    <w:rPr>
      <w:sz w:val="31"/>
      <w:szCs w:val="31"/>
    </w:rPr>
  </w:style>
  <w:style w:type="character" w:customStyle="1" w:styleId="75Char">
    <w:name w:val="75א תמונת המצב העולה מן הביקורת Char"/>
    <w:basedOn w:val="21Char1"/>
    <w:link w:val="753"/>
    <w:rsid w:val="006F49D3"/>
    <w:rPr>
      <w:rFonts w:ascii="Tahoma" w:hAnsi="Tahoma" w:eastAsiaTheme="minorEastAsia" w:cs="Tahoma"/>
      <w:b w:val="0"/>
      <w:bCs/>
      <w:color w:val="00305F"/>
      <w:sz w:val="31"/>
      <w:szCs w:val="31"/>
    </w:rPr>
  </w:style>
  <w:style w:type="paragraph" w:customStyle="1" w:styleId="7520">
    <w:name w:val="75א כותרת 2"/>
    <w:link w:val="752Char"/>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52Char">
    <w:name w:val="75א כותרת 2 Char"/>
    <w:basedOn w:val="DefaultParagraphFont"/>
    <w:link w:val="7520"/>
    <w:rsid w:val="00BB0517"/>
    <w:rPr>
      <w:rFonts w:ascii="Tahoma" w:hAnsi="Tahoma" w:cs="Tahoma"/>
      <w:b/>
      <w:bCs/>
      <w:color w:val="00305F"/>
      <w:sz w:val="34"/>
      <w:szCs w:val="34"/>
    </w:rPr>
  </w:style>
  <w:style w:type="character" w:customStyle="1" w:styleId="7324">
    <w:name w:val="73א הערות שוליים תו"/>
    <w:basedOn w:val="FootnoteTextChar"/>
    <w:link w:val="732"/>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52"/>
    <w:link w:val="7301"/>
    <w:qFormat/>
    <w:rsid w:val="00050995"/>
    <w:pPr>
      <w:spacing w:after="0"/>
    </w:pPr>
  </w:style>
  <w:style w:type="character" w:customStyle="1" w:styleId="75Char0">
    <w:name w:val="75א מקרא+הערות לתרשים/לוח/תמונה Char"/>
    <w:basedOn w:val="7324"/>
    <w:link w:val="752"/>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5Char0"/>
    <w:link w:val="7300"/>
    <w:rsid w:val="00050995"/>
    <w:rPr>
      <w:rFonts w:ascii="Tahoma" w:hAnsi="Tahoma" w:cs="Tahoma"/>
      <w:color w:val="0D0D0D" w:themeColor="text1" w:themeTint="F2"/>
      <w:sz w:val="16"/>
      <w:szCs w:val="16"/>
    </w:rPr>
  </w:style>
  <w:style w:type="paragraph" w:customStyle="1" w:styleId="7390">
    <w:name w:val="73א בולד 9 בתוך שורה"/>
    <w:basedOn w:val="215"/>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5"/>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0">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0"/>
    <w:rsid w:val="001F3363"/>
    <w:rPr>
      <w:rFonts w:ascii="Tahoma" w:hAnsi="Tahoma" w:cs="Tahoma"/>
      <w:color w:val="0D0D0D" w:themeColor="text1" w:themeTint="F2"/>
      <w:sz w:val="18"/>
      <w:szCs w:val="18"/>
    </w:rPr>
  </w:style>
  <w:style w:type="paragraph" w:customStyle="1" w:styleId="73110">
    <w:name w:val="73א מרווח של 1 בטקס רץ"/>
    <w:basedOn w:val="Normal"/>
    <w:link w:val="73111"/>
    <w:qFormat/>
    <w:rsid w:val="001F3363"/>
    <w:pPr>
      <w:spacing w:after="180" w:line="260" w:lineRule="exact"/>
    </w:pPr>
    <w:rPr>
      <w:rFonts w:ascii="Tahoma" w:hAnsi="Tahoma" w:cs="Tahoma"/>
      <w:color w:val="0D0D0D" w:themeColor="text1" w:themeTint="F2"/>
      <w:spacing w:val="20"/>
      <w:sz w:val="18"/>
      <w:szCs w:val="18"/>
    </w:rPr>
  </w:style>
  <w:style w:type="character" w:customStyle="1" w:styleId="73111">
    <w:name w:val="73א מרווח של 1 בטקס רץ תו"/>
    <w:basedOn w:val="DefaultParagraphFont"/>
    <w:link w:val="73110"/>
    <w:rsid w:val="001F3363"/>
    <w:rPr>
      <w:rFonts w:ascii="Tahoma" w:hAnsi="Tahoma" w:cs="Tahoma"/>
      <w:color w:val="0D0D0D" w:themeColor="text1" w:themeTint="F2"/>
      <w:spacing w:val="20"/>
      <w:sz w:val="18"/>
      <w:szCs w:val="18"/>
    </w:rPr>
  </w:style>
  <w:style w:type="paragraph" w:customStyle="1" w:styleId="a18">
    <w:name w:val="כותרת לבנה בתוך תבנית אדומה בתקציר"/>
    <w:basedOn w:val="Normal"/>
    <w:link w:val="Char7"/>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25">
    <w:name w:val="73א כותרת לבנה בתוך תבנית אדומה בתקציר"/>
    <w:basedOn w:val="a18"/>
    <w:link w:val="7326"/>
    <w:qFormat/>
    <w:rsid w:val="00524400"/>
    <w:pPr>
      <w:keepNext/>
      <w:keepLines/>
      <w:spacing w:before="0"/>
    </w:pPr>
  </w:style>
  <w:style w:type="character" w:customStyle="1" w:styleId="Char7">
    <w:name w:val="כותרת לבנה בתוך תבנית אדומה בתקציר Char"/>
    <w:basedOn w:val="DefaultParagraphFont"/>
    <w:link w:val="a18"/>
    <w:rsid w:val="009D41AC"/>
    <w:rPr>
      <w:rFonts w:ascii="Tahoma" w:hAnsi="Tahoma" w:cs="Tahoma"/>
      <w:b/>
      <w:bCs/>
      <w:color w:val="FFFFFF" w:themeColor="background1"/>
      <w:sz w:val="22"/>
      <w:szCs w:val="22"/>
    </w:rPr>
  </w:style>
  <w:style w:type="character" w:customStyle="1" w:styleId="7326">
    <w:name w:val="73א כותרת לבנה בתוך תבנית אדומה בתקציר תו"/>
    <w:basedOn w:val="Char7"/>
    <w:link w:val="7325"/>
    <w:rsid w:val="00524400"/>
    <w:rPr>
      <w:rFonts w:ascii="Tahoma" w:hAnsi="Tahoma" w:cs="Tahoma"/>
      <w:b/>
      <w:bCs/>
      <w:color w:val="FFFFFF" w:themeColor="background1"/>
      <w:sz w:val="22"/>
      <w:szCs w:val="22"/>
    </w:rPr>
  </w:style>
  <w:style w:type="paragraph" w:customStyle="1" w:styleId="73112">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27">
    <w:name w:val="73א היפרלינק"/>
    <w:basedOn w:val="732"/>
    <w:link w:val="7328"/>
    <w:qFormat/>
    <w:rsid w:val="009578F0"/>
    <w:pPr>
      <w:bidi w:val="0"/>
    </w:pPr>
    <w:rPr>
      <w:color w:val="6090CC"/>
      <w:u w:val="single"/>
    </w:rPr>
  </w:style>
  <w:style w:type="character" w:customStyle="1" w:styleId="7328">
    <w:name w:val="73א היפרלינק תו"/>
    <w:basedOn w:val="7324"/>
    <w:link w:val="7327"/>
    <w:rsid w:val="009578F0"/>
    <w:rPr>
      <w:rFonts w:ascii="Tahoma" w:hAnsi="Tahoma" w:cs="Tahoma"/>
      <w:color w:val="6090CC"/>
      <w:sz w:val="14"/>
      <w:szCs w:val="14"/>
      <w:u w:val="single"/>
    </w:rPr>
  </w:style>
  <w:style w:type="paragraph" w:customStyle="1" w:styleId="7329">
    <w:name w:val="73א קוביה כחולה עם מספר מוזח"/>
    <w:basedOn w:val="751"/>
    <w:link w:val="7330"/>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5Char1">
    <w:name w:val="75א הזחה ראשונה מספר Char"/>
    <w:basedOn w:val="ListParagraphChar"/>
    <w:link w:val="751"/>
    <w:rsid w:val="003346F8"/>
    <w:rPr>
      <w:rFonts w:ascii="Tahoma" w:hAnsi="Tahoma" w:cs="Tahoma"/>
      <w:color w:val="0D0D0D" w:themeColor="text1" w:themeTint="F2"/>
      <w:sz w:val="18"/>
      <w:szCs w:val="18"/>
    </w:rPr>
  </w:style>
  <w:style w:type="character" w:customStyle="1" w:styleId="7330">
    <w:name w:val="73א קוביה כחולה עם מספר מוזח תו"/>
    <w:basedOn w:val="75Char1"/>
    <w:link w:val="7329"/>
    <w:rsid w:val="00FF6AD9"/>
    <w:rPr>
      <w:rFonts w:ascii="Tahoma" w:hAnsi="Tahoma" w:cs="Tahoma"/>
      <w:color w:val="0D0D0D" w:themeColor="text1" w:themeTint="F2"/>
      <w:sz w:val="18"/>
      <w:szCs w:val="18"/>
      <w:shd w:val="clear" w:color="auto" w:fill="CEEAF6"/>
    </w:rPr>
  </w:style>
  <w:style w:type="paragraph" w:customStyle="1" w:styleId="7331">
    <w:name w:val="73א כותרת טקסט רץ מודגשת"/>
    <w:basedOn w:val="Normal"/>
    <w:link w:val="7332"/>
    <w:qFormat/>
    <w:rsid w:val="001F3363"/>
    <w:pPr>
      <w:spacing w:after="180" w:line="260" w:lineRule="exact"/>
    </w:pPr>
    <w:rPr>
      <w:rFonts w:ascii="Tahoma" w:hAnsi="Tahoma" w:cs="Tahoma"/>
      <w:b/>
      <w:bCs/>
      <w:color w:val="0D0D0D" w:themeColor="text1" w:themeTint="F2"/>
      <w:sz w:val="18"/>
      <w:szCs w:val="18"/>
    </w:rPr>
  </w:style>
  <w:style w:type="character" w:customStyle="1" w:styleId="7332">
    <w:name w:val="73א כותרת טקסט רץ מודגשת תו"/>
    <w:basedOn w:val="DefaultParagraphFont"/>
    <w:link w:val="7331"/>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5Char1"/>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19">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0">
    <w:name w:val="נבנצאל תו"/>
    <w:basedOn w:val="DefaultParagraphFont"/>
    <w:link w:val="a21"/>
    <w:uiPriority w:val="99"/>
    <w:locked/>
    <w:rsid w:val="00905FB1"/>
    <w:rPr>
      <w:szCs w:val="20"/>
    </w:rPr>
  </w:style>
  <w:style w:type="paragraph" w:customStyle="1" w:styleId="a21">
    <w:name w:val="נבנצאל"/>
    <w:basedOn w:val="Normal"/>
    <w:next w:val="Normal"/>
    <w:link w:val="a20"/>
    <w:uiPriority w:val="99"/>
    <w:rsid w:val="00905FB1"/>
    <w:pPr>
      <w:ind w:left="-567"/>
    </w:pPr>
    <w:rPr>
      <w:szCs w:val="20"/>
    </w:rPr>
  </w:style>
  <w:style w:type="paragraph" w:styleId="DocumentMap">
    <w:name w:val="Document Map"/>
    <w:basedOn w:val="Normal"/>
    <w:link w:val="DocumentMapChar"/>
    <w:uiPriority w:val="99"/>
    <w:semiHidden/>
    <w:unhideWhenUsed/>
    <w:rsid w:val="0030451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0451F"/>
    <w:rPr>
      <w:rFonts w:ascii="Tahoma" w:hAnsi="Tahoma" w:cs="Tahoma"/>
      <w:sz w:val="16"/>
      <w:szCs w:val="16"/>
    </w:rPr>
  </w:style>
  <w:style w:type="paragraph" w:customStyle="1" w:styleId="117">
    <w:name w:val="סגנון1"/>
    <w:basedOn w:val="Caption"/>
    <w:qFormat/>
    <w:rsid w:val="0030451F"/>
    <w:pPr>
      <w:jc w:val="center"/>
    </w:pPr>
    <w:rPr>
      <w:b/>
      <w:bCs/>
      <w:iCs w:val="0"/>
      <w:color w:val="000000" w:themeColor="text1"/>
      <w:sz w:val="24"/>
      <w:szCs w:val="24"/>
    </w:rPr>
  </w:style>
  <w:style w:type="paragraph" w:customStyle="1" w:styleId="23">
    <w:name w:val="סגנון2"/>
    <w:basedOn w:val="Caption"/>
    <w:autoRedefine/>
    <w:qFormat/>
    <w:rsid w:val="0030451F"/>
    <w:pPr>
      <w:jc w:val="center"/>
    </w:pPr>
    <w:rPr>
      <w:b/>
      <w:bCs/>
      <w:iCs w:val="0"/>
      <w:color w:val="000000" w:themeColor="text1"/>
      <w:sz w:val="24"/>
      <w:szCs w:val="24"/>
    </w:rPr>
  </w:style>
  <w:style w:type="paragraph" w:customStyle="1" w:styleId="32">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2">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33">
    <w:name w:val="73א מקרא+הערות לתרשים/לוח/תמונה כוכבית"/>
    <w:basedOn w:val="752"/>
    <w:qFormat/>
    <w:rsid w:val="002F430E"/>
    <w:pPr>
      <w:framePr w:wrap="around" w:vAnchor="text" w:hAnchor="text" w:y="1"/>
    </w:pPr>
  </w:style>
  <w:style w:type="paragraph" w:customStyle="1" w:styleId="a23">
    <w:name w:val="הערות לתרשימים"/>
    <w:basedOn w:val="752"/>
    <w:next w:val="732"/>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24">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16"/>
    <w:link w:val="7393"/>
    <w:qFormat/>
    <w:rsid w:val="00222C5D"/>
    <w:rPr>
      <w:color w:val="0D0D0D" w:themeColor="text1" w:themeTint="F2"/>
      <w:sz w:val="18"/>
    </w:rPr>
  </w:style>
  <w:style w:type="character" w:customStyle="1" w:styleId="7393">
    <w:name w:val="73א טקסט רץ 9 תו"/>
    <w:basedOn w:val="Char6"/>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5"/>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2"/>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18">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25">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26">
    <w:name w:val="תאריך הדוח"/>
    <w:qFormat/>
    <w:rsid w:val="000F5023"/>
    <w:pPr>
      <w:ind w:left="2268"/>
      <w:jc w:val="left"/>
    </w:pPr>
    <w:rPr>
      <w:rFonts w:ascii="Tahoma" w:hAnsi="Tahoma" w:cs="Tahoma"/>
      <w:sz w:val="18"/>
      <w:szCs w:val="18"/>
    </w:rPr>
  </w:style>
  <w:style w:type="paragraph" w:customStyle="1" w:styleId="70">
    <w:name w:val="סגנון7"/>
    <w:basedOn w:val="7329"/>
    <w:qFormat/>
    <w:rsid w:val="00F1103C"/>
    <w:pPr>
      <w:numPr>
        <w:numId w:val="9"/>
      </w:numPr>
      <w:ind w:left="850" w:right="284" w:hanging="425"/>
    </w:pPr>
    <w:rPr>
      <w:noProof/>
      <w:lang w:val="he-IL"/>
    </w:rPr>
  </w:style>
  <w:style w:type="paragraph" w:customStyle="1" w:styleId="710">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1">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FootnoteTextChar"/>
    <w:link w:val="711"/>
    <w:rsid w:val="002507E8"/>
    <w:rPr>
      <w:rFonts w:ascii="Tahoma" w:hAnsi="Tahoma" w:cs="Tahoma"/>
      <w:color w:val="0D0D0D" w:themeColor="text1" w:themeTint="F2"/>
      <w:sz w:val="14"/>
      <w:szCs w:val="14"/>
    </w:rPr>
  </w:style>
  <w:style w:type="paragraph" w:customStyle="1" w:styleId="712">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53"/>
    <w:qFormat/>
    <w:rsid w:val="00AB2F78"/>
  </w:style>
  <w:style w:type="paragraph" w:customStyle="1" w:styleId="a27">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1">
    <w:name w:val="footnote reference"/>
    <w:aliases w:val="Footnote Reference_0,Footnote Reference_0_0,Footnote Reference_0_0_0,Footnote Reference_0_0_0_0,Footnote Reference_1,Footnote Reference_2,Footnote Reference_3,Footnote Reference_3_0,Footnote Reference_4,fr,הפניה להערת שוליים חדש,מ"/>
    <w:basedOn w:val="DefaultParagraphFont"/>
    <w:uiPriority w:val="99"/>
    <w:unhideWhenUsed/>
    <w:rsid w:val="00C00585"/>
    <w:rPr>
      <w:vertAlign w:val="superscript"/>
    </w:rPr>
  </w:style>
  <w:style w:type="character" w:styleId="CommentReference">
    <w:name w:val="annotation reference"/>
    <w:basedOn w:val="DefaultParagraphFont"/>
    <w:uiPriority w:val="99"/>
    <w:semiHidden/>
    <w:unhideWhenUsed/>
    <w:rsid w:val="0079701E"/>
    <w:rPr>
      <w:sz w:val="16"/>
      <w:szCs w:val="16"/>
    </w:rPr>
  </w:style>
  <w:style w:type="paragraph" w:customStyle="1" w:styleId="713">
    <w:name w:val="71ג לוחות/תרשימים/תמונות/אינפוגרפיקה/מפות"/>
    <w:basedOn w:val="Normal"/>
    <w:qFormat/>
    <w:rsid w:val="0079701E"/>
    <w:pPr>
      <w:keepNext/>
      <w:spacing w:before="240" w:after="240" w:line="260" w:lineRule="exact"/>
      <w:jc w:val="center"/>
    </w:pPr>
    <w:rPr>
      <w:rFonts w:ascii="Tahoma" w:hAnsi="Tahoma" w:eastAsiaTheme="minorEastAsia" w:cs="Tahoma"/>
      <w:b/>
      <w:bCs/>
      <w:color w:val="0D0D0D" w:themeColor="text1" w:themeTint="F2"/>
      <w:szCs w:val="20"/>
    </w:rPr>
  </w:style>
  <w:style w:type="character" w:customStyle="1" w:styleId="119">
    <w:name w:val="אזכור לא מזוהה1"/>
    <w:basedOn w:val="DefaultParagraphFont"/>
    <w:uiPriority w:val="99"/>
    <w:semiHidden/>
    <w:unhideWhenUsed/>
    <w:rsid w:val="0079701E"/>
    <w:rPr>
      <w:color w:val="605E5C"/>
      <w:shd w:val="clear" w:color="auto" w:fill="E1DFDD"/>
    </w:rPr>
  </w:style>
  <w:style w:type="paragraph" w:customStyle="1" w:styleId="a28">
    <w:name w:val="פרטי הדוח ממה"/>
    <w:basedOn w:val="Normal"/>
    <w:qFormat/>
    <w:rsid w:val="009F04C6"/>
    <w:pPr>
      <w:spacing w:before="600" w:line="240" w:lineRule="auto"/>
      <w:ind w:left="284"/>
      <w:jc w:val="left"/>
    </w:pPr>
    <w:rPr>
      <w:rFonts w:ascii="Calibri" w:eastAsia="Calibri" w:hAnsi="Calibri" w:cs="Calibri"/>
      <w:noProof/>
      <w:color w:val="FFFFFF" w:themeColor="background1"/>
      <w:sz w:val="24"/>
    </w:rPr>
  </w:style>
  <w:style w:type="paragraph" w:customStyle="1" w:styleId="a29">
    <w:name w:val="כותרת הדוח ממה"/>
    <w:basedOn w:val="Normal"/>
    <w:link w:val="a30"/>
    <w:qFormat/>
    <w:rsid w:val="009F04C6"/>
    <w:pPr>
      <w:widowControl w:val="0"/>
      <w:spacing w:before="600" w:line="240" w:lineRule="auto"/>
      <w:ind w:left="284"/>
      <w:jc w:val="left"/>
    </w:pPr>
    <w:rPr>
      <w:rFonts w:ascii="Calibri" w:hAnsi="Calibri" w:cs="Calibri"/>
      <w:b/>
      <w:bCs/>
      <w:color w:val="FFFFFF" w:themeColor="background1"/>
      <w:sz w:val="60"/>
      <w:szCs w:val="60"/>
    </w:rPr>
  </w:style>
  <w:style w:type="character" w:customStyle="1" w:styleId="a30">
    <w:name w:val="כותרת הדוח ממה תו"/>
    <w:basedOn w:val="DefaultParagraphFont"/>
    <w:link w:val="a29"/>
    <w:rsid w:val="009F04C6"/>
    <w:rPr>
      <w:rFonts w:ascii="Calibri" w:hAnsi="Calibri" w:cs="Calibri"/>
      <w:b/>
      <w:bCs/>
      <w:color w:val="FFFFFF" w:themeColor="background1"/>
      <w:sz w:val="60"/>
      <w:szCs w:val="60"/>
    </w:rPr>
  </w:style>
  <w:style w:type="paragraph" w:customStyle="1" w:styleId="a31">
    <w:name w:val="טקסט שם מונח ממה"/>
    <w:basedOn w:val="Normal"/>
    <w:qFormat/>
    <w:rsid w:val="009F04C6"/>
    <w:pPr>
      <w:suppressAutoHyphens/>
      <w:autoSpaceDE w:val="0"/>
      <w:autoSpaceDN w:val="0"/>
      <w:adjustRightInd w:val="0"/>
      <w:spacing w:before="60" w:after="60"/>
      <w:ind w:left="57" w:right="170"/>
      <w:jc w:val="left"/>
      <w:textAlignment w:val="center"/>
    </w:pPr>
    <w:rPr>
      <w:rFonts w:ascii="Calibri" w:eastAsia="DengXian" w:hAnsi="Calibri" w:cs="Calibri"/>
      <w:b/>
      <w:bCs/>
      <w:color w:val="002060"/>
      <w:sz w:val="24"/>
      <w:lang w:val="en-GB"/>
    </w:rPr>
  </w:style>
  <w:style w:type="paragraph" w:customStyle="1" w:styleId="a32">
    <w:name w:val="טקסט הגדרת מונח ממה"/>
    <w:link w:val="a33"/>
    <w:qFormat/>
    <w:rsid w:val="009F04C6"/>
    <w:pPr>
      <w:suppressAutoHyphens/>
      <w:autoSpaceDE w:val="0"/>
      <w:autoSpaceDN w:val="0"/>
      <w:bidi/>
      <w:adjustRightInd w:val="0"/>
      <w:spacing w:before="60" w:after="60" w:line="312" w:lineRule="auto"/>
      <w:ind w:left="57" w:right="170"/>
      <w:jc w:val="left"/>
      <w:textAlignment w:val="center"/>
    </w:pPr>
    <w:rPr>
      <w:rFonts w:ascii="Calibri" w:eastAsia="DengXian" w:hAnsi="Calibri" w:cs="Calibri"/>
      <w:color w:val="002060"/>
      <w:sz w:val="24"/>
      <w:lang w:val="en-GB"/>
    </w:rPr>
  </w:style>
  <w:style w:type="character" w:customStyle="1" w:styleId="a33">
    <w:name w:val="טקסט הגדרת מונח ממה תו"/>
    <w:basedOn w:val="DefaultParagraphFont"/>
    <w:link w:val="a32"/>
    <w:rsid w:val="009F04C6"/>
    <w:rPr>
      <w:rFonts w:ascii="Calibri" w:eastAsia="DengXian" w:hAnsi="Calibri" w:cs="Calibri"/>
      <w:color w:val="002060"/>
      <w:sz w:val="24"/>
      <w:lang w:val="en-GB"/>
    </w:rPr>
  </w:style>
  <w:style w:type="paragraph" w:customStyle="1" w:styleId="a34">
    <w:name w:val="מבוא ממה"/>
    <w:basedOn w:val="Normal"/>
    <w:next w:val="Normal"/>
    <w:link w:val="a35"/>
    <w:autoRedefine/>
    <w:qFormat/>
    <w:rsid w:val="009F04C6"/>
    <w:pPr>
      <w:pageBreakBefore/>
      <w:widowControl w:val="0"/>
      <w:shd w:val="clear" w:color="F3F7FF" w:fill="FFFFFF" w:themeFill="background1"/>
      <w:spacing w:before="120" w:line="276" w:lineRule="auto"/>
      <w:ind w:left="1134"/>
      <w:outlineLvl w:val="0"/>
    </w:pPr>
    <w:rPr>
      <w:rFonts w:ascii="Calibri" w:eastAsia="Calibri" w:hAnsi="Calibri" w:cs="Calibri"/>
      <w:color w:val="FFFFFF" w:themeColor="background1"/>
      <w:position w:val="6"/>
      <w:sz w:val="2"/>
      <w:szCs w:val="2"/>
      <w:u w:color="FFFFFF"/>
    </w:rPr>
  </w:style>
  <w:style w:type="character" w:customStyle="1" w:styleId="a35">
    <w:name w:val="מבוא ממה תו"/>
    <w:basedOn w:val="DefaultParagraphFont"/>
    <w:link w:val="a34"/>
    <w:rsid w:val="009F04C6"/>
    <w:rPr>
      <w:rFonts w:ascii="Calibri" w:eastAsia="Calibri" w:hAnsi="Calibri" w:cs="Calibri"/>
      <w:color w:val="FFFFFF" w:themeColor="background1"/>
      <w:position w:val="6"/>
      <w:sz w:val="2"/>
      <w:szCs w:val="2"/>
      <w:u w:color="FFFFFF"/>
      <w:shd w:val="clear" w:color="F3F7FF" w:fill="FFFFFF" w:themeFill="background1"/>
    </w:rPr>
  </w:style>
  <w:style w:type="paragraph" w:customStyle="1" w:styleId="a36">
    <w:name w:val="מראה מקום ממה"/>
    <w:basedOn w:val="Normal"/>
    <w:next w:val="Normal"/>
    <w:link w:val="a37"/>
    <w:qFormat/>
    <w:rsid w:val="009F04C6"/>
    <w:pPr>
      <w:widowControl w:val="0"/>
      <w:pBdr>
        <w:top w:val="single" w:sz="18" w:space="1" w:color="1CADE4" w:themeColor="accent1"/>
      </w:pBdr>
      <w:shd w:val="solid" w:color="F3F7FF" w:fill="auto"/>
      <w:spacing w:before="120" w:line="240" w:lineRule="auto"/>
      <w:ind w:left="1134"/>
    </w:pPr>
    <w:rPr>
      <w:rFonts w:ascii="Calibri" w:eastAsia="Calibri" w:hAnsi="Calibri" w:cs="Calibri"/>
      <w:b/>
      <w:bCs/>
      <w:color w:val="002060"/>
      <w:sz w:val="18"/>
      <w:szCs w:val="18"/>
    </w:rPr>
  </w:style>
  <w:style w:type="character" w:customStyle="1" w:styleId="a37">
    <w:name w:val="מראה מקום ממה תו"/>
    <w:basedOn w:val="DefaultParagraphFont"/>
    <w:link w:val="a36"/>
    <w:rsid w:val="009F04C6"/>
    <w:rPr>
      <w:rFonts w:ascii="Calibri" w:eastAsia="Calibri" w:hAnsi="Calibri" w:cs="Calibri"/>
      <w:b/>
      <w:bCs/>
      <w:color w:val="002060"/>
      <w:sz w:val="18"/>
      <w:szCs w:val="18"/>
      <w:shd w:val="solid" w:color="F3F7FF" w:fill="auto"/>
    </w:rPr>
  </w:style>
  <w:style w:type="paragraph" w:customStyle="1" w:styleId="a38">
    <w:name w:val="כותרת עליונה ממה"/>
    <w:basedOn w:val="Normal"/>
    <w:next w:val="Normal"/>
    <w:link w:val="a39"/>
    <w:qFormat/>
    <w:rsid w:val="009F04C6"/>
    <w:pPr>
      <w:spacing w:line="240" w:lineRule="auto"/>
      <w:ind w:left="737"/>
      <w:jc w:val="left"/>
    </w:pPr>
    <w:rPr>
      <w:rFonts w:ascii="Calibri" w:eastAsia="Calibri" w:hAnsi="Calibri" w:cs="Calibri"/>
      <w:color w:val="002060"/>
      <w:sz w:val="18"/>
      <w:szCs w:val="18"/>
    </w:rPr>
  </w:style>
  <w:style w:type="character" w:customStyle="1" w:styleId="a39">
    <w:name w:val="כותרת עליונה ממה תו"/>
    <w:basedOn w:val="DefaultParagraphFont"/>
    <w:link w:val="a38"/>
    <w:rsid w:val="009F04C6"/>
    <w:rPr>
      <w:rFonts w:ascii="Calibri" w:eastAsia="Calibri" w:hAnsi="Calibri" w:cs="Calibri"/>
      <w:color w:val="002060"/>
      <w:sz w:val="18"/>
      <w:szCs w:val="18"/>
    </w:rPr>
  </w:style>
  <w:style w:type="paragraph" w:customStyle="1" w:styleId="120">
    <w:name w:val="כותרת 1 ממה"/>
    <w:basedOn w:val="Normal"/>
    <w:next w:val="Normal"/>
    <w:link w:val="122"/>
    <w:qFormat/>
    <w:rsid w:val="009F04C6"/>
    <w:pPr>
      <w:keepNext/>
      <w:widowControl w:val="0"/>
      <w:numPr>
        <w:numId w:val="13"/>
      </w:numPr>
      <w:spacing w:before="240" w:after="120" w:line="440" w:lineRule="exact"/>
      <w:jc w:val="left"/>
      <w:outlineLvl w:val="0"/>
    </w:pPr>
    <w:rPr>
      <w:rFonts w:ascii="Calibri" w:eastAsia="Calibri" w:hAnsi="Calibri" w:cs="Calibri"/>
      <w:b/>
      <w:bCs/>
      <w:color w:val="002060"/>
      <w:sz w:val="40"/>
      <w:szCs w:val="40"/>
    </w:rPr>
  </w:style>
  <w:style w:type="character" w:customStyle="1" w:styleId="122">
    <w:name w:val="כותרת 1 ממה תו"/>
    <w:basedOn w:val="DefaultParagraphFont"/>
    <w:link w:val="120"/>
    <w:rsid w:val="009F04C6"/>
    <w:rPr>
      <w:rFonts w:ascii="Calibri" w:eastAsia="Calibri" w:hAnsi="Calibri" w:cs="Calibri"/>
      <w:b/>
      <w:bCs/>
      <w:color w:val="002060"/>
      <w:sz w:val="40"/>
      <w:szCs w:val="40"/>
    </w:rPr>
  </w:style>
  <w:style w:type="paragraph" w:customStyle="1" w:styleId="24">
    <w:name w:val="כותרת 2 ממה"/>
    <w:basedOn w:val="Normal"/>
    <w:next w:val="Normal"/>
    <w:link w:val="25"/>
    <w:qFormat/>
    <w:rsid w:val="009F04C6"/>
    <w:pPr>
      <w:keepNext/>
      <w:widowControl w:val="0"/>
      <w:numPr>
        <w:numId w:val="14"/>
      </w:numPr>
      <w:spacing w:before="240" w:line="280" w:lineRule="exact"/>
      <w:jc w:val="left"/>
      <w:outlineLvl w:val="1"/>
    </w:pPr>
    <w:rPr>
      <w:rFonts w:ascii="Calibri" w:eastAsia="Calibri" w:hAnsi="Calibri" w:cs="Calibri"/>
      <w:b/>
      <w:bCs/>
      <w:color w:val="002060"/>
      <w:sz w:val="36"/>
      <w:szCs w:val="36"/>
    </w:rPr>
  </w:style>
  <w:style w:type="character" w:customStyle="1" w:styleId="25">
    <w:name w:val="כותרת 2 ממה תו"/>
    <w:basedOn w:val="22"/>
    <w:link w:val="24"/>
    <w:rsid w:val="009F04C6"/>
    <w:rPr>
      <w:rFonts w:ascii="Calibri" w:eastAsia="Calibri" w:hAnsi="Calibri" w:cs="Calibri"/>
      <w:b/>
      <w:bCs/>
      <w:color w:val="002060"/>
      <w:sz w:val="36"/>
      <w:szCs w:val="36"/>
    </w:rPr>
  </w:style>
  <w:style w:type="paragraph" w:customStyle="1" w:styleId="33">
    <w:name w:val="כותרת 3 ממה"/>
    <w:basedOn w:val="Normal"/>
    <w:next w:val="Normal"/>
    <w:link w:val="34"/>
    <w:qFormat/>
    <w:rsid w:val="009F04C6"/>
    <w:pPr>
      <w:widowControl w:val="0"/>
      <w:numPr>
        <w:numId w:val="15"/>
      </w:numPr>
      <w:spacing w:before="240" w:line="280" w:lineRule="exact"/>
      <w:jc w:val="left"/>
    </w:pPr>
    <w:rPr>
      <w:rFonts w:ascii="Calibri" w:eastAsia="Calibri" w:hAnsi="Calibri" w:cs="Calibri"/>
      <w:b/>
      <w:bCs/>
      <w:color w:val="002060"/>
      <w:sz w:val="28"/>
      <w:szCs w:val="28"/>
      <w:u w:val="single"/>
    </w:rPr>
  </w:style>
  <w:style w:type="character" w:customStyle="1" w:styleId="34">
    <w:name w:val="כותרת 3 ממה תו"/>
    <w:basedOn w:val="3"/>
    <w:link w:val="33"/>
    <w:rsid w:val="009F04C6"/>
    <w:rPr>
      <w:rFonts w:ascii="Calibri" w:eastAsia="Calibri" w:hAnsi="Calibri" w:cs="Calibri"/>
      <w:b/>
      <w:bCs/>
      <w:color w:val="002060"/>
      <w:sz w:val="28"/>
      <w:szCs w:val="28"/>
      <w:u w:val="single"/>
    </w:rPr>
  </w:style>
  <w:style w:type="paragraph" w:customStyle="1" w:styleId="42">
    <w:name w:val="כותרת 4 ממה"/>
    <w:basedOn w:val="Normal"/>
    <w:next w:val="Normal"/>
    <w:link w:val="43"/>
    <w:qFormat/>
    <w:rsid w:val="009F04C6"/>
    <w:pPr>
      <w:keepNext/>
      <w:widowControl w:val="0"/>
      <w:spacing w:before="240" w:line="280" w:lineRule="exact"/>
      <w:ind w:left="1134"/>
      <w:jc w:val="left"/>
      <w:outlineLvl w:val="3"/>
    </w:pPr>
    <w:rPr>
      <w:rFonts w:ascii="Calibri" w:eastAsia="Calibri" w:hAnsi="Calibri" w:cs="Calibri"/>
      <w:color w:val="002060"/>
      <w:sz w:val="28"/>
      <w:szCs w:val="28"/>
    </w:rPr>
  </w:style>
  <w:style w:type="character" w:customStyle="1" w:styleId="43">
    <w:name w:val="כותרת 4 ממה תו"/>
    <w:basedOn w:val="DefaultParagraphFont"/>
    <w:link w:val="42"/>
    <w:rsid w:val="009F04C6"/>
    <w:rPr>
      <w:rFonts w:ascii="Calibri" w:eastAsia="Calibri" w:hAnsi="Calibri" w:cs="Calibri"/>
      <w:color w:val="002060"/>
      <w:sz w:val="28"/>
      <w:szCs w:val="28"/>
    </w:rPr>
  </w:style>
  <w:style w:type="paragraph" w:customStyle="1" w:styleId="123">
    <w:name w:val="רשימה1 ממה"/>
    <w:basedOn w:val="Normal"/>
    <w:link w:val="124"/>
    <w:qFormat/>
    <w:rsid w:val="009F04C6"/>
    <w:pPr>
      <w:widowControl w:val="0"/>
      <w:numPr>
        <w:numId w:val="16"/>
      </w:numPr>
      <w:spacing w:line="280" w:lineRule="exact"/>
    </w:pPr>
    <w:rPr>
      <w:rFonts w:ascii="Calibri" w:eastAsia="Calibri" w:hAnsi="Calibri" w:cs="Calibri"/>
      <w:color w:val="002060"/>
      <w:sz w:val="24"/>
    </w:rPr>
  </w:style>
  <w:style w:type="character" w:customStyle="1" w:styleId="124">
    <w:name w:val="רשימה1 ממה תו"/>
    <w:basedOn w:val="DefaultParagraphFont"/>
    <w:link w:val="123"/>
    <w:rsid w:val="009F04C6"/>
    <w:rPr>
      <w:rFonts w:ascii="Calibri" w:eastAsia="Calibri" w:hAnsi="Calibri" w:cs="Calibri"/>
      <w:color w:val="002060"/>
      <w:sz w:val="24"/>
    </w:rPr>
  </w:style>
  <w:style w:type="paragraph" w:customStyle="1" w:styleId="26">
    <w:name w:val="רשימה2 ממה"/>
    <w:basedOn w:val="Normal"/>
    <w:link w:val="27"/>
    <w:qFormat/>
    <w:rsid w:val="009F04C6"/>
    <w:pPr>
      <w:widowControl w:val="0"/>
      <w:spacing w:line="280" w:lineRule="exact"/>
      <w:ind w:left="1871"/>
    </w:pPr>
    <w:rPr>
      <w:rFonts w:ascii="Calibri" w:eastAsia="Calibri" w:hAnsi="Calibri" w:cs="Calibri"/>
      <w:color w:val="002060"/>
      <w:sz w:val="24"/>
    </w:rPr>
  </w:style>
  <w:style w:type="character" w:customStyle="1" w:styleId="27">
    <w:name w:val="רשימה2 ממה תו"/>
    <w:basedOn w:val="DefaultParagraphFont"/>
    <w:link w:val="26"/>
    <w:rsid w:val="009F04C6"/>
    <w:rPr>
      <w:rFonts w:ascii="Calibri" w:eastAsia="Calibri" w:hAnsi="Calibri" w:cs="Calibri"/>
      <w:color w:val="002060"/>
      <w:sz w:val="24"/>
    </w:rPr>
  </w:style>
  <w:style w:type="paragraph" w:customStyle="1" w:styleId="35">
    <w:name w:val="רשימה3 ממה"/>
    <w:basedOn w:val="Normal"/>
    <w:link w:val="36"/>
    <w:qFormat/>
    <w:rsid w:val="009F04C6"/>
    <w:pPr>
      <w:widowControl w:val="0"/>
      <w:numPr>
        <w:numId w:val="17"/>
      </w:numPr>
      <w:spacing w:line="280" w:lineRule="exact"/>
    </w:pPr>
    <w:rPr>
      <w:rFonts w:ascii="Calibri" w:eastAsia="Calibri" w:hAnsi="Calibri" w:cs="Calibri"/>
      <w:color w:val="002060"/>
      <w:sz w:val="24"/>
    </w:rPr>
  </w:style>
  <w:style w:type="character" w:customStyle="1" w:styleId="36">
    <w:name w:val="רשימה3 ממה תו"/>
    <w:basedOn w:val="DefaultParagraphFont"/>
    <w:link w:val="35"/>
    <w:rsid w:val="009F04C6"/>
    <w:rPr>
      <w:rFonts w:ascii="Calibri" w:eastAsia="Calibri" w:hAnsi="Calibri" w:cs="Calibri"/>
      <w:color w:val="002060"/>
      <w:sz w:val="24"/>
    </w:rPr>
  </w:style>
  <w:style w:type="paragraph" w:customStyle="1" w:styleId="44">
    <w:name w:val="רשימה4 ממה"/>
    <w:basedOn w:val="Normal"/>
    <w:link w:val="45"/>
    <w:qFormat/>
    <w:rsid w:val="009F04C6"/>
    <w:pPr>
      <w:widowControl w:val="0"/>
      <w:spacing w:line="280" w:lineRule="exact"/>
      <w:ind w:left="2552"/>
    </w:pPr>
    <w:rPr>
      <w:rFonts w:ascii="Calibri" w:eastAsia="Calibri" w:hAnsi="Calibri" w:cs="Calibri"/>
      <w:color w:val="002060"/>
      <w:sz w:val="24"/>
    </w:rPr>
  </w:style>
  <w:style w:type="character" w:customStyle="1" w:styleId="45">
    <w:name w:val="רשימה4 ממה תו"/>
    <w:basedOn w:val="DefaultParagraphFont"/>
    <w:link w:val="44"/>
    <w:rsid w:val="009F04C6"/>
    <w:rPr>
      <w:rFonts w:ascii="Calibri" w:eastAsia="Calibri" w:hAnsi="Calibri" w:cs="Calibri"/>
      <w:color w:val="002060"/>
      <w:sz w:val="24"/>
    </w:rPr>
  </w:style>
  <w:style w:type="paragraph" w:customStyle="1" w:styleId="52">
    <w:name w:val="רשימה5 ממה"/>
    <w:basedOn w:val="Normal"/>
    <w:link w:val="53"/>
    <w:qFormat/>
    <w:rsid w:val="009F04C6"/>
    <w:pPr>
      <w:widowControl w:val="0"/>
      <w:numPr>
        <w:numId w:val="18"/>
      </w:numPr>
      <w:spacing w:line="280" w:lineRule="exact"/>
    </w:pPr>
    <w:rPr>
      <w:rFonts w:ascii="Calibri" w:eastAsia="Calibri" w:hAnsi="Calibri" w:cs="Calibri"/>
      <w:color w:val="002060"/>
      <w:sz w:val="24"/>
    </w:rPr>
  </w:style>
  <w:style w:type="character" w:customStyle="1" w:styleId="53">
    <w:name w:val="רשימה5 ממה תו"/>
    <w:basedOn w:val="DefaultParagraphFont"/>
    <w:link w:val="52"/>
    <w:rsid w:val="009F04C6"/>
    <w:rPr>
      <w:rFonts w:ascii="Calibri" w:eastAsia="Calibri" w:hAnsi="Calibri" w:cs="Calibri"/>
      <w:color w:val="002060"/>
      <w:sz w:val="24"/>
    </w:rPr>
  </w:style>
  <w:style w:type="paragraph" w:customStyle="1" w:styleId="a40">
    <w:name w:val="הערת שוליים ממה"/>
    <w:basedOn w:val="Normal"/>
    <w:link w:val="a41"/>
    <w:qFormat/>
    <w:rsid w:val="009F04C6"/>
    <w:pPr>
      <w:widowControl w:val="0"/>
      <w:spacing w:line="280" w:lineRule="exact"/>
      <w:ind w:left="1985" w:hanging="851"/>
    </w:pPr>
    <w:rPr>
      <w:rFonts w:ascii="Calibri" w:eastAsia="Calibri" w:hAnsi="Calibri" w:cs="Calibri"/>
      <w:color w:val="002060"/>
      <w:sz w:val="24"/>
      <w:szCs w:val="20"/>
    </w:rPr>
  </w:style>
  <w:style w:type="character" w:customStyle="1" w:styleId="a41">
    <w:name w:val="הערת שוליים ממה תו"/>
    <w:basedOn w:val="DefaultParagraphFont"/>
    <w:link w:val="a40"/>
    <w:rsid w:val="009F04C6"/>
    <w:rPr>
      <w:rFonts w:ascii="Calibri" w:eastAsia="Calibri" w:hAnsi="Calibri" w:cs="Calibri"/>
      <w:color w:val="002060"/>
      <w:sz w:val="24"/>
      <w:szCs w:val="20"/>
    </w:rPr>
  </w:style>
  <w:style w:type="paragraph" w:customStyle="1" w:styleId="a42">
    <w:name w:val="הערת סיום ממה"/>
    <w:basedOn w:val="Normal"/>
    <w:link w:val="a43"/>
    <w:qFormat/>
    <w:rsid w:val="009F04C6"/>
    <w:pPr>
      <w:widowControl w:val="0"/>
      <w:spacing w:line="240" w:lineRule="auto"/>
      <w:ind w:left="1134"/>
    </w:pPr>
    <w:rPr>
      <w:rFonts w:ascii="Calibri" w:eastAsia="Calibri" w:hAnsi="Calibri" w:cs="Calibri"/>
      <w:color w:val="002060"/>
      <w:sz w:val="24"/>
      <w:szCs w:val="20"/>
    </w:rPr>
  </w:style>
  <w:style w:type="character" w:customStyle="1" w:styleId="a43">
    <w:name w:val="הערת סיום ממה תו"/>
    <w:basedOn w:val="DefaultParagraphFont"/>
    <w:link w:val="a42"/>
    <w:rsid w:val="009F04C6"/>
    <w:rPr>
      <w:rFonts w:ascii="Calibri" w:eastAsia="Calibri" w:hAnsi="Calibri" w:cs="Calibri"/>
      <w:color w:val="002060"/>
      <w:sz w:val="24"/>
      <w:szCs w:val="20"/>
    </w:rPr>
  </w:style>
  <w:style w:type="paragraph" w:customStyle="1" w:styleId="125">
    <w:name w:val="ליקוי/ממצא חיובי/המלצה1 ממה"/>
    <w:next w:val="Normal"/>
    <w:link w:val="126"/>
    <w:qFormat/>
    <w:rsid w:val="009F04C6"/>
    <w:pPr>
      <w:keepNext/>
      <w:keepLines/>
      <w:widowControl w:val="0"/>
      <w:pBdr>
        <w:bottom w:val="single" w:sz="2" w:space="1" w:color="002060"/>
      </w:pBdr>
      <w:bidi/>
      <w:spacing w:after="0" w:line="280" w:lineRule="exact"/>
      <w:ind w:left="1134"/>
      <w:outlineLvl w:val="8"/>
    </w:pPr>
    <w:rPr>
      <w:rFonts w:ascii="Calibri" w:eastAsia="Calibri" w:hAnsi="Calibri" w:cs="Calibri"/>
      <w:color w:val="002060"/>
      <w:sz w:val="24"/>
    </w:rPr>
  </w:style>
  <w:style w:type="character" w:customStyle="1" w:styleId="126">
    <w:name w:val="ליקוי/ממצא חיובי/המלצה1 ממה תו"/>
    <w:basedOn w:val="DefaultParagraphFont"/>
    <w:link w:val="125"/>
    <w:rsid w:val="009F04C6"/>
    <w:rPr>
      <w:rFonts w:ascii="Calibri" w:eastAsia="Calibri" w:hAnsi="Calibri" w:cs="Calibri"/>
      <w:color w:val="002060"/>
      <w:sz w:val="24"/>
    </w:rPr>
  </w:style>
  <w:style w:type="paragraph" w:customStyle="1" w:styleId="28">
    <w:name w:val="ליקוי/ממצא חיובי/המלצה2 ממה"/>
    <w:basedOn w:val="Normal"/>
    <w:next w:val="Normal"/>
    <w:link w:val="29"/>
    <w:qFormat/>
    <w:rsid w:val="009F04C6"/>
    <w:pPr>
      <w:keepNext/>
      <w:keepLines/>
      <w:widowControl w:val="0"/>
      <w:pBdr>
        <w:bottom w:val="single" w:sz="2" w:space="1" w:color="002060"/>
      </w:pBdr>
      <w:spacing w:line="280" w:lineRule="exact"/>
      <w:ind w:left="1871"/>
      <w:outlineLvl w:val="8"/>
    </w:pPr>
    <w:rPr>
      <w:rFonts w:ascii="Calibri" w:eastAsia="Calibri" w:hAnsi="Calibri" w:cs="Calibri"/>
      <w:color w:val="002060"/>
      <w:sz w:val="24"/>
    </w:rPr>
  </w:style>
  <w:style w:type="character" w:customStyle="1" w:styleId="29">
    <w:name w:val="ליקוי/ממצא חיובי/המלצה2 ממה תו"/>
    <w:basedOn w:val="126"/>
    <w:link w:val="28"/>
    <w:rsid w:val="009F04C6"/>
    <w:rPr>
      <w:rFonts w:ascii="Calibri" w:eastAsia="Calibri" w:hAnsi="Calibri" w:cs="Calibri"/>
      <w:color w:val="002060"/>
      <w:sz w:val="24"/>
    </w:rPr>
  </w:style>
  <w:style w:type="paragraph" w:customStyle="1" w:styleId="37">
    <w:name w:val="ליקוי/ממצא חיובי/המלצה3 ממה"/>
    <w:basedOn w:val="Normal"/>
    <w:link w:val="38"/>
    <w:qFormat/>
    <w:rsid w:val="009F04C6"/>
    <w:pPr>
      <w:keepNext/>
      <w:keepLines/>
      <w:widowControl w:val="0"/>
      <w:pBdr>
        <w:bottom w:val="single" w:sz="4" w:space="1" w:color="002060"/>
      </w:pBdr>
      <w:spacing w:line="280" w:lineRule="exact"/>
      <w:ind w:left="2552"/>
      <w:outlineLvl w:val="8"/>
    </w:pPr>
    <w:rPr>
      <w:rFonts w:ascii="Calibri" w:eastAsia="Calibri" w:hAnsi="Calibri" w:cs="Calibri"/>
      <w:color w:val="002060"/>
      <w:sz w:val="24"/>
    </w:rPr>
  </w:style>
  <w:style w:type="character" w:customStyle="1" w:styleId="38">
    <w:name w:val="ליקוי/ממצא חיובי/המלצה3 ממה תו"/>
    <w:basedOn w:val="DefaultParagraphFont"/>
    <w:link w:val="37"/>
    <w:rsid w:val="009F04C6"/>
    <w:rPr>
      <w:rFonts w:ascii="Calibri" w:eastAsia="Calibri" w:hAnsi="Calibri" w:cs="Calibri"/>
      <w:color w:val="002060"/>
      <w:sz w:val="24"/>
    </w:rPr>
  </w:style>
  <w:style w:type="paragraph" w:customStyle="1" w:styleId="a44">
    <w:name w:val="נבנצאל ממה"/>
    <w:basedOn w:val="Normal"/>
    <w:next w:val="Normal"/>
    <w:link w:val="a45"/>
    <w:uiPriority w:val="99"/>
    <w:qFormat/>
    <w:rsid w:val="009F04C6"/>
    <w:pPr>
      <w:keepNext/>
      <w:spacing w:line="280" w:lineRule="exact"/>
      <w:jc w:val="left"/>
    </w:pPr>
    <w:rPr>
      <w:rFonts w:ascii="Calibri" w:eastAsia="Calibri" w:hAnsi="Calibri" w:cs="Calibri"/>
      <w:color w:val="002060"/>
      <w:szCs w:val="20"/>
    </w:rPr>
  </w:style>
  <w:style w:type="character" w:customStyle="1" w:styleId="a45">
    <w:name w:val="נבנצאל ממה תו"/>
    <w:basedOn w:val="DefaultParagraphFont"/>
    <w:link w:val="a44"/>
    <w:uiPriority w:val="99"/>
    <w:rsid w:val="009F04C6"/>
    <w:rPr>
      <w:rFonts w:ascii="Calibri" w:eastAsia="Calibri" w:hAnsi="Calibri" w:cs="Calibri"/>
      <w:color w:val="002060"/>
      <w:szCs w:val="20"/>
    </w:rPr>
  </w:style>
  <w:style w:type="paragraph" w:customStyle="1" w:styleId="a46">
    <w:name w:val="רגיל ממה"/>
    <w:basedOn w:val="Normal"/>
    <w:link w:val="a47"/>
    <w:qFormat/>
    <w:rsid w:val="009F04C6"/>
    <w:pPr>
      <w:widowControl w:val="0"/>
      <w:spacing w:line="280" w:lineRule="exact"/>
      <w:ind w:left="1134"/>
    </w:pPr>
    <w:rPr>
      <w:rFonts w:ascii="Calibri" w:eastAsia="Calibri" w:hAnsi="Calibri" w:cs="Calibri"/>
      <w:color w:val="002060"/>
      <w:sz w:val="24"/>
    </w:rPr>
  </w:style>
  <w:style w:type="character" w:customStyle="1" w:styleId="a47">
    <w:name w:val="רגיל ממה תו"/>
    <w:basedOn w:val="DefaultParagraphFont"/>
    <w:link w:val="a46"/>
    <w:rsid w:val="009F04C6"/>
    <w:rPr>
      <w:rFonts w:ascii="Calibri" w:eastAsia="Calibri" w:hAnsi="Calibri" w:cs="Calibri"/>
      <w:color w:val="002060"/>
      <w:sz w:val="24"/>
    </w:rPr>
  </w:style>
  <w:style w:type="paragraph" w:customStyle="1" w:styleId="a48">
    <w:name w:val="סיכום ממה"/>
    <w:basedOn w:val="Normal"/>
    <w:next w:val="Normal"/>
    <w:link w:val="a49"/>
    <w:qFormat/>
    <w:rsid w:val="009F04C6"/>
    <w:pPr>
      <w:spacing w:line="276" w:lineRule="auto"/>
      <w:ind w:left="1140"/>
    </w:pPr>
    <w:rPr>
      <w:rFonts w:ascii="Calibri" w:eastAsia="Calibri" w:hAnsi="Calibri" w:cs="Calibri"/>
      <w:b/>
      <w:bCs/>
      <w:color w:val="FFFFFF" w:themeColor="background1"/>
      <w:sz w:val="2"/>
      <w:szCs w:val="2"/>
    </w:rPr>
  </w:style>
  <w:style w:type="character" w:customStyle="1" w:styleId="a49">
    <w:name w:val="סיכום ממה תו"/>
    <w:basedOn w:val="DefaultParagraphFont"/>
    <w:link w:val="a48"/>
    <w:rsid w:val="009F04C6"/>
    <w:rPr>
      <w:rFonts w:ascii="Calibri" w:eastAsia="Calibri" w:hAnsi="Calibri" w:cs="Calibri"/>
      <w:b/>
      <w:bCs/>
      <w:color w:val="FFFFFF" w:themeColor="background1"/>
      <w:sz w:val="2"/>
      <w:szCs w:val="2"/>
    </w:rPr>
  </w:style>
  <w:style w:type="paragraph" w:customStyle="1" w:styleId="a50">
    <w:name w:val="טקסט סיכום ממה"/>
    <w:basedOn w:val="Normal"/>
    <w:next w:val="Normal"/>
    <w:qFormat/>
    <w:rsid w:val="009F04C6"/>
    <w:pPr>
      <w:widowControl w:val="0"/>
      <w:spacing w:after="240" w:line="280" w:lineRule="exact"/>
      <w:ind w:left="1140"/>
    </w:pPr>
    <w:rPr>
      <w:rFonts w:ascii="Calibri" w:eastAsia="Calibri" w:hAnsi="Calibri" w:cs="Calibri"/>
      <w:bCs/>
      <w:color w:val="002060"/>
      <w:sz w:val="24"/>
    </w:rPr>
  </w:style>
  <w:style w:type="paragraph" w:customStyle="1" w:styleId="a51">
    <w:name w:val="סיכום ביניים ממה"/>
    <w:basedOn w:val="Normal"/>
    <w:next w:val="Normal"/>
    <w:qFormat/>
    <w:rsid w:val="009F04C6"/>
    <w:pPr>
      <w:widowControl w:val="0"/>
      <w:spacing w:before="240" w:after="240"/>
      <w:ind w:left="1134"/>
    </w:pPr>
    <w:rPr>
      <w:rFonts w:ascii="Calibri" w:eastAsia="Calibri" w:hAnsi="Calibri" w:cs="Calibri"/>
      <w:noProof/>
      <w:color w:val="002060"/>
      <w:sz w:val="24"/>
    </w:rPr>
  </w:style>
  <w:style w:type="paragraph" w:customStyle="1" w:styleId="a52">
    <w:name w:val="טקסט סיכום ביניים ממה"/>
    <w:basedOn w:val="Normal"/>
    <w:next w:val="Normal"/>
    <w:qFormat/>
    <w:rsid w:val="009F04C6"/>
    <w:pPr>
      <w:widowControl w:val="0"/>
      <w:spacing w:after="240" w:line="280" w:lineRule="exact"/>
      <w:ind w:left="1134"/>
    </w:pPr>
    <w:rPr>
      <w:rFonts w:ascii="Calibri" w:eastAsia="Calibri" w:hAnsi="Calibri" w:cs="Calibri"/>
      <w:bCs/>
      <w:color w:val="002060"/>
      <w:sz w:val="24"/>
    </w:rPr>
  </w:style>
  <w:style w:type="paragraph" w:customStyle="1" w:styleId="a53">
    <w:name w:val="תרשים ממה"/>
    <w:basedOn w:val="Normal"/>
    <w:next w:val="Normal"/>
    <w:link w:val="a54"/>
    <w:qFormat/>
    <w:rsid w:val="009F04C6"/>
    <w:pPr>
      <w:keepNext/>
      <w:keepLines/>
      <w:widowControl w:val="0"/>
      <w:numPr>
        <w:numId w:val="19"/>
      </w:numPr>
      <w:spacing w:line="280" w:lineRule="exact"/>
      <w:jc w:val="center"/>
      <w:outlineLvl w:val="6"/>
    </w:pPr>
    <w:rPr>
      <w:rFonts w:ascii="Calibri" w:eastAsia="Calibri" w:hAnsi="Calibri" w:cs="Calibri"/>
      <w:b/>
      <w:bCs/>
      <w:color w:val="002060"/>
      <w:sz w:val="24"/>
    </w:rPr>
  </w:style>
  <w:style w:type="character" w:customStyle="1" w:styleId="a54">
    <w:name w:val="תרשים ממה תו"/>
    <w:basedOn w:val="DefaultParagraphFont"/>
    <w:link w:val="a53"/>
    <w:rsid w:val="009F04C6"/>
    <w:rPr>
      <w:rFonts w:ascii="Calibri" w:eastAsia="Calibri" w:hAnsi="Calibri" w:cs="Calibri"/>
      <w:b/>
      <w:bCs/>
      <w:color w:val="002060"/>
      <w:sz w:val="24"/>
    </w:rPr>
  </w:style>
  <w:style w:type="paragraph" w:customStyle="1" w:styleId="a55">
    <w:name w:val="תמונה ממה"/>
    <w:basedOn w:val="Normal"/>
    <w:next w:val="Normal"/>
    <w:link w:val="a56"/>
    <w:qFormat/>
    <w:rsid w:val="009F04C6"/>
    <w:pPr>
      <w:keepNext/>
      <w:keepLines/>
      <w:widowControl w:val="0"/>
      <w:numPr>
        <w:numId w:val="20"/>
      </w:numPr>
      <w:spacing w:line="280" w:lineRule="exact"/>
      <w:jc w:val="center"/>
      <w:outlineLvl w:val="6"/>
    </w:pPr>
    <w:rPr>
      <w:rFonts w:ascii="Calibri" w:eastAsia="Calibri" w:hAnsi="Calibri" w:cs="Calibri"/>
      <w:b/>
      <w:bCs/>
      <w:color w:val="002060"/>
      <w:sz w:val="24"/>
    </w:rPr>
  </w:style>
  <w:style w:type="character" w:customStyle="1" w:styleId="a56">
    <w:name w:val="תמונה ממה תו"/>
    <w:basedOn w:val="DefaultParagraphFont"/>
    <w:link w:val="a55"/>
    <w:rsid w:val="009F04C6"/>
    <w:rPr>
      <w:rFonts w:ascii="Calibri" w:eastAsia="Calibri" w:hAnsi="Calibri" w:cs="Calibri"/>
      <w:b/>
      <w:bCs/>
      <w:color w:val="002060"/>
      <w:sz w:val="24"/>
    </w:rPr>
  </w:style>
  <w:style w:type="paragraph" w:customStyle="1" w:styleId="a57">
    <w:name w:val="לוח ממה"/>
    <w:basedOn w:val="Normal"/>
    <w:next w:val="Normal"/>
    <w:link w:val="a58"/>
    <w:qFormat/>
    <w:rsid w:val="009F04C6"/>
    <w:pPr>
      <w:keepNext/>
      <w:keepLines/>
      <w:widowControl w:val="0"/>
      <w:numPr>
        <w:numId w:val="21"/>
      </w:numPr>
      <w:spacing w:line="280" w:lineRule="exact"/>
      <w:jc w:val="center"/>
      <w:outlineLvl w:val="6"/>
    </w:pPr>
    <w:rPr>
      <w:rFonts w:ascii="Calibri" w:eastAsia="Calibri" w:hAnsi="Calibri" w:cs="Calibri"/>
      <w:b/>
      <w:bCs/>
      <w:color w:val="002060"/>
      <w:sz w:val="24"/>
    </w:rPr>
  </w:style>
  <w:style w:type="character" w:customStyle="1" w:styleId="a58">
    <w:name w:val="לוח ממה תו"/>
    <w:basedOn w:val="DefaultParagraphFont"/>
    <w:link w:val="a57"/>
    <w:rsid w:val="009F04C6"/>
    <w:rPr>
      <w:rFonts w:ascii="Calibri" w:eastAsia="Calibri" w:hAnsi="Calibri" w:cs="Calibri"/>
      <w:b/>
      <w:bCs/>
      <w:color w:val="002060"/>
      <w:sz w:val="24"/>
    </w:rPr>
  </w:style>
  <w:style w:type="paragraph" w:customStyle="1" w:styleId="a59">
    <w:name w:val="מפה ממה"/>
    <w:basedOn w:val="Normal"/>
    <w:next w:val="Normal"/>
    <w:link w:val="a60"/>
    <w:qFormat/>
    <w:rsid w:val="009F04C6"/>
    <w:pPr>
      <w:keepNext/>
      <w:keepLines/>
      <w:widowControl w:val="0"/>
      <w:numPr>
        <w:numId w:val="22"/>
      </w:numPr>
      <w:spacing w:line="280" w:lineRule="exact"/>
      <w:jc w:val="center"/>
      <w:outlineLvl w:val="6"/>
    </w:pPr>
    <w:rPr>
      <w:rFonts w:ascii="Calibri" w:eastAsia="Calibri" w:hAnsi="Calibri" w:cs="Calibri"/>
      <w:b/>
      <w:bCs/>
      <w:color w:val="002060"/>
      <w:sz w:val="24"/>
    </w:rPr>
  </w:style>
  <w:style w:type="character" w:customStyle="1" w:styleId="a60">
    <w:name w:val="מפה ממה תו"/>
    <w:basedOn w:val="DefaultParagraphFont"/>
    <w:link w:val="a59"/>
    <w:rsid w:val="009F04C6"/>
    <w:rPr>
      <w:rFonts w:ascii="Calibri" w:eastAsia="Calibri" w:hAnsi="Calibri" w:cs="Calibri"/>
      <w:b/>
      <w:bCs/>
      <w:color w:val="002060"/>
      <w:sz w:val="24"/>
    </w:rPr>
  </w:style>
  <w:style w:type="paragraph" w:customStyle="1" w:styleId="a61">
    <w:name w:val="מקור ממה"/>
    <w:basedOn w:val="Normal"/>
    <w:next w:val="Normal"/>
    <w:qFormat/>
    <w:rsid w:val="009F04C6"/>
    <w:pPr>
      <w:keepNext/>
      <w:keepLines/>
      <w:widowControl w:val="0"/>
      <w:ind w:left="1134"/>
    </w:pPr>
    <w:rPr>
      <w:rFonts w:ascii="Calibri" w:eastAsia="Calibri" w:hAnsi="Calibri" w:cs="Calibri"/>
      <w:color w:val="002060"/>
      <w:szCs w:val="20"/>
    </w:rPr>
  </w:style>
  <w:style w:type="paragraph" w:customStyle="1" w:styleId="a62">
    <w:name w:val="אובייקט ממה"/>
    <w:basedOn w:val="Normal"/>
    <w:next w:val="Normal"/>
    <w:qFormat/>
    <w:rsid w:val="009F04C6"/>
    <w:pPr>
      <w:keepNext/>
      <w:widowControl w:val="0"/>
      <w:spacing w:line="269" w:lineRule="auto"/>
      <w:ind w:left="1134"/>
    </w:pPr>
    <w:rPr>
      <w:rFonts w:ascii="Calibri" w:eastAsia="Calibri" w:hAnsi="Calibri" w:cs="Calibri"/>
      <w:noProof/>
      <w:color w:val="002060"/>
      <w:sz w:val="24"/>
    </w:rPr>
  </w:style>
  <w:style w:type="paragraph" w:customStyle="1" w:styleId="a63">
    <w:name w:val="רכיבי המבוא ממה"/>
    <w:basedOn w:val="Normal"/>
    <w:link w:val="a64"/>
    <w:qFormat/>
    <w:rsid w:val="009F04C6"/>
    <w:pPr>
      <w:pBdr>
        <w:bottom w:val="single" w:sz="8" w:space="1" w:color="F2F2F2"/>
      </w:pBdr>
      <w:spacing w:before="60" w:after="60" w:line="280" w:lineRule="exact"/>
      <w:ind w:left="170" w:right="57"/>
    </w:pPr>
    <w:rPr>
      <w:rFonts w:ascii="Calibri" w:eastAsia="Calibri" w:hAnsi="Calibri" w:cs="Calibri"/>
      <w:color w:val="002060"/>
      <w:szCs w:val="20"/>
    </w:rPr>
  </w:style>
  <w:style w:type="character" w:customStyle="1" w:styleId="a64">
    <w:name w:val="רכיבי המבוא ממה תו"/>
    <w:basedOn w:val="DefaultParagraphFont"/>
    <w:link w:val="a63"/>
    <w:rsid w:val="009F04C6"/>
    <w:rPr>
      <w:rFonts w:ascii="Calibri" w:eastAsia="Calibri" w:hAnsi="Calibri" w:cs="Calibri"/>
      <w:color w:val="002060"/>
      <w:szCs w:val="20"/>
    </w:rPr>
  </w:style>
  <w:style w:type="paragraph" w:customStyle="1" w:styleId="a65">
    <w:name w:val="אייקון במבוא ממה"/>
    <w:basedOn w:val="Normal"/>
    <w:link w:val="a66"/>
    <w:qFormat/>
    <w:rsid w:val="009F04C6"/>
    <w:pPr>
      <w:pBdr>
        <w:bottom w:val="single" w:sz="8" w:space="1" w:color="F2F2F2"/>
      </w:pBdr>
      <w:spacing w:line="240" w:lineRule="auto"/>
      <w:jc w:val="center"/>
    </w:pPr>
    <w:rPr>
      <w:rFonts w:ascii="Calibri" w:eastAsia="Calibri" w:hAnsi="Calibri" w:cs="Calibri"/>
      <w:bCs/>
      <w:color w:val="002060"/>
      <w:sz w:val="24"/>
      <w:szCs w:val="20"/>
    </w:rPr>
  </w:style>
  <w:style w:type="character" w:customStyle="1" w:styleId="a66">
    <w:name w:val="אייקון במבוא ממה תו"/>
    <w:basedOn w:val="DefaultParagraphFont"/>
    <w:link w:val="a65"/>
    <w:rsid w:val="009F04C6"/>
    <w:rPr>
      <w:rFonts w:ascii="Calibri" w:eastAsia="Calibri" w:hAnsi="Calibri" w:cs="Calibri"/>
      <w:bCs/>
      <w:color w:val="002060"/>
      <w:sz w:val="24"/>
      <w:szCs w:val="20"/>
    </w:rPr>
  </w:style>
  <w:style w:type="paragraph" w:customStyle="1" w:styleId="754">
    <w:name w:val="75א מספור הערות שוליים"/>
    <w:basedOn w:val="732"/>
    <w:qFormat/>
    <w:rsid w:val="007F4A1C"/>
  </w:style>
  <w:style w:type="paragraph" w:customStyle="1" w:styleId="759">
    <w:name w:val="75א טקסט רץ 9"/>
    <w:basedOn w:val="a16"/>
    <w:link w:val="759Char"/>
    <w:qFormat/>
    <w:rsid w:val="007F4A1C"/>
    <w:rPr>
      <w:color w:val="0D0D0D" w:themeColor="text1" w:themeTint="F2"/>
      <w:sz w:val="18"/>
    </w:rPr>
  </w:style>
  <w:style w:type="character" w:customStyle="1" w:styleId="759Char">
    <w:name w:val="75א טקסט רץ 9 Char"/>
    <w:basedOn w:val="Char6"/>
    <w:link w:val="759"/>
    <w:rsid w:val="007F4A1C"/>
    <w:rPr>
      <w:rFonts w:ascii="Tahoma" w:hAnsi="Tahoma" w:cs="Tahoma"/>
      <w:color w:val="0D0D0D" w:themeColor="text1" w:themeTint="F2"/>
      <w:sz w:val="18"/>
      <w:szCs w:val="18"/>
    </w:rPr>
  </w:style>
  <w:style w:type="paragraph" w:customStyle="1" w:styleId="752024">
    <w:name w:val="75א כיתוב בתוך טבלת תקציר 2024"/>
    <w:basedOn w:val="20210"/>
    <w:link w:val="752024Char"/>
    <w:qFormat/>
    <w:rsid w:val="00A541A4"/>
  </w:style>
  <w:style w:type="character" w:customStyle="1" w:styleId="752024Char">
    <w:name w:val="75א כיתוב בתוך טבלת תקציר 2024 Char"/>
    <w:basedOn w:val="2021Char0"/>
    <w:link w:val="752024"/>
    <w:rsid w:val="00A541A4"/>
    <w:rPr>
      <w:rFonts w:ascii="Tahoma" w:hAnsi="Tahoma" w:eastAsiaTheme="minorEastAsia" w:cs="Tahoma"/>
      <w:color w:val="0D0D0D" w:themeColor="text1" w:themeTint="F2"/>
      <w:w w:val="90"/>
      <w:sz w:val="18"/>
      <w:szCs w:val="18"/>
    </w:rPr>
  </w:style>
  <w:style w:type="paragraph" w:customStyle="1" w:styleId="755">
    <w:name w:val="75א הזחה שנייה עם בולטס"/>
    <w:basedOn w:val="737"/>
    <w:qFormat/>
    <w:rsid w:val="00913C83"/>
    <w:pPr>
      <w:numPr>
        <w:numId w:val="31"/>
      </w:numPr>
      <w:ind w:left="754" w:hanging="357"/>
    </w:pPr>
  </w:style>
  <w:style w:type="paragraph" w:customStyle="1" w:styleId="756">
    <w:name w:val="75א הזחה ראשונה ללא מספר"/>
    <w:basedOn w:val="737"/>
    <w:qFormat/>
    <w:rsid w:val="00487083"/>
    <w:pPr>
      <w:ind w:left="397"/>
    </w:pPr>
  </w:style>
  <w:style w:type="paragraph" w:customStyle="1" w:styleId="714">
    <w:name w:val="71ג הזחה ראשונה ללא מספר"/>
    <w:basedOn w:val="Normal"/>
    <w:qFormat/>
    <w:rsid w:val="00487083"/>
    <w:pPr>
      <w:spacing w:after="180" w:line="260" w:lineRule="exact"/>
      <w:ind w:left="397"/>
    </w:pPr>
    <w:rPr>
      <w:rFonts w:ascii="Tahoma" w:hAnsi="Tahoma" w:cs="Tahoma"/>
      <w:color w:val="0D0D0D" w:themeColor="text1" w:themeTint="F2"/>
      <w:sz w:val="18"/>
      <w:szCs w:val="18"/>
    </w:rPr>
  </w:style>
  <w:style w:type="paragraph" w:customStyle="1" w:styleId="75R">
    <w:name w:val="75א  טבלה טקסט R"/>
    <w:basedOn w:val="Normal"/>
    <w:qFormat/>
    <w:rsid w:val="00BA7B4B"/>
    <w:pPr>
      <w:spacing w:before="120" w:after="120" w:line="240" w:lineRule="exact"/>
      <w:jc w:val="left"/>
    </w:pPr>
    <w:rPr>
      <w:rFonts w:ascii="Tahoma" w:hAnsi="Tahoma" w:eastAsiaTheme="minorEastAsia" w:cs="Tahoma"/>
      <w:color w:val="000000" w:themeColor="text1"/>
      <w:sz w:val="16"/>
      <w:szCs w:val="16"/>
    </w:rPr>
  </w:style>
  <w:style w:type="paragraph" w:customStyle="1" w:styleId="757">
    <w:name w:val="75א סיכום"/>
    <w:basedOn w:val="75"/>
    <w:qFormat/>
    <w:rsid w:val="001D6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header" Target="header3.xml" /><Relationship Id="rId16" Type="http://schemas.openxmlformats.org/officeDocument/2006/relationships/image" Target="media/image5.jpeg" /><Relationship Id="rId17" Type="http://schemas.openxmlformats.org/officeDocument/2006/relationships/header" Target="header4.xml" /><Relationship Id="rId18" Type="http://schemas.openxmlformats.org/officeDocument/2006/relationships/footer" Target="footer2.xml" /><Relationship Id="rId19" Type="http://schemas.openxmlformats.org/officeDocument/2006/relationships/image" Target="media/image6.jpeg" /><Relationship Id="rId2" Type="http://schemas.openxmlformats.org/officeDocument/2006/relationships/endnotes" Target="endnotes.xml" /><Relationship Id="rId20" Type="http://schemas.openxmlformats.org/officeDocument/2006/relationships/image" Target="media/image7.jpeg" /><Relationship Id="rId21" Type="http://schemas.openxmlformats.org/officeDocument/2006/relationships/image" Target="media/image8.jpeg" /><Relationship Id="rId22" Type="http://schemas.openxmlformats.org/officeDocument/2006/relationships/image" Target="media/image9.jpeg" /><Relationship Id="rId23" Type="http://schemas.openxmlformats.org/officeDocument/2006/relationships/image" Target="media/image10.jpeg" /><Relationship Id="rId24" Type="http://schemas.openxmlformats.org/officeDocument/2006/relationships/image" Target="media/image11.jpeg" /><Relationship Id="rId25" Type="http://schemas.openxmlformats.org/officeDocument/2006/relationships/image" Target="media/image12.jpeg" /><Relationship Id="rId26" Type="http://schemas.openxmlformats.org/officeDocument/2006/relationships/image" Target="media/image13.jpeg" /><Relationship Id="rId27" Type="http://schemas.openxmlformats.org/officeDocument/2006/relationships/header" Target="header5.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settings" Target="settings.xml" /><Relationship Id="rId30"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4.jpeg" /></Relationships>
</file>

<file path=word/_rels/header3.xml.rels><?xml version="1.0" encoding="utf-8" standalone="yes"?><Relationships xmlns="http://schemas.openxmlformats.org/package/2006/relationships"><Relationship Id="rId1" Type="http://schemas.openxmlformats.org/officeDocument/2006/relationships/image" Target="media/image3.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4.jpeg" /></Relationships>
</file>

<file path=word/theme/_rels/theme1.xml.rels><?xml version="1.0" encoding="utf-8" standalone="yes"?><Relationships xmlns="http://schemas.openxmlformats.org/package/2006/relationships"><Relationship Id="rId1" Type="http://schemas.openxmlformats.org/officeDocument/2006/relationships/image" Target="../media/image14.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1BCB5C-4941-496E-9A8E-88C5F79007C9}">
  <ds:schemaRefs>
    <ds:schemaRef ds:uri="http://schemas.openxmlformats.org/officeDocument/2006/bibliography"/>
  </ds:schemaRefs>
</ds:datastoreItem>
</file>

<file path=customXml/itemProps2.xml><?xml version="1.0" encoding="utf-8"?>
<ds:datastoreItem xmlns:ds="http://schemas.openxmlformats.org/officeDocument/2006/customXml" ds:itemID="{D41C105D-181D-4CAE-8ECC-5A547B9FEE0D}"/>
</file>

<file path=customXml/itemProps3.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4.xml><?xml version="1.0" encoding="utf-8"?>
<ds:datastoreItem xmlns:ds="http://schemas.openxmlformats.org/officeDocument/2006/customXml" ds:itemID="{F7603606-5E1C-4A20-A662-7530344C0C79}">
  <ds:schemaRefs>
    <ds:schemaRef ds:uri="http://purl.org/dc/terms/"/>
    <ds:schemaRef ds:uri="http://purl.org/dc/elements/1.1/"/>
    <ds:schemaRef ds:uri="http://schemas.microsoft.com/office/2006/metadata/properties"/>
    <ds:schemaRef ds:uri="http://schemas.microsoft.com/office/2006/documentManagement/types"/>
    <ds:schemaRef ds:uri="http://schemas.microsoft.com/sharepoint/v3"/>
    <ds:schemaRef ds:uri="http://purl.org/dc/dcmitype/"/>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2405</Words>
  <Characters>13715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שושנה שחר שחר</cp:lastModifiedBy>
  <cp:revision>3</cp:revision>
  <cp:lastPrinted>2024-07-10T14:12:00Z</cp:lastPrinted>
  <dcterms:created xsi:type="dcterms:W3CDTF">2024-07-10T06:25:00Z</dcterms:created>
  <dcterms:modified xsi:type="dcterms:W3CDTF">2024-07-10T14:12:00Z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