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77BCECBB" w14:textId="1A8747AC">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1312"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2336" fillcolor="#00305f" strokecolor="#00305f" strokeweight="1.25pt"/>
            </w:pict>
          </mc:Fallback>
        </mc:AlternateContent>
      </w:r>
      <w:r w:rsidR="003C32FE">
        <w:rPr>
          <w:rFonts w:hint="cs"/>
          <w:noProof/>
          <w:rtl/>
          <w:lang w:val="he-IL"/>
        </w:rPr>
        <w:drawing>
          <wp:anchor distT="0" distB="0" distL="114300" distR="114300" simplePos="0" relativeHeight="251665408"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D2BB18" w14:textId="166D76D5">
      <w:pPr>
        <w:rPr>
          <w:rtl/>
        </w:rPr>
      </w:pPr>
      <w:bookmarkStart w:id="0" w:name="_Hlk63775048"/>
      <w:bookmarkEnd w:id="0"/>
    </w:p>
    <w:p w:rsidR="008B2E28" w:rsidP="008D2388" w14:paraId="2060569F" w14:textId="6A8994D5">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264"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0288" from="564.25pt,22.15pt" to="564.25pt,198.2pt" strokecolor="white" strokeweight="3.5pt"/>
            </w:pict>
          </mc:Fallback>
        </mc:AlternateContent>
      </w:r>
    </w:p>
    <w:p w:rsidR="008B2E28" w:rsidP="008D2388" w14:paraId="2AE7CF81" w14:textId="0B365266">
      <w:pPr>
        <w:spacing w:line="240" w:lineRule="atLeast"/>
        <w:jc w:val="center"/>
        <w:rPr>
          <w:rFonts w:ascii="Tahoma" w:hAnsi="Tahoma" w:cs="Tahoma"/>
          <w:sz w:val="22"/>
          <w:szCs w:val="22"/>
          <w:rtl/>
        </w:rPr>
      </w:pPr>
    </w:p>
    <w:p w:rsidR="008B2E28" w:rsidP="008D2388" w14:paraId="1A10551E" w14:textId="4388ACD8">
      <w:pPr>
        <w:spacing w:line="240" w:lineRule="atLeast"/>
        <w:jc w:val="center"/>
        <w:rPr>
          <w:rFonts w:ascii="Tahoma" w:hAnsi="Tahoma" w:cs="Tahoma"/>
          <w:sz w:val="22"/>
          <w:szCs w:val="22"/>
          <w:rtl/>
        </w:rPr>
      </w:pPr>
    </w:p>
    <w:p w:rsidR="003C32FE" w:rsidRPr="00170230" w:rsidP="003C32FE" w14:paraId="7F9E1DC9" w14:textId="7B907BB6">
      <w:pPr>
        <w:spacing w:line="240" w:lineRule="atLeast"/>
        <w:jc w:val="center"/>
        <w:rPr>
          <w:rFonts w:ascii="Tahoma" w:hAnsi="Tahoma" w:cs="Tahoma"/>
          <w:szCs w:val="18"/>
          <w:rtl/>
        </w:rPr>
      </w:pPr>
    </w:p>
    <w:p w:rsidR="003C32FE" w:rsidP="003C32FE" w14:paraId="6FE9A991" w14:textId="329F7613">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-589915</wp:posOffset>
                </wp:positionH>
                <wp:positionV relativeFrom="paragraph">
                  <wp:posOffset>332105</wp:posOffset>
                </wp:positionV>
                <wp:extent cx="5050790" cy="4273550"/>
                <wp:effectExtent l="0" t="0" r="0" b="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5079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70CF" w:rsidRPr="0052031E" w:rsidP="001370CF" w14:textId="7BBF0068">
                            <w:pPr>
                              <w:pStyle w:val="a26"/>
                              <w:bidi/>
                              <w:rPr>
                                <w:rtl/>
                              </w:rPr>
                            </w:pPr>
                            <w:r>
                              <w:rPr>
                                <w:rFonts w:hint="cs"/>
                                <w:rtl/>
                              </w:rPr>
                              <w:t>מבקר המדינה |</w:t>
                            </w:r>
                            <w:r w:rsidR="009F79F8">
                              <w:t xml:space="preserve"> </w:t>
                            </w:r>
                            <w:r>
                              <w:rPr>
                                <w:rFonts w:hint="cs"/>
                                <w:rtl/>
                              </w:rPr>
                              <w:t xml:space="preserve">דוח </w:t>
                            </w:r>
                            <w:r w:rsidR="00737560">
                              <w:rPr>
                                <w:rFonts w:hint="cs"/>
                                <w:rtl/>
                              </w:rPr>
                              <w:t>על הביקורת ב</w:t>
                            </w:r>
                            <w:r w:rsidR="0009149F">
                              <w:rPr>
                                <w:rFonts w:hint="cs"/>
                                <w:rtl/>
                              </w:rPr>
                              <w:t xml:space="preserve">שלטון </w:t>
                            </w:r>
                            <w:r w:rsidR="00737560">
                              <w:rPr>
                                <w:rFonts w:hint="cs"/>
                                <w:rtl/>
                              </w:rPr>
                              <w:t>ה</w:t>
                            </w:r>
                            <w:r w:rsidR="0009149F">
                              <w:rPr>
                                <w:rFonts w:hint="cs"/>
                                <w:rtl/>
                              </w:rPr>
                              <w:t>מקומי</w:t>
                            </w:r>
                            <w:r>
                              <w:rPr>
                                <w:rFonts w:hint="cs"/>
                                <w:rtl/>
                              </w:rPr>
                              <w:t xml:space="preserve"> </w:t>
                            </w:r>
                            <w:r w:rsidRPr="0052031E">
                              <w:rPr>
                                <w:rtl/>
                              </w:rPr>
                              <w:t>|</w:t>
                            </w:r>
                            <w:r>
                              <w:rPr>
                                <w:rFonts w:hint="cs"/>
                                <w:rtl/>
                              </w:rPr>
                              <w:t xml:space="preserve"> </w:t>
                            </w:r>
                            <w:r w:rsidRPr="00AF3B73">
                              <w:rPr>
                                <w:rtl/>
                              </w:rPr>
                              <w:t>התשפ"ד</w:t>
                            </w:r>
                            <w:r>
                              <w:rPr>
                                <w:rFonts w:hint="cs"/>
                                <w:rtl/>
                              </w:rPr>
                              <w:t>-</w:t>
                            </w:r>
                            <w:r>
                              <w:rPr>
                                <w:rFonts w:hint="cs"/>
                                <w:rtl/>
                              </w:rPr>
                              <w:t>2024</w:t>
                            </w:r>
                          </w:p>
                          <w:p w:rsidR="008A71D4" w:rsidRPr="0052031E" w:rsidP="008A71D4" w14:textId="0C20DA9A">
                            <w:pPr>
                              <w:pStyle w:val="a26"/>
                              <w:bidi/>
                              <w:rPr>
                                <w:rtl/>
                              </w:rPr>
                            </w:pPr>
                          </w:p>
                          <w:p w:rsidR="00F73EE0" w:rsidP="0052031E" w14:textId="77777777">
                            <w:pPr>
                              <w:ind w:left="2268"/>
                              <w:rPr>
                                <w:rtl/>
                              </w:rPr>
                            </w:pPr>
                          </w:p>
                          <w:p w:rsidR="005D0F8C" w:rsidRPr="000A3ED4" w:rsidP="000F5023" w14:textId="021AF8AC">
                            <w:pPr>
                              <w:pStyle w:val="-1"/>
                              <w:rPr>
                                <w:rtl/>
                              </w:rPr>
                            </w:pPr>
                            <w:r>
                              <w:rPr>
                                <w:rFonts w:hint="cs"/>
                                <w:rtl/>
                              </w:rPr>
                              <w:t>ביקורת מעקב</w:t>
                            </w:r>
                          </w:p>
                          <w:p w:rsidR="00F73EE0" w:rsidRPr="000F5023" w:rsidP="0072357A" w14:textId="41E2060F">
                            <w:pPr>
                              <w:pStyle w:val="a25"/>
                              <w:bidi/>
                              <w:spacing w:before="120"/>
                              <w:rPr>
                                <w:rtl/>
                              </w:rPr>
                            </w:pPr>
                            <w:r>
                              <w:rPr>
                                <w:rFonts w:hint="cs"/>
                                <w:rtl/>
                              </w:rPr>
                              <w:t>התמודדותן של רשויות השלטון עם תהליכי הרס המצוק החופי - ביקורת מעקב</w:t>
                            </w:r>
                            <w:r w:rsidR="00C24294">
                              <w:rPr>
                                <w:rFonts w:hint="cs"/>
                                <w:rtl/>
                              </w:rPr>
                              <w:t xml:space="preserve"> </w:t>
                            </w:r>
                          </w:p>
                          <w:p w:rsidR="00C30482" w:rsidRPr="000F5023" w:rsidP="000F5023" w14:textId="66C24F23">
                            <w:pPr>
                              <w:pStyle w:val="a2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quot;&quot;" style="width:397.7pt;height:336.5pt;margin-top:26.15pt;margin-left:-46.45pt;mso-height-percent:0;mso-height-relative:margin;mso-width-percent:0;mso-width-relative:margin;mso-wrap-distance-bottom:3.6pt;mso-wrap-distance-left:9pt;mso-wrap-distance-right:9pt;mso-wrap-distance-top:3.6pt;mso-wrap-style:square;position:absolute;visibility:visible;v-text-anchor:top;z-index:251664384" fillcolor="#00305f" stroked="f">
                <v:textbox>
                  <w:txbxContent>
                    <w:p w:rsidR="00F73EE0" w:rsidP="0052031E" w14:paraId="1BD45611" w14:textId="77777777">
                      <w:pPr>
                        <w:ind w:left="2268"/>
                        <w:rPr>
                          <w:rFonts w:ascii="Tahoma" w:hAnsi="Tahoma" w:cs="Tahoma"/>
                          <w:sz w:val="18"/>
                          <w:szCs w:val="18"/>
                          <w:rtl/>
                        </w:rPr>
                      </w:pPr>
                    </w:p>
                    <w:p w:rsidR="00F73EE0" w:rsidP="0052031E" w14:paraId="3BF6855F" w14:textId="77777777">
                      <w:pPr>
                        <w:ind w:left="2268"/>
                        <w:rPr>
                          <w:rFonts w:ascii="Tahoma" w:hAnsi="Tahoma" w:cs="Tahoma"/>
                          <w:sz w:val="18"/>
                          <w:szCs w:val="18"/>
                          <w:rtl/>
                        </w:rPr>
                      </w:pPr>
                    </w:p>
                    <w:p w:rsidR="001370CF" w:rsidRPr="0052031E" w:rsidP="001370CF" w14:paraId="636F0CD3" w14:textId="7BBF0068">
                      <w:pPr>
                        <w:pStyle w:val="a26"/>
                        <w:bidi/>
                        <w:rPr>
                          <w:rtl/>
                        </w:rPr>
                      </w:pPr>
                      <w:r>
                        <w:rPr>
                          <w:rFonts w:hint="cs"/>
                          <w:rtl/>
                        </w:rPr>
                        <w:t>מבקר המדינה |</w:t>
                      </w:r>
                      <w:r w:rsidR="009F79F8">
                        <w:t xml:space="preserve"> </w:t>
                      </w:r>
                      <w:r>
                        <w:rPr>
                          <w:rFonts w:hint="cs"/>
                          <w:rtl/>
                        </w:rPr>
                        <w:t xml:space="preserve">דוח </w:t>
                      </w:r>
                      <w:r w:rsidR="00737560">
                        <w:rPr>
                          <w:rFonts w:hint="cs"/>
                          <w:rtl/>
                        </w:rPr>
                        <w:t>על הביקורת ב</w:t>
                      </w:r>
                      <w:r w:rsidR="0009149F">
                        <w:rPr>
                          <w:rFonts w:hint="cs"/>
                          <w:rtl/>
                        </w:rPr>
                        <w:t xml:space="preserve">שלטון </w:t>
                      </w:r>
                      <w:r w:rsidR="00737560">
                        <w:rPr>
                          <w:rFonts w:hint="cs"/>
                          <w:rtl/>
                        </w:rPr>
                        <w:t>ה</w:t>
                      </w:r>
                      <w:r w:rsidR="0009149F">
                        <w:rPr>
                          <w:rFonts w:hint="cs"/>
                          <w:rtl/>
                        </w:rPr>
                        <w:t>מקומי</w:t>
                      </w:r>
                      <w:r>
                        <w:rPr>
                          <w:rFonts w:hint="cs"/>
                          <w:rtl/>
                        </w:rPr>
                        <w:t xml:space="preserve"> </w:t>
                      </w:r>
                      <w:r w:rsidRPr="0052031E">
                        <w:rPr>
                          <w:rtl/>
                        </w:rPr>
                        <w:t>|</w:t>
                      </w:r>
                      <w:r>
                        <w:rPr>
                          <w:rFonts w:hint="cs"/>
                          <w:rtl/>
                        </w:rPr>
                        <w:t xml:space="preserve"> </w:t>
                      </w:r>
                      <w:r w:rsidRPr="00AF3B73">
                        <w:rPr>
                          <w:rtl/>
                        </w:rPr>
                        <w:t>התשפ"ד</w:t>
                      </w:r>
                      <w:r>
                        <w:rPr>
                          <w:rFonts w:hint="cs"/>
                          <w:rtl/>
                        </w:rPr>
                        <w:t>-</w:t>
                      </w:r>
                      <w:r>
                        <w:rPr>
                          <w:rFonts w:hint="cs"/>
                          <w:rtl/>
                        </w:rPr>
                        <w:t>2024</w:t>
                      </w:r>
                    </w:p>
                    <w:p w:rsidR="008A71D4" w:rsidRPr="0052031E" w:rsidP="008A71D4" w14:paraId="7B675404" w14:textId="0C20DA9A">
                      <w:pPr>
                        <w:pStyle w:val="a26"/>
                        <w:bidi/>
                        <w:rPr>
                          <w:rtl/>
                        </w:rPr>
                      </w:pPr>
                    </w:p>
                    <w:p w:rsidR="00F73EE0" w:rsidP="0052031E" w14:paraId="460F1ABC" w14:textId="77777777">
                      <w:pPr>
                        <w:ind w:left="2268"/>
                        <w:rPr>
                          <w:rtl/>
                        </w:rPr>
                      </w:pPr>
                    </w:p>
                    <w:p w:rsidR="005D0F8C" w:rsidRPr="000A3ED4" w:rsidP="000F5023" w14:paraId="547BD7F9" w14:textId="021AF8AC">
                      <w:pPr>
                        <w:pStyle w:val="-1"/>
                        <w:rPr>
                          <w:rtl/>
                        </w:rPr>
                      </w:pPr>
                      <w:r>
                        <w:rPr>
                          <w:rFonts w:hint="cs"/>
                          <w:rtl/>
                        </w:rPr>
                        <w:t>ביקורת מעקב</w:t>
                      </w:r>
                    </w:p>
                    <w:p w:rsidR="00F73EE0" w:rsidRPr="000F5023" w:rsidP="0072357A" w14:paraId="2E194D77" w14:textId="41E2060F">
                      <w:pPr>
                        <w:pStyle w:val="a25"/>
                        <w:bidi/>
                        <w:spacing w:before="120"/>
                        <w:rPr>
                          <w:rtl/>
                        </w:rPr>
                      </w:pPr>
                      <w:r>
                        <w:rPr>
                          <w:rFonts w:hint="cs"/>
                          <w:rtl/>
                        </w:rPr>
                        <w:t>התמודדותן של רשויות השלטון עם תהליכי הרס המצוק החופי - ביקורת מעקב</w:t>
                      </w:r>
                      <w:r w:rsidR="00C24294">
                        <w:rPr>
                          <w:rFonts w:hint="cs"/>
                          <w:rtl/>
                        </w:rPr>
                        <w:t xml:space="preserve"> </w:t>
                      </w:r>
                    </w:p>
                    <w:p w:rsidR="00C30482" w:rsidRPr="000F5023" w:rsidP="000F5023" w14:paraId="1BBD9830" w14:textId="66C24F23">
                      <w:pPr>
                        <w:pStyle w:val="a25"/>
                        <w:bidi/>
                        <w:rPr>
                          <w:rtl/>
                        </w:rPr>
                      </w:pPr>
                    </w:p>
                  </w:txbxContent>
                </v:textbox>
                <w10:wrap type="square"/>
              </v:shape>
            </w:pict>
          </mc:Fallback>
        </mc:AlternateContent>
      </w:r>
      <w:r w:rsidR="00F20671">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3047696</wp:posOffset>
                </wp:positionH>
                <wp:positionV relativeFrom="paragraph">
                  <wp:posOffset>260350</wp:posOffset>
                </wp:positionV>
                <wp:extent cx="0" cy="3577590"/>
                <wp:effectExtent l="19050" t="0" r="38100" b="419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7759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0pt,20.5pt" to="240pt,302.2pt" strokecolor="white" strokeweight="4pt"/>
            </w:pict>
          </mc:Fallback>
        </mc:AlternateContent>
      </w:r>
      <w:r w:rsidR="00BE28C9">
        <w:rPr>
          <w:noProof/>
        </w:rPr>
        <w:drawing>
          <wp:anchor distT="0" distB="0" distL="114300" distR="114300" simplePos="0" relativeHeight="251738112" behindDoc="0" locked="0" layoutInCell="1" allowOverlap="1">
            <wp:simplePos x="0" y="0"/>
            <wp:positionH relativeFrom="column">
              <wp:posOffset>3255645</wp:posOffset>
            </wp:positionH>
            <wp:positionV relativeFrom="paragraph">
              <wp:posOffset>475615</wp:posOffset>
            </wp:positionV>
            <wp:extent cx="948055" cy="617855"/>
            <wp:effectExtent l="0" t="0" r="4445"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948055" cy="617855"/>
                    </a:xfrm>
                    <a:prstGeom prst="rect">
                      <a:avLst/>
                    </a:prstGeom>
                  </pic:spPr>
                </pic:pic>
              </a:graphicData>
            </a:graphic>
            <wp14:sizeRelH relativeFrom="margin">
              <wp14:pctWidth>0</wp14:pctWidth>
            </wp14:sizeRelH>
            <wp14:sizeRelV relativeFrom="margin">
              <wp14:pctHeight>0</wp14:pctHeight>
            </wp14:sizeRelV>
          </wp:anchor>
        </w:drawing>
      </w:r>
      <w:r w:rsidR="0009149F">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-152069</wp:posOffset>
                </wp:positionH>
                <wp:positionV relativeFrom="paragraph">
                  <wp:posOffset>1851192</wp:posOffset>
                </wp:positionV>
                <wp:extent cx="3088530" cy="0"/>
                <wp:effectExtent l="0" t="0" r="0" b="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885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1.95pt,145.75pt" to="231.25pt,145.75pt" strokecolor="white" strokeweight="1.5pt"/>
            </w:pict>
          </mc:Fallback>
        </mc:AlternateContent>
      </w:r>
    </w:p>
    <w:p w:rsidR="003C32FE" w:rsidP="003C32FE" w14:paraId="721B2220" w14:textId="77777777">
      <w:pPr>
        <w:spacing w:line="240" w:lineRule="atLeast"/>
        <w:jc w:val="center"/>
        <w:rPr>
          <w:rFonts w:ascii="Tahoma" w:hAnsi="Tahoma" w:cs="Tahoma"/>
          <w:sz w:val="22"/>
          <w:szCs w:val="22"/>
          <w:rtl/>
        </w:rPr>
      </w:pPr>
    </w:p>
    <w:p w:rsidR="00E35DF9" w:rsidRPr="00406E80" w:rsidP="008D2388" w14:paraId="15F9089C" w14:textId="77777777">
      <w:pPr>
        <w:spacing w:line="240" w:lineRule="atLeast"/>
        <w:jc w:val="center"/>
        <w:rPr>
          <w:rFonts w:ascii="Tahoma" w:hAnsi="Tahoma" w:cs="Tahoma"/>
          <w:color w:val="C6D9F1"/>
          <w:sz w:val="22"/>
          <w:szCs w:val="22"/>
          <w:rtl/>
        </w:rPr>
      </w:pPr>
    </w:p>
    <w:p w:rsidR="008C0B8B" w:rsidP="008D2388" w14:paraId="0DCBFA34" w14:textId="77777777">
      <w:pPr>
        <w:spacing w:line="240" w:lineRule="atLeast"/>
        <w:jc w:val="center"/>
        <w:rPr>
          <w:rFonts w:ascii="Tahoma" w:hAnsi="Tahoma" w:cs="Tahoma"/>
          <w:sz w:val="22"/>
          <w:szCs w:val="22"/>
          <w:rtl/>
        </w:rPr>
      </w:pPr>
    </w:p>
    <w:p w:rsidR="008C0B8B" w:rsidP="008D2388" w14:paraId="654A52D6" w14:textId="77777777">
      <w:pPr>
        <w:spacing w:line="240" w:lineRule="atLeast"/>
        <w:jc w:val="center"/>
        <w:rPr>
          <w:rFonts w:ascii="Tahoma" w:hAnsi="Tahoma" w:cs="Tahoma"/>
          <w:sz w:val="22"/>
          <w:szCs w:val="22"/>
          <w:rtl/>
        </w:rPr>
      </w:pPr>
    </w:p>
    <w:p w:rsidR="00E35DF9" w:rsidP="008D2388" w14:paraId="6F58D38D" w14:textId="77777777">
      <w:pPr>
        <w:spacing w:line="240" w:lineRule="atLeast"/>
        <w:jc w:val="center"/>
        <w:rPr>
          <w:rFonts w:ascii="Tahoma" w:hAnsi="Tahoma" w:cs="Tahoma"/>
          <w:sz w:val="22"/>
          <w:szCs w:val="22"/>
          <w:rtl/>
        </w:rPr>
      </w:pPr>
    </w:p>
    <w:p w:rsidR="00035688" w:rsidP="008D2388" w14:paraId="3DB8B312" w14:textId="77777777">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pgSz w:w="11906" w:h="16838" w:code="9"/>
          <w:pgMar w:top="3062" w:right="2268" w:bottom="2552" w:left="2268" w:header="1134" w:footer="1361" w:gutter="0"/>
          <w:cols w:space="720"/>
          <w:titlePg/>
          <w:bidi/>
          <w:rtlGutter/>
          <w:docGrid w:linePitch="272"/>
        </w:sectPr>
      </w:pPr>
    </w:p>
    <w:p w:rsidR="00BF5BF6" w:rsidP="000E64A1" w14:paraId="71BA9446" w14:textId="77777777">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1DD7405C" w14:textId="77777777">
      <w:pPr>
        <w:jc w:val="left"/>
        <w:rPr>
          <w:rFonts w:ascii="Tahoma" w:hAnsi="Tahoma" w:cs="Tahoma"/>
          <w:sz w:val="22"/>
          <w:szCs w:val="22"/>
          <w:rtl/>
        </w:rPr>
        <w:sectPr w:rsidSect="00DA022A">
          <w:headerReference w:type="even" r:id="rId15"/>
          <w:pgSz w:w="11906" w:h="16838" w:code="9"/>
          <w:pgMar w:top="3062" w:right="2268" w:bottom="2552" w:left="2268" w:header="709" w:footer="709" w:gutter="0"/>
          <w:pgNumType w:start="2"/>
          <w:cols w:space="720"/>
          <w:bidi/>
          <w:rtlGutter/>
          <w:docGrid w:linePitch="272"/>
        </w:sectPr>
      </w:pPr>
    </w:p>
    <w:p w:rsidR="00B93C72" w:rsidP="00AF3B73" w14:paraId="65CCD7DF" w14:textId="34151FCC">
      <w:pPr>
        <w:pStyle w:val="752"/>
        <w:spacing w:after="1080"/>
        <w:rPr>
          <w:rtl/>
        </w:rPr>
      </w:pPr>
      <w:bookmarkStart w:id="1" w:name="_Hlk154557781"/>
      <w:r w:rsidRPr="00DD0802">
        <w:rPr>
          <w:noProof/>
          <w:rtl/>
        </w:rPr>
        <w:t>התמודדותן של רשויות השלטון עם תהליכי הרס המצוק החופי - ביקורת מעקב</w:t>
      </w:r>
      <w:r w:rsidRPr="00A513AD">
        <w:rPr>
          <w:noProof/>
          <w:rtl/>
        </w:rPr>
        <w:t xml:space="preserve"> </w:t>
      </w:r>
      <w:bookmarkEnd w:id="1"/>
      <w:r w:rsidR="00E817FE">
        <w:rPr>
          <w:rFonts w:hint="cs"/>
          <w:noProof/>
          <w:rtl/>
        </w:rPr>
        <w:t xml:space="preserve">    </w:t>
      </w:r>
      <w:r w:rsidRPr="00802F2E" w:rsidR="00235CF1">
        <w:rPr>
          <w:noProof/>
          <w:rtl/>
        </w:rPr>
        <w:drawing>
          <wp:anchor distT="0" distB="0" distL="114300" distR="114300" simplePos="0" relativeHeight="251679744" behindDoc="0" locked="0" layoutInCell="1" allowOverlap="1">
            <wp:simplePos x="0" y="0"/>
            <wp:positionH relativeFrom="column">
              <wp:posOffset>3332480</wp:posOffset>
            </wp:positionH>
            <wp:positionV relativeFrom="paragraph">
              <wp:posOffset>1304681</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582DA9" w:rsidR="00582DA9">
        <w:rPr>
          <w:noProof/>
          <w:rtl/>
        </w:rPr>
        <w:t xml:space="preserve"> </w:t>
      </w:r>
    </w:p>
    <w:p w:rsidR="007F4A1C" w:rsidP="00154FB8" w14:paraId="7BDDB83A" w14:textId="4D392ED9">
      <w:pPr>
        <w:pStyle w:val="759"/>
        <w:rPr>
          <w:rtl/>
        </w:rPr>
      </w:pPr>
      <w:r w:rsidRPr="00573514">
        <w:rPr>
          <w:rtl/>
        </w:rPr>
        <w:t xml:space="preserve">ישראל גובלת במערבה בים התיכון לאורך </w:t>
      </w:r>
      <w:bookmarkStart w:id="2" w:name="_Hlk152842031"/>
      <w:r w:rsidRPr="00573514">
        <w:rPr>
          <w:rtl/>
        </w:rPr>
        <w:t xml:space="preserve">כ-190 ק"מ, מהם כ-45 ק"מ ברצועת החוף שבין חדרה לאשקלון שבהם מצוק חופי בלתי יציב בגובה שבין 10 ל-45 מטר (מעל פני הים). </w:t>
      </w:r>
      <w:bookmarkEnd w:id="2"/>
      <w:r w:rsidRPr="00573514">
        <w:rPr>
          <w:rtl/>
        </w:rPr>
        <w:t xml:space="preserve">המצוק החופי בישראל זכה להכרה כמשאב ציבורי שחשיבותו ראשונה במעלה, ובשל כך הוא ראוי להגנה ולשמירה. כוחות הטבע ופעילות האדם גורמים להתמוטטות המצוק, ובכך עלולים </w:t>
      </w:r>
      <w:r w:rsidRPr="00154FB8">
        <w:rPr>
          <w:rtl/>
        </w:rPr>
        <w:t>לפגום</w:t>
      </w:r>
      <w:r w:rsidRPr="00573514">
        <w:rPr>
          <w:rtl/>
        </w:rPr>
        <w:t xml:space="preserve"> בערכיו ולפגוע בנכסים לאומיים, ציבוריים ופרטיים הנשענים עליו, ואף לסכן חיי אדם</w:t>
      </w:r>
      <w:r>
        <w:rPr>
          <w:rStyle w:val="FootnoteReference1"/>
          <w:sz w:val="19"/>
          <w:szCs w:val="19"/>
          <w:rtl/>
        </w:rPr>
        <w:footnoteReference w:id="2"/>
      </w:r>
      <w:r w:rsidRPr="00573514">
        <w:rPr>
          <w:rtl/>
        </w:rPr>
        <w:t>. הצורך לשמור ולהגן על המצוק החופי ולמנוע את הנזקים הצפויים מהתמוטטותו נדון והוכר על ידי רשויות השלטון עוד בשנת 2010. בשנים 2010 ו-2020 בדק מבקר המדינה את נושא הרס המצוק החופי בישראל</w:t>
      </w:r>
      <w:r>
        <w:rPr>
          <w:vertAlign w:val="superscript"/>
          <w:rtl/>
        </w:rPr>
        <w:footnoteReference w:id="3"/>
      </w:r>
      <w:r w:rsidRPr="00573514">
        <w:rPr>
          <w:rtl/>
        </w:rPr>
        <w:t>. ביקורת זו היא ביקורת מעקב על תיקון הליקויים המרכזיים שעלו בביקורת משנת 2020 (הדוח הקודם או הביקורת הקודמת).</w:t>
      </w:r>
    </w:p>
    <w:p w:rsidR="008F7C68" w:rsidP="007F4A1C" w14:paraId="7BF86940" w14:textId="44E02742">
      <w:pPr>
        <w:pStyle w:val="759"/>
        <w:rPr>
          <w:rtl/>
        </w:rPr>
      </w:pPr>
    </w:p>
    <w:p w:rsidR="001D1307" w:rsidRPr="00B0202C" w:rsidP="007F4A1C" w14:paraId="449D1F5F" w14:textId="716F057E">
      <w:pPr>
        <w:pStyle w:val="759"/>
        <w:rPr>
          <w:rtl/>
        </w:rPr>
      </w:pPr>
    </w:p>
    <w:p w:rsidR="007F4A20" w:rsidP="00C00585" w14:paraId="0E6CCD42" w14:textId="05A51796">
      <w:pPr>
        <w:pStyle w:val="7392"/>
        <w:rPr>
          <w:rtl/>
        </w:rPr>
      </w:pPr>
      <w:r w:rsidRPr="00F16A67">
        <w:rPr>
          <w:rtl/>
        </w:rPr>
        <w:t xml:space="preserve"> </w:t>
      </w:r>
    </w:p>
    <w:p w:rsidR="00042893" w:rsidP="00C00585" w14:paraId="3F36C8AD" w14:textId="348B547A">
      <w:pPr>
        <w:pStyle w:val="7392"/>
        <w:rPr>
          <w:rtl/>
        </w:rPr>
      </w:pPr>
    </w:p>
    <w:p w:rsidR="00042893" w:rsidP="00C00585" w14:paraId="05F2E01D" w14:textId="725A45BF">
      <w:pPr>
        <w:pStyle w:val="7392"/>
        <w:rPr>
          <w:rtl/>
        </w:rPr>
      </w:pPr>
    </w:p>
    <w:p w:rsidR="00042893" w:rsidP="00C00585" w14:paraId="11B410CD" w14:textId="267DBB0D">
      <w:pPr>
        <w:pStyle w:val="7392"/>
        <w:rPr>
          <w:rtl/>
        </w:rPr>
      </w:pPr>
    </w:p>
    <w:p w:rsidR="008930B4" w:rsidP="00C00585" w14:paraId="40E243E8" w14:textId="2CCA9776">
      <w:pPr>
        <w:pStyle w:val="7392"/>
        <w:rPr>
          <w:rtl/>
        </w:rPr>
      </w:pPr>
    </w:p>
    <w:p w:rsidR="008930B4" w:rsidP="00C00585" w14:paraId="08EF20EB" w14:textId="47EA29D1">
      <w:pPr>
        <w:pStyle w:val="7392"/>
        <w:rPr>
          <w:rtl/>
        </w:rPr>
      </w:pPr>
    </w:p>
    <w:p w:rsidR="008930B4" w:rsidP="00C00585" w14:paraId="2B452C0D" w14:textId="77777777">
      <w:pPr>
        <w:pStyle w:val="7392"/>
        <w:rPr>
          <w:rtl/>
        </w:rPr>
        <w:sectPr w:rsidSect="004862BA">
          <w:headerReference w:type="even" r:id="rId17"/>
          <w:footerReference w:type="even" r:id="rId18"/>
          <w:pgSz w:w="11906" w:h="16838" w:code="9"/>
          <w:pgMar w:top="3062" w:right="2268" w:bottom="2552" w:left="2268" w:header="1134" w:footer="1361" w:gutter="0"/>
          <w:pgNumType w:start="185"/>
          <w:cols w:space="708"/>
          <w:bidi/>
          <w:rtlGutter/>
          <w:docGrid w:linePitch="360"/>
        </w:sectPr>
      </w:pPr>
    </w:p>
    <w:p w:rsidR="005D0F8C" w:rsidP="007F4A20" w14:paraId="688B4C67" w14:textId="691D2561">
      <w:pPr>
        <w:pStyle w:val="7392"/>
        <w:spacing w:before="360"/>
        <w:rPr>
          <w:b/>
          <w:bCs/>
          <w:color w:val="00305F"/>
          <w:sz w:val="32"/>
          <w:szCs w:val="32"/>
          <w:rtl/>
        </w:rPr>
      </w:pPr>
      <w:r w:rsidRPr="001F3363">
        <w:rPr>
          <w:noProof/>
          <w:rtl/>
        </w:rPr>
        <w:drawing>
          <wp:anchor distT="0" distB="0" distL="114300" distR="114300" simplePos="0" relativeHeight="251674624"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570"/>
        <w:gridCol w:w="167"/>
        <w:gridCol w:w="1615"/>
        <w:gridCol w:w="217"/>
        <w:gridCol w:w="1654"/>
        <w:gridCol w:w="174"/>
        <w:gridCol w:w="1971"/>
      </w:tblGrid>
      <w:tr w14:paraId="7F3F42F8" w14:textId="77777777" w:rsidTr="002760DC">
        <w:tblPrEx>
          <w:tblW w:w="73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rPr>
          <w:trHeight w:val="1134"/>
        </w:trPr>
        <w:tc>
          <w:tcPr>
            <w:tcW w:w="1570" w:type="dxa"/>
            <w:tcBorders>
              <w:bottom w:val="single" w:sz="12" w:space="0" w:color="auto"/>
            </w:tcBorders>
            <w:vAlign w:val="bottom"/>
          </w:tcPr>
          <w:p w:rsidR="00903BD8" w:rsidRPr="00B56334" w:rsidP="00903BD8" w14:paraId="09775EFE" w14:textId="22EF31C0">
            <w:pPr>
              <w:spacing w:line="240" w:lineRule="auto"/>
              <w:jc w:val="left"/>
              <w:rPr>
                <w:rFonts w:ascii="Tahoma" w:hAnsi="Tahoma" w:cs="Tahoma"/>
                <w:b/>
                <w:bCs/>
                <w:sz w:val="34"/>
                <w:szCs w:val="34"/>
                <w:rtl/>
              </w:rPr>
            </w:pPr>
            <w:r w:rsidRPr="00903BD8">
              <w:rPr>
                <w:rFonts w:ascii="Tahoma" w:hAnsi="Tahoma" w:cs="Tahoma"/>
                <w:b/>
                <w:bCs/>
                <w:sz w:val="24"/>
                <w:rtl/>
              </w:rPr>
              <w:t>ב-</w:t>
            </w:r>
            <w:r w:rsidRPr="00903BD8">
              <w:rPr>
                <w:rFonts w:ascii="Tahoma" w:hAnsi="Tahoma" w:cs="Tahoma"/>
                <w:b/>
                <w:bCs/>
                <w:sz w:val="34"/>
                <w:szCs w:val="34"/>
                <w:rtl/>
              </w:rPr>
              <w:t xml:space="preserve">5 </w:t>
            </w:r>
            <w:r w:rsidRPr="00903BD8">
              <w:rPr>
                <w:rFonts w:ascii="Tahoma" w:hAnsi="Tahoma" w:cs="Tahoma"/>
                <w:b/>
                <w:bCs/>
                <w:sz w:val="24"/>
                <w:rtl/>
              </w:rPr>
              <w:t>מתוך</w:t>
            </w:r>
            <w:r w:rsidRPr="00903BD8">
              <w:rPr>
                <w:rFonts w:ascii="Tahoma" w:hAnsi="Tahoma" w:cs="Tahoma"/>
                <w:b/>
                <w:bCs/>
                <w:sz w:val="34"/>
                <w:szCs w:val="34"/>
                <w:rtl/>
              </w:rPr>
              <w:t xml:space="preserve"> 8 </w:t>
            </w:r>
            <w:r w:rsidRPr="00903BD8">
              <w:rPr>
                <w:rFonts w:ascii="Tahoma" w:hAnsi="Tahoma" w:cs="Tahoma"/>
                <w:b/>
                <w:bCs/>
                <w:sz w:val="24"/>
                <w:rtl/>
              </w:rPr>
              <w:t>רשויות מקומיות</w:t>
            </w:r>
            <w:r>
              <w:rPr>
                <w:rFonts w:ascii="Tahoma" w:hAnsi="Tahoma" w:cs="Tahoma"/>
                <w:b/>
                <w:bCs/>
                <w:sz w:val="24"/>
                <w:vertAlign w:val="superscript"/>
                <w:rtl/>
              </w:rPr>
              <w:footnoteReference w:id="4"/>
            </w:r>
          </w:p>
        </w:tc>
        <w:tc>
          <w:tcPr>
            <w:tcW w:w="167" w:type="dxa"/>
          </w:tcPr>
          <w:p w:rsidR="00903BD8" w:rsidRPr="0032587B" w:rsidP="00903BD8" w14:paraId="4383DD9C" w14:textId="5D861570">
            <w:pPr>
              <w:spacing w:line="240" w:lineRule="auto"/>
              <w:jc w:val="left"/>
              <w:rPr>
                <w:rFonts w:ascii="Tahoma" w:hAnsi="Tahoma" w:cs="Tahoma"/>
                <w:b/>
                <w:bCs/>
                <w:sz w:val="14"/>
                <w:szCs w:val="14"/>
                <w:rtl/>
              </w:rPr>
            </w:pPr>
          </w:p>
        </w:tc>
        <w:tc>
          <w:tcPr>
            <w:tcW w:w="1615" w:type="dxa"/>
            <w:tcBorders>
              <w:bottom w:val="single" w:sz="12" w:space="0" w:color="auto"/>
            </w:tcBorders>
            <w:vAlign w:val="bottom"/>
          </w:tcPr>
          <w:p w:rsidR="00903BD8" w:rsidRPr="00B56334" w:rsidP="00903BD8" w14:paraId="34D99160" w14:textId="76EEC446">
            <w:pPr>
              <w:spacing w:line="240" w:lineRule="auto"/>
              <w:jc w:val="left"/>
              <w:rPr>
                <w:rFonts w:ascii="Tahoma" w:hAnsi="Tahoma" w:cs="Tahoma"/>
                <w:b/>
                <w:bCs/>
                <w:sz w:val="34"/>
                <w:szCs w:val="34"/>
                <w:rtl/>
              </w:rPr>
            </w:pPr>
            <w:r w:rsidRPr="00903BD8">
              <w:rPr>
                <w:rFonts w:ascii="Tahoma" w:hAnsi="Tahoma" w:cs="Tahoma"/>
                <w:b/>
                <w:bCs/>
                <w:sz w:val="24"/>
                <w:rtl/>
              </w:rPr>
              <w:t>ב-</w:t>
            </w:r>
            <w:r w:rsidRPr="00903BD8">
              <w:rPr>
                <w:rFonts w:ascii="Tahoma" w:hAnsi="Tahoma" w:cs="Tahoma"/>
                <w:b/>
                <w:bCs/>
                <w:sz w:val="34"/>
                <w:szCs w:val="34"/>
                <w:rtl/>
              </w:rPr>
              <w:t xml:space="preserve">8 </w:t>
            </w:r>
            <w:r w:rsidRPr="00903BD8">
              <w:rPr>
                <w:rFonts w:ascii="Tahoma" w:hAnsi="Tahoma" w:cs="Tahoma"/>
                <w:b/>
                <w:bCs/>
                <w:sz w:val="24"/>
                <w:rtl/>
              </w:rPr>
              <w:t>מתוך</w:t>
            </w:r>
            <w:r w:rsidRPr="00903BD8">
              <w:rPr>
                <w:rFonts w:ascii="Tahoma" w:hAnsi="Tahoma" w:cs="Tahoma"/>
                <w:b/>
                <w:bCs/>
                <w:sz w:val="34"/>
                <w:szCs w:val="34"/>
                <w:rtl/>
              </w:rPr>
              <w:t xml:space="preserve"> 13 </w:t>
            </w:r>
            <w:r w:rsidRPr="00903BD8">
              <w:rPr>
                <w:rFonts w:ascii="Tahoma" w:hAnsi="Tahoma" w:cs="Tahoma"/>
                <w:b/>
                <w:bCs/>
                <w:sz w:val="24"/>
                <w:rtl/>
              </w:rPr>
              <w:t>ק"מ</w:t>
            </w:r>
          </w:p>
        </w:tc>
        <w:tc>
          <w:tcPr>
            <w:tcW w:w="217" w:type="dxa"/>
          </w:tcPr>
          <w:p w:rsidR="00903BD8" w:rsidRPr="00B56334" w:rsidP="00903BD8" w14:paraId="19AAD257" w14:textId="77777777">
            <w:pPr>
              <w:spacing w:line="240" w:lineRule="auto"/>
              <w:jc w:val="left"/>
              <w:rPr>
                <w:rFonts w:ascii="Tahoma" w:hAnsi="Tahoma" w:cs="Tahoma"/>
                <w:b/>
                <w:bCs/>
                <w:sz w:val="34"/>
                <w:szCs w:val="34"/>
                <w:rtl/>
              </w:rPr>
            </w:pPr>
          </w:p>
        </w:tc>
        <w:tc>
          <w:tcPr>
            <w:tcW w:w="1654" w:type="dxa"/>
            <w:tcBorders>
              <w:bottom w:val="single" w:sz="12" w:space="0" w:color="auto"/>
            </w:tcBorders>
            <w:vAlign w:val="bottom"/>
          </w:tcPr>
          <w:p w:rsidR="00903BD8" w:rsidRPr="00B56334" w:rsidP="00903BD8" w14:paraId="49540B80" w14:textId="01CC961E">
            <w:pPr>
              <w:spacing w:line="240" w:lineRule="auto"/>
              <w:jc w:val="left"/>
              <w:rPr>
                <w:rFonts w:ascii="Tahoma" w:hAnsi="Tahoma" w:cs="Tahoma"/>
                <w:b/>
                <w:bCs/>
                <w:sz w:val="34"/>
                <w:szCs w:val="34"/>
                <w:rtl/>
              </w:rPr>
            </w:pPr>
            <w:r w:rsidRPr="00903BD8">
              <w:rPr>
                <w:rFonts w:ascii="Tahoma" w:hAnsi="Tahoma" w:cs="Tahoma"/>
                <w:b/>
                <w:bCs/>
                <w:sz w:val="24"/>
                <w:rtl/>
              </w:rPr>
              <w:t>ב-</w:t>
            </w:r>
            <w:r w:rsidRPr="00903BD8">
              <w:rPr>
                <w:rFonts w:ascii="Tahoma" w:hAnsi="Tahoma" w:cs="Tahoma"/>
                <w:b/>
                <w:bCs/>
                <w:sz w:val="34"/>
                <w:szCs w:val="34"/>
                <w:rtl/>
              </w:rPr>
              <w:t xml:space="preserve">14 </w:t>
            </w:r>
            <w:r w:rsidRPr="00903BD8">
              <w:rPr>
                <w:rFonts w:ascii="Tahoma" w:hAnsi="Tahoma" w:cs="Tahoma"/>
                <w:b/>
                <w:bCs/>
                <w:sz w:val="24"/>
                <w:rtl/>
              </w:rPr>
              <w:t>מתוך</w:t>
            </w:r>
            <w:r w:rsidRPr="00903BD8">
              <w:rPr>
                <w:rFonts w:ascii="Tahoma" w:hAnsi="Tahoma" w:cs="Tahoma"/>
                <w:b/>
                <w:bCs/>
                <w:sz w:val="34"/>
                <w:szCs w:val="34"/>
                <w:rtl/>
              </w:rPr>
              <w:t xml:space="preserve"> 27 </w:t>
            </w:r>
            <w:r w:rsidRPr="00903BD8">
              <w:rPr>
                <w:rFonts w:ascii="Tahoma" w:hAnsi="Tahoma" w:cs="Tahoma"/>
                <w:b/>
                <w:bCs/>
                <w:sz w:val="24"/>
                <w:rtl/>
              </w:rPr>
              <w:t>תאי שטח</w:t>
            </w:r>
            <w:r>
              <w:rPr>
                <w:rFonts w:ascii="Tahoma" w:hAnsi="Tahoma" w:cs="Tahoma"/>
                <w:b/>
                <w:bCs/>
                <w:sz w:val="24"/>
                <w:vertAlign w:val="superscript"/>
                <w:rtl/>
              </w:rPr>
              <w:footnoteReference w:id="5"/>
            </w:r>
            <w:r w:rsidRPr="00903BD8">
              <w:rPr>
                <w:rFonts w:ascii="Tahoma" w:hAnsi="Tahoma" w:cs="Tahoma"/>
                <w:b/>
                <w:bCs/>
                <w:sz w:val="34"/>
                <w:szCs w:val="34"/>
                <w:rtl/>
              </w:rPr>
              <w:t xml:space="preserve"> </w:t>
            </w:r>
          </w:p>
        </w:tc>
        <w:tc>
          <w:tcPr>
            <w:tcW w:w="174" w:type="dxa"/>
          </w:tcPr>
          <w:p w:rsidR="00903BD8" w:rsidRPr="00B56334" w:rsidP="00903BD8" w14:paraId="384A1AAC" w14:textId="77777777">
            <w:pPr>
              <w:spacing w:line="240" w:lineRule="auto"/>
              <w:jc w:val="left"/>
              <w:rPr>
                <w:rFonts w:ascii="Tahoma" w:hAnsi="Tahoma" w:cs="Tahoma"/>
                <w:b/>
                <w:bCs/>
                <w:sz w:val="34"/>
                <w:szCs w:val="34"/>
                <w:rtl/>
              </w:rPr>
            </w:pPr>
          </w:p>
        </w:tc>
        <w:tc>
          <w:tcPr>
            <w:tcW w:w="1971" w:type="dxa"/>
            <w:tcBorders>
              <w:bottom w:val="single" w:sz="12" w:space="0" w:color="auto"/>
            </w:tcBorders>
            <w:vAlign w:val="bottom"/>
          </w:tcPr>
          <w:p w:rsidR="00903BD8" w:rsidRPr="00903BD8" w:rsidP="00903BD8" w14:paraId="7BC6F73C" w14:textId="77777777">
            <w:pPr>
              <w:spacing w:line="240" w:lineRule="auto"/>
              <w:jc w:val="left"/>
              <w:rPr>
                <w:rFonts w:ascii="Tahoma" w:hAnsi="Tahoma" w:cs="Tahoma"/>
                <w:b/>
                <w:bCs/>
                <w:sz w:val="34"/>
                <w:szCs w:val="34"/>
                <w:rtl/>
              </w:rPr>
            </w:pPr>
            <w:r w:rsidRPr="00903BD8">
              <w:rPr>
                <w:rFonts w:ascii="Tahoma" w:hAnsi="Tahoma" w:cs="Tahoma"/>
                <w:b/>
                <w:bCs/>
                <w:sz w:val="34"/>
                <w:szCs w:val="34"/>
                <w:rtl/>
              </w:rPr>
              <w:t xml:space="preserve">670.5 </w:t>
            </w:r>
          </w:p>
          <w:p w:rsidR="00903BD8" w:rsidRPr="00903BD8" w:rsidP="00903BD8" w14:paraId="0DEE04EA" w14:textId="1B07BC86">
            <w:pPr>
              <w:spacing w:line="240" w:lineRule="auto"/>
              <w:jc w:val="left"/>
              <w:rPr>
                <w:rFonts w:ascii="Tahoma" w:hAnsi="Tahoma" w:cs="Tahoma"/>
                <w:b/>
                <w:bCs/>
                <w:sz w:val="24"/>
                <w:rtl/>
              </w:rPr>
            </w:pPr>
            <w:r w:rsidRPr="00903BD8">
              <w:rPr>
                <w:rFonts w:ascii="Tahoma" w:hAnsi="Tahoma" w:cs="Tahoma"/>
                <w:b/>
                <w:bCs/>
                <w:sz w:val="24"/>
                <w:rtl/>
              </w:rPr>
              <w:t>מיליון ש"ח</w:t>
            </w:r>
          </w:p>
        </w:tc>
      </w:tr>
      <w:tr w14:paraId="3B2A75EF" w14:textId="77777777" w:rsidTr="002760DC">
        <w:tblPrEx>
          <w:tblW w:w="7368" w:type="dxa"/>
          <w:tblInd w:w="-5" w:type="dxa"/>
          <w:tblCellMar>
            <w:left w:w="57" w:type="dxa"/>
            <w:right w:w="57" w:type="dxa"/>
          </w:tblCellMar>
          <w:tblLook w:val="04A0"/>
        </w:tblPrEx>
        <w:tc>
          <w:tcPr>
            <w:tcW w:w="1570" w:type="dxa"/>
            <w:tcBorders>
              <w:top w:val="single" w:sz="12" w:space="0" w:color="auto"/>
            </w:tcBorders>
          </w:tcPr>
          <w:p w:rsidR="00732BD8" w:rsidRPr="00732BD8" w:rsidP="00732BD8" w14:paraId="38F92C9D" w14:textId="3B1F412C">
            <w:pPr>
              <w:pStyle w:val="752024"/>
              <w:rPr>
                <w:rtl/>
              </w:rPr>
            </w:pPr>
            <w:r w:rsidRPr="00732BD8">
              <w:rPr>
                <w:rtl/>
              </w:rPr>
              <w:t>הוקמו הגנות יבשתיות או ימיות חלקיות ממועד הביקורת הקודמת ועד סיום ביקורת המעקב</w:t>
            </w:r>
          </w:p>
        </w:tc>
        <w:tc>
          <w:tcPr>
            <w:tcW w:w="167" w:type="dxa"/>
          </w:tcPr>
          <w:p w:rsidR="00732BD8" w:rsidP="00732BD8" w14:paraId="4A315B13" w14:textId="77777777">
            <w:pPr>
              <w:pStyle w:val="752024"/>
              <w:spacing w:after="0"/>
              <w:rPr>
                <w:rtl/>
              </w:rPr>
            </w:pPr>
          </w:p>
        </w:tc>
        <w:tc>
          <w:tcPr>
            <w:tcW w:w="1615" w:type="dxa"/>
            <w:tcBorders>
              <w:top w:val="single" w:sz="12" w:space="0" w:color="auto"/>
            </w:tcBorders>
          </w:tcPr>
          <w:p w:rsidR="00732BD8" w:rsidRPr="00732BD8" w:rsidP="00732BD8" w14:paraId="5CADEB5F" w14:textId="485A7BCB">
            <w:pPr>
              <w:pStyle w:val="752024"/>
              <w:rPr>
                <w:rtl/>
              </w:rPr>
            </w:pPr>
            <w:r w:rsidRPr="00732BD8">
              <w:rPr>
                <w:rtl/>
              </w:rPr>
              <w:t>של מקטעי מצוק לא הוקמו הגנות ימיות כלל, אף שנקבע שיש צורך בכך</w:t>
            </w:r>
          </w:p>
        </w:tc>
        <w:tc>
          <w:tcPr>
            <w:tcW w:w="217" w:type="dxa"/>
          </w:tcPr>
          <w:p w:rsidR="00732BD8" w:rsidP="00732BD8" w14:paraId="172B871D" w14:textId="77777777">
            <w:pPr>
              <w:pStyle w:val="752024"/>
              <w:spacing w:after="0"/>
              <w:rPr>
                <w:rtl/>
              </w:rPr>
            </w:pPr>
          </w:p>
        </w:tc>
        <w:tc>
          <w:tcPr>
            <w:tcW w:w="1654" w:type="dxa"/>
            <w:tcBorders>
              <w:top w:val="single" w:sz="12" w:space="0" w:color="auto"/>
            </w:tcBorders>
          </w:tcPr>
          <w:p w:rsidR="00732BD8" w:rsidRPr="00732BD8" w:rsidP="00732BD8" w14:paraId="03ED2AA1" w14:textId="18A506E9">
            <w:pPr>
              <w:pStyle w:val="752024"/>
              <w:rPr>
                <w:rtl/>
              </w:rPr>
            </w:pPr>
            <w:r w:rsidRPr="00732BD8">
              <w:rPr>
                <w:rtl/>
              </w:rPr>
              <w:t>לא בוצעו עבודות למיגון יבשתי על המצוק כלל, אף שנקבע שיש צורך בכך</w:t>
            </w:r>
          </w:p>
        </w:tc>
        <w:tc>
          <w:tcPr>
            <w:tcW w:w="174" w:type="dxa"/>
          </w:tcPr>
          <w:p w:rsidR="00732BD8" w:rsidP="00732BD8" w14:paraId="3C891690" w14:textId="77777777">
            <w:pPr>
              <w:pStyle w:val="752024"/>
              <w:spacing w:after="0"/>
              <w:jc w:val="center"/>
              <w:rPr>
                <w:rtl/>
              </w:rPr>
            </w:pPr>
          </w:p>
        </w:tc>
        <w:tc>
          <w:tcPr>
            <w:tcW w:w="1971" w:type="dxa"/>
            <w:tcBorders>
              <w:top w:val="single" w:sz="12" w:space="0" w:color="auto"/>
            </w:tcBorders>
          </w:tcPr>
          <w:p w:rsidR="00732BD8" w:rsidRPr="00732BD8" w:rsidP="00732BD8" w14:paraId="7233755D" w14:textId="6E81DB6A">
            <w:pPr>
              <w:pStyle w:val="752024"/>
              <w:rPr>
                <w:rtl/>
              </w:rPr>
            </w:pPr>
            <w:r w:rsidRPr="00732BD8">
              <w:rPr>
                <w:rtl/>
              </w:rPr>
              <w:t>אומדן משנת 2022 לעלות ההקמה של ההגנות היבשתיות הנדרשות. זאת לעומת 90 מיליון ש"ח שהקציבה המדינה בשלב א' למיגון היבשתי</w:t>
            </w:r>
          </w:p>
        </w:tc>
      </w:tr>
      <w:tr w14:paraId="1A9C8890" w14:textId="77777777" w:rsidTr="002760DC">
        <w:tblPrEx>
          <w:tblW w:w="7368" w:type="dxa"/>
          <w:tblInd w:w="-5" w:type="dxa"/>
          <w:tblCellMar>
            <w:left w:w="57" w:type="dxa"/>
            <w:right w:w="57" w:type="dxa"/>
          </w:tblCellMar>
          <w:tblLook w:val="04A0"/>
        </w:tblPrEx>
        <w:tc>
          <w:tcPr>
            <w:tcW w:w="1570" w:type="dxa"/>
            <w:tcBorders>
              <w:bottom w:val="single" w:sz="12" w:space="0" w:color="auto"/>
            </w:tcBorders>
            <w:vAlign w:val="bottom"/>
          </w:tcPr>
          <w:p w:rsidR="00732BD8" w:rsidRPr="00732BD8" w:rsidP="00732BD8" w14:paraId="3897CEBC" w14:textId="77777777">
            <w:pPr>
              <w:spacing w:line="240" w:lineRule="auto"/>
              <w:jc w:val="left"/>
              <w:rPr>
                <w:rFonts w:ascii="Tahoma" w:hAnsi="Tahoma" w:cs="Tahoma"/>
                <w:b/>
                <w:bCs/>
                <w:sz w:val="34"/>
                <w:szCs w:val="34"/>
                <w:rtl/>
              </w:rPr>
            </w:pPr>
            <w:r w:rsidRPr="00732BD8">
              <w:rPr>
                <w:rFonts w:ascii="Tahoma" w:hAnsi="Tahoma" w:cs="Tahoma"/>
                <w:b/>
                <w:bCs/>
                <w:sz w:val="34"/>
                <w:szCs w:val="34"/>
                <w:rtl/>
              </w:rPr>
              <w:t xml:space="preserve">300 </w:t>
            </w:r>
          </w:p>
          <w:p w:rsidR="00732BD8" w:rsidRPr="00732BD8" w:rsidP="00732BD8" w14:paraId="66FB231F" w14:textId="32E2CF8D">
            <w:pPr>
              <w:spacing w:line="240" w:lineRule="auto"/>
              <w:jc w:val="left"/>
              <w:rPr>
                <w:rFonts w:ascii="Tahoma" w:hAnsi="Tahoma" w:cs="Tahoma"/>
                <w:b/>
                <w:bCs/>
                <w:sz w:val="24"/>
                <w:rtl/>
              </w:rPr>
            </w:pPr>
            <w:r w:rsidRPr="00732BD8">
              <w:rPr>
                <w:rFonts w:ascii="Tahoma" w:hAnsi="Tahoma" w:cs="Tahoma"/>
                <w:b/>
                <w:bCs/>
                <w:sz w:val="24"/>
                <w:rtl/>
              </w:rPr>
              <w:t>מיליון ש"ח</w:t>
            </w:r>
          </w:p>
        </w:tc>
        <w:tc>
          <w:tcPr>
            <w:tcW w:w="167" w:type="dxa"/>
          </w:tcPr>
          <w:p w:rsidR="00732BD8" w:rsidRPr="008E52B9" w:rsidP="00732BD8" w14:paraId="4B7F392C" w14:textId="77777777">
            <w:pPr>
              <w:rPr>
                <w:spacing w:val="-20"/>
                <w:rtl/>
              </w:rPr>
            </w:pPr>
          </w:p>
        </w:tc>
        <w:tc>
          <w:tcPr>
            <w:tcW w:w="1615" w:type="dxa"/>
            <w:tcBorders>
              <w:bottom w:val="single" w:sz="12" w:space="0" w:color="auto"/>
            </w:tcBorders>
            <w:vAlign w:val="bottom"/>
          </w:tcPr>
          <w:p w:rsidR="00732BD8" w:rsidRPr="00732BD8" w:rsidP="00732BD8" w14:paraId="55BA7663" w14:textId="77777777">
            <w:pPr>
              <w:spacing w:line="240" w:lineRule="auto"/>
              <w:jc w:val="left"/>
              <w:rPr>
                <w:rFonts w:ascii="Tahoma" w:hAnsi="Tahoma" w:cs="Tahoma"/>
                <w:b/>
                <w:bCs/>
                <w:sz w:val="34"/>
                <w:szCs w:val="34"/>
                <w:rtl/>
              </w:rPr>
            </w:pPr>
            <w:r w:rsidRPr="00732BD8">
              <w:rPr>
                <w:rFonts w:ascii="Tahoma" w:hAnsi="Tahoma" w:cs="Tahoma"/>
                <w:b/>
                <w:bCs/>
                <w:sz w:val="34"/>
                <w:szCs w:val="34"/>
                <w:rtl/>
              </w:rPr>
              <w:t xml:space="preserve">360 </w:t>
            </w:r>
          </w:p>
          <w:p w:rsidR="00732BD8" w:rsidRPr="00732BD8" w:rsidP="00732BD8" w14:paraId="6AC12FD0" w14:textId="6D5C8B2E">
            <w:pPr>
              <w:spacing w:line="240" w:lineRule="auto"/>
              <w:jc w:val="left"/>
              <w:rPr>
                <w:rFonts w:ascii="Tahoma" w:hAnsi="Tahoma" w:cs="Tahoma"/>
                <w:b/>
                <w:bCs/>
                <w:sz w:val="24"/>
                <w:rtl/>
              </w:rPr>
            </w:pPr>
            <w:r w:rsidRPr="00732BD8">
              <w:rPr>
                <w:rFonts w:ascii="Tahoma" w:hAnsi="Tahoma" w:cs="Tahoma"/>
                <w:b/>
                <w:bCs/>
                <w:sz w:val="24"/>
                <w:rtl/>
              </w:rPr>
              <w:t>מיליון ש"ח</w:t>
            </w:r>
          </w:p>
        </w:tc>
        <w:tc>
          <w:tcPr>
            <w:tcW w:w="217" w:type="dxa"/>
          </w:tcPr>
          <w:p w:rsidR="00732BD8" w:rsidRPr="008E52B9" w:rsidP="00732BD8" w14:paraId="10542ECF" w14:textId="77777777">
            <w:pPr>
              <w:rPr>
                <w:spacing w:val="-20"/>
                <w:rtl/>
              </w:rPr>
            </w:pPr>
          </w:p>
        </w:tc>
        <w:tc>
          <w:tcPr>
            <w:tcW w:w="1654" w:type="dxa"/>
            <w:tcBorders>
              <w:bottom w:val="single" w:sz="12" w:space="0" w:color="auto"/>
            </w:tcBorders>
            <w:vAlign w:val="bottom"/>
          </w:tcPr>
          <w:p w:rsidR="00732BD8" w:rsidRPr="00732BD8" w:rsidP="00732BD8" w14:paraId="41F66E0E" w14:textId="0A9E360E">
            <w:pPr>
              <w:spacing w:line="240" w:lineRule="auto"/>
              <w:jc w:val="left"/>
              <w:rPr>
                <w:rFonts w:ascii="Tahoma" w:hAnsi="Tahoma" w:cs="Tahoma"/>
                <w:b/>
                <w:bCs/>
                <w:sz w:val="34"/>
                <w:szCs w:val="34"/>
                <w:rtl/>
              </w:rPr>
            </w:pPr>
            <w:r w:rsidRPr="00732BD8">
              <w:rPr>
                <w:rFonts w:ascii="Tahoma" w:hAnsi="Tahoma" w:cs="Tahoma"/>
                <w:b/>
                <w:bCs/>
                <w:sz w:val="34"/>
                <w:szCs w:val="34"/>
                <w:rtl/>
              </w:rPr>
              <w:t>35%</w:t>
            </w:r>
          </w:p>
        </w:tc>
        <w:tc>
          <w:tcPr>
            <w:tcW w:w="174" w:type="dxa"/>
          </w:tcPr>
          <w:p w:rsidR="00732BD8" w:rsidRPr="008E52B9" w:rsidP="00732BD8" w14:paraId="25E8DA3E" w14:textId="77777777">
            <w:pPr>
              <w:jc w:val="center"/>
              <w:rPr>
                <w:spacing w:val="-20"/>
                <w:rtl/>
              </w:rPr>
            </w:pPr>
          </w:p>
        </w:tc>
        <w:tc>
          <w:tcPr>
            <w:tcW w:w="1971" w:type="dxa"/>
            <w:tcBorders>
              <w:bottom w:val="single" w:sz="12" w:space="0" w:color="auto"/>
            </w:tcBorders>
            <w:vAlign w:val="bottom"/>
          </w:tcPr>
          <w:p w:rsidR="00732BD8" w:rsidRPr="00732BD8" w:rsidP="00732BD8" w14:paraId="2CBA77B6" w14:textId="77777777">
            <w:pPr>
              <w:spacing w:line="240" w:lineRule="auto"/>
              <w:jc w:val="left"/>
              <w:rPr>
                <w:rFonts w:ascii="Tahoma" w:hAnsi="Tahoma" w:cs="Tahoma"/>
                <w:b/>
                <w:bCs/>
                <w:sz w:val="24"/>
                <w:rtl/>
              </w:rPr>
            </w:pPr>
            <w:r w:rsidRPr="00732BD8">
              <w:rPr>
                <w:rFonts w:ascii="Tahoma" w:hAnsi="Tahoma" w:cs="Tahoma"/>
                <w:b/>
                <w:bCs/>
                <w:sz w:val="34"/>
                <w:szCs w:val="34"/>
                <w:rtl/>
              </w:rPr>
              <w:t>4</w:t>
            </w:r>
            <w:r w:rsidRPr="00732BD8">
              <w:rPr>
                <w:rFonts w:ascii="Tahoma" w:hAnsi="Tahoma" w:cs="Tahoma"/>
                <w:b/>
                <w:bCs/>
                <w:sz w:val="24"/>
                <w:rtl/>
              </w:rPr>
              <w:t xml:space="preserve"> מתוך </w:t>
            </w:r>
            <w:r w:rsidRPr="00732BD8">
              <w:rPr>
                <w:rFonts w:ascii="Tahoma" w:hAnsi="Tahoma" w:cs="Tahoma"/>
                <w:b/>
                <w:bCs/>
                <w:sz w:val="34"/>
                <w:szCs w:val="34"/>
                <w:rtl/>
              </w:rPr>
              <w:t xml:space="preserve">9 </w:t>
            </w:r>
          </w:p>
          <w:p w:rsidR="00732BD8" w:rsidRPr="00732BD8" w:rsidP="00732BD8" w14:paraId="09945564" w14:textId="088F56D7">
            <w:pPr>
              <w:spacing w:line="240" w:lineRule="auto"/>
              <w:jc w:val="left"/>
              <w:rPr>
                <w:rFonts w:ascii="Tahoma" w:hAnsi="Tahoma" w:cs="Tahoma"/>
                <w:b/>
                <w:bCs/>
                <w:sz w:val="24"/>
                <w:rtl/>
              </w:rPr>
            </w:pPr>
            <w:r w:rsidRPr="00732BD8">
              <w:rPr>
                <w:rFonts w:ascii="Tahoma" w:hAnsi="Tahoma" w:cs="Tahoma"/>
                <w:b/>
                <w:bCs/>
                <w:sz w:val="24"/>
                <w:rtl/>
              </w:rPr>
              <w:t>רשויות מקומיות</w:t>
            </w:r>
            <w:r>
              <w:rPr>
                <w:rFonts w:ascii="Tahoma" w:hAnsi="Tahoma" w:cs="Tahoma"/>
                <w:b/>
                <w:bCs/>
                <w:sz w:val="24"/>
                <w:vertAlign w:val="superscript"/>
              </w:rPr>
              <w:footnoteReference w:id="6"/>
            </w:r>
          </w:p>
        </w:tc>
      </w:tr>
      <w:tr w14:paraId="0FE605DF" w14:textId="77777777" w:rsidTr="002760DC">
        <w:tblPrEx>
          <w:tblW w:w="7368" w:type="dxa"/>
          <w:tblInd w:w="-5" w:type="dxa"/>
          <w:tblCellMar>
            <w:left w:w="57" w:type="dxa"/>
            <w:right w:w="57" w:type="dxa"/>
          </w:tblCellMar>
          <w:tblLook w:val="04A0"/>
        </w:tblPrEx>
        <w:tc>
          <w:tcPr>
            <w:tcW w:w="1570" w:type="dxa"/>
            <w:tcBorders>
              <w:top w:val="single" w:sz="12" w:space="0" w:color="auto"/>
            </w:tcBorders>
          </w:tcPr>
          <w:p w:rsidR="00732BD8" w:rsidRPr="00732BD8" w:rsidP="001F0511" w14:paraId="022FCEBD" w14:textId="6B70E50F">
            <w:pPr>
              <w:pStyle w:val="752024"/>
              <w:spacing w:after="0"/>
              <w:rPr>
                <w:rtl/>
              </w:rPr>
            </w:pPr>
            <w:r w:rsidRPr="00732BD8">
              <w:rPr>
                <w:rtl/>
              </w:rPr>
              <w:t>אומדן משנת 2022 של עלויות התחזוקה של כל ההגנות היבשתיות לעשר שנים</w:t>
            </w:r>
          </w:p>
        </w:tc>
        <w:tc>
          <w:tcPr>
            <w:tcW w:w="167" w:type="dxa"/>
          </w:tcPr>
          <w:p w:rsidR="00732BD8" w:rsidP="001F0511" w14:paraId="7F1AD4A4" w14:textId="77777777">
            <w:pPr>
              <w:pStyle w:val="752024"/>
              <w:spacing w:after="0"/>
              <w:rPr>
                <w:rtl/>
              </w:rPr>
            </w:pPr>
          </w:p>
        </w:tc>
        <w:tc>
          <w:tcPr>
            <w:tcW w:w="1615" w:type="dxa"/>
            <w:tcBorders>
              <w:top w:val="single" w:sz="12" w:space="0" w:color="auto"/>
            </w:tcBorders>
          </w:tcPr>
          <w:p w:rsidR="00732BD8" w:rsidRPr="00732BD8" w:rsidP="001F0511" w14:paraId="435C8952" w14:textId="4B013A58">
            <w:pPr>
              <w:pStyle w:val="752024"/>
              <w:spacing w:after="0"/>
              <w:rPr>
                <w:rtl/>
              </w:rPr>
            </w:pPr>
            <w:r w:rsidRPr="00732BD8">
              <w:rPr>
                <w:rtl/>
              </w:rPr>
              <w:t>אומדן העלויות לפעולות מיגון ימי בשלב ב', נוסף על תקציב בשיעור דומה שנקבע לשלב א'</w:t>
            </w:r>
          </w:p>
        </w:tc>
        <w:tc>
          <w:tcPr>
            <w:tcW w:w="217" w:type="dxa"/>
          </w:tcPr>
          <w:p w:rsidR="00732BD8" w:rsidP="001F0511" w14:paraId="500CF55E" w14:textId="77777777">
            <w:pPr>
              <w:pStyle w:val="752024"/>
              <w:spacing w:after="0"/>
              <w:rPr>
                <w:rtl/>
              </w:rPr>
            </w:pPr>
          </w:p>
        </w:tc>
        <w:tc>
          <w:tcPr>
            <w:tcW w:w="1654" w:type="dxa"/>
            <w:tcBorders>
              <w:top w:val="single" w:sz="12" w:space="0" w:color="auto"/>
            </w:tcBorders>
          </w:tcPr>
          <w:p w:rsidR="00732BD8" w:rsidRPr="00732BD8" w:rsidP="001F0511" w14:paraId="1C2DE42D" w14:textId="64D82BDF">
            <w:pPr>
              <w:pStyle w:val="752024"/>
              <w:spacing w:after="0"/>
              <w:rPr>
                <w:rtl/>
              </w:rPr>
            </w:pPr>
            <w:r w:rsidRPr="00732BD8">
              <w:rPr>
                <w:rtl/>
              </w:rPr>
              <w:t>שיעור מימוש תקציב הסיוע שהקצתה המדינה לרשויות המקומיות לתכנון הגנות יבשתיות ולהקמתן נכון ליולי 2023 (כ-21 מיליוני ש"ח מתוך 60 מיליוני ש"ח שהוקצו)</w:t>
            </w:r>
          </w:p>
        </w:tc>
        <w:tc>
          <w:tcPr>
            <w:tcW w:w="174" w:type="dxa"/>
          </w:tcPr>
          <w:p w:rsidR="00732BD8" w:rsidP="001F0511" w14:paraId="279761B3" w14:textId="77777777">
            <w:pPr>
              <w:pStyle w:val="752024"/>
              <w:spacing w:after="0"/>
              <w:jc w:val="center"/>
              <w:rPr>
                <w:rtl/>
              </w:rPr>
            </w:pPr>
          </w:p>
        </w:tc>
        <w:tc>
          <w:tcPr>
            <w:tcW w:w="1971" w:type="dxa"/>
            <w:tcBorders>
              <w:top w:val="single" w:sz="12" w:space="0" w:color="auto"/>
            </w:tcBorders>
          </w:tcPr>
          <w:p w:rsidR="00732BD8" w:rsidRPr="00732BD8" w:rsidP="001F0511" w14:paraId="758BD136" w14:textId="49E291EA">
            <w:pPr>
              <w:pStyle w:val="752024"/>
              <w:spacing w:after="0"/>
              <w:rPr>
                <w:rtl/>
              </w:rPr>
            </w:pPr>
            <w:r w:rsidRPr="00732BD8">
              <w:rPr>
                <w:rtl/>
              </w:rPr>
              <w:t>לא הגישו כלל דרישות תשלום למימוש התקציב שניתן להן בשנת 2019 לתכנון ולהקמה של מיגון יבשתי</w:t>
            </w:r>
          </w:p>
        </w:tc>
      </w:tr>
    </w:tbl>
    <w:p w:rsidR="00420374" w:rsidRPr="00C62692" w:rsidP="00420374" w14:paraId="7BCB45AA" w14:textId="386B45B0">
      <w:pPr>
        <w:pStyle w:val="75"/>
        <w:rPr>
          <w:rtl/>
        </w:rPr>
      </w:pPr>
      <w:r w:rsidRPr="00C62692">
        <w:rPr>
          <w:rtl/>
        </w:rPr>
        <w:t>פעולות הביקורת</w:t>
      </w:r>
    </w:p>
    <w:p w:rsidR="00EB672B" w:rsidP="00914243" w14:paraId="403C8BA3" w14:textId="28D1A5F0">
      <w:pPr>
        <w:pStyle w:val="7315"/>
        <w:rPr>
          <w:rtl/>
        </w:rPr>
      </w:pPr>
      <w:r w:rsidRPr="001F3363">
        <w:rPr>
          <w:noProof/>
        </w:rPr>
        <w:drawing>
          <wp:anchor distT="0" distB="0" distL="71755" distR="71755" simplePos="0" relativeHeight="251678720"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514" w:rsidR="00914243">
        <w:rPr>
          <w:rtl/>
        </w:rPr>
        <w:t xml:space="preserve">בחודשים מאי עד ספטמבר 2023 ערך משרד מבקר המדינה ביקורת מעקב בנושא התמודדותם של השלטון המרכזי ושל השלטון המקומי עם תהליכי הרס המצוק החופי. במסגרת זו נבדק תיקון הליקויים המרכזיים שהועלו בדוח הקודם בנושא קידום התכנון וההקמה של </w:t>
      </w:r>
      <w:r w:rsidRPr="00914243" w:rsidR="00914243">
        <w:rPr>
          <w:rtl/>
        </w:rPr>
        <w:t>ההגנות</w:t>
      </w:r>
      <w:r w:rsidRPr="00573514" w:rsidR="00914243">
        <w:rPr>
          <w:rtl/>
        </w:rPr>
        <w:t xml:space="preserve"> הפיזיות על המצוק</w:t>
      </w:r>
      <w:r w:rsidR="00914243">
        <w:rPr>
          <w:rFonts w:hint="cs"/>
          <w:rtl/>
        </w:rPr>
        <w:t>,</w:t>
      </w:r>
      <w:r w:rsidRPr="00573514" w:rsidR="00914243">
        <w:rPr>
          <w:rtl/>
        </w:rPr>
        <w:t xml:space="preserve"> בין היתר לשם שמירה על שלום הציבור והסרת הסכנות מהחופים (ביקורת המעקב). נוסף על כך בדק משרד מבקר המדינה נושאים נוספים שלא נבדקו בביקורת הקודמת: המשך פעילות החברה הממשלתית להגנת מצוקי </w:t>
      </w:r>
      <w:r w:rsidRPr="00573514" w:rsidR="00914243">
        <w:rPr>
          <w:rtl/>
        </w:rPr>
        <w:t xml:space="preserve">חוף הים התיכון בע"מ ומימון שלב ב' של ביצוע ההגנות; </w:t>
      </w:r>
      <w:bookmarkStart w:id="3" w:name="_Hlk154945134"/>
      <w:r w:rsidRPr="00573514" w:rsidR="00914243">
        <w:rPr>
          <w:rtl/>
        </w:rPr>
        <w:t xml:space="preserve">פעולות לאימוץ טכנולוגיות חדשניות למיגון ימי על המצוק החופי; והתמודדות עם תופעות הכרוכות בשינויי אקלים. </w:t>
      </w:r>
      <w:bookmarkEnd w:id="3"/>
      <w:r w:rsidRPr="00573514" w:rsidR="00914243">
        <w:rPr>
          <w:rtl/>
        </w:rPr>
        <w:t xml:space="preserve">ביקורת המעקב נעשתה במשרד להגנת הסביבה, במשרד הפנים, בחברה הממשלתית להגנת מצוקי חוף הים התיכון בע"מ (החברה להגנת המצוק), ובעיריות </w:t>
      </w:r>
      <w:r w:rsidRPr="00573514" w:rsidR="00914243">
        <w:rPr>
          <w:b/>
          <w:bCs/>
          <w:rtl/>
        </w:rPr>
        <w:t>אשקלון</w:t>
      </w:r>
      <w:r w:rsidRPr="00573514" w:rsidR="00914243">
        <w:rPr>
          <w:rtl/>
        </w:rPr>
        <w:t xml:space="preserve"> ו</w:t>
      </w:r>
      <w:r w:rsidRPr="00573514" w:rsidR="00914243">
        <w:rPr>
          <w:b/>
          <w:bCs/>
          <w:rtl/>
        </w:rPr>
        <w:t xml:space="preserve">הרצלייה. </w:t>
      </w:r>
      <w:r w:rsidRPr="00573514" w:rsidR="00914243">
        <w:rPr>
          <w:rtl/>
        </w:rPr>
        <w:t>בדיקות השלמה נעשו במשרד ראש הממשלה, ברשות הטבע והגנים</w:t>
      </w:r>
      <w:r>
        <w:rPr>
          <w:rStyle w:val="FootnoteReference1"/>
          <w:sz w:val="19"/>
          <w:szCs w:val="19"/>
          <w:rtl/>
        </w:rPr>
        <w:footnoteReference w:id="7"/>
      </w:r>
      <w:r w:rsidRPr="00573514" w:rsidR="00914243">
        <w:rPr>
          <w:rStyle w:val="FootnoteReference1"/>
          <w:sz w:val="19"/>
          <w:szCs w:val="19"/>
          <w:rtl/>
        </w:rPr>
        <w:t xml:space="preserve"> </w:t>
      </w:r>
      <w:r w:rsidRPr="00573514" w:rsidR="00914243">
        <w:rPr>
          <w:rtl/>
        </w:rPr>
        <w:t>(</w:t>
      </w:r>
      <w:r w:rsidRPr="00573514" w:rsidR="00914243">
        <w:rPr>
          <w:rtl/>
        </w:rPr>
        <w:t>רט"ג</w:t>
      </w:r>
      <w:r w:rsidRPr="00573514" w:rsidR="00914243">
        <w:rPr>
          <w:rtl/>
        </w:rPr>
        <w:t>), בוועדת הפנים והגנת הסביבה של הכנסת ובפורום רשויות החוף</w:t>
      </w:r>
      <w:r>
        <w:rPr>
          <w:rStyle w:val="FootnoteReference1"/>
          <w:sz w:val="19"/>
          <w:szCs w:val="19"/>
          <w:rtl/>
        </w:rPr>
        <w:footnoteReference w:id="8"/>
      </w:r>
      <w:r w:rsidRPr="00573514" w:rsidR="00914243">
        <w:rPr>
          <w:rtl/>
        </w:rPr>
        <w:t>.</w:t>
      </w:r>
      <w:r w:rsidRPr="001F3363">
        <w:rPr>
          <w:rFonts w:hint="cs"/>
          <w:rtl/>
        </w:rPr>
        <w:t xml:space="preserve"> </w:t>
      </w:r>
    </w:p>
    <w:p w:rsidR="00EB672B" w:rsidP="00C00585" w14:paraId="6DC5AFDF" w14:textId="77777777">
      <w:pPr>
        <w:pStyle w:val="75"/>
        <w:spacing w:before="600"/>
        <w:rPr>
          <w:rtl/>
        </w:rPr>
      </w:pPr>
      <w:r w:rsidRPr="00275281">
        <w:rPr>
          <w:rFonts w:hint="cs"/>
          <w:rtl/>
        </w:rPr>
        <w:t>תמונת המצב העולה מן הביקורת</w:t>
      </w:r>
    </w:p>
    <w:p w:rsidR="00EB672B" w:rsidRPr="00CF6518" w:rsidP="00EB672B" w14:paraId="53F8FF0A"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AD39FB" w:rsidP="00970F6D" w14:paraId="48A50A22" w14:textId="232DC0E5">
      <w:pPr>
        <w:pStyle w:val="7315"/>
        <w:rPr>
          <w:rtl/>
        </w:rPr>
      </w:pPr>
      <w:r w:rsidRPr="003F0A00">
        <w:rPr>
          <w:rStyle w:val="7371"/>
          <w:rFonts w:hint="cs"/>
          <w:noProof/>
          <w:rtl/>
        </w:rPr>
        <w:drawing>
          <wp:anchor distT="0" distB="0" distL="71755" distR="0" simplePos="0" relativeHeight="25168588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970F6D">
        <w:rPr>
          <w:b/>
          <w:bCs/>
          <w:rtl/>
        </w:rPr>
        <w:t xml:space="preserve">סטטוס ביצוע הגנות ימיות ויבשתיות על פי תאי השטח - </w:t>
      </w:r>
      <w:r w:rsidRPr="00573514" w:rsidR="00970F6D">
        <w:rPr>
          <w:rtl/>
        </w:rPr>
        <w:t>מאז הביקורת הקודמת, מלבד חמש רשויות מקומיות שבהן בוצעו הגנות יבשתיות או ימיות חלקיות הנדרשות לפי תוכניות המתאר הארציות, ביתר המקטעים לא בוצעו הגנות. עוד עלה כי נכון לאוגוסט 2023 ב-14 תאי שטח מתוך 27 תאי שטח לא בוצע מיגון יבשתי כלל, וכי בתא שטח אחד נוסף בוצע מיגון חלקי. כמו כן עלה כי ב-10 מתוך 18 תאי שטח לא בוצע מיגון ימי כלל, וכי בתא שטח אחד נוסף בוצע מיגון חלקי. ממסמך שהוכן עבור החברה להגנת המצוק באוגוסט 2023 עולה כי נכון לאותו מועד בוצעו הגנות ימיות על מקטעים באורך של כ-5 קילומטר מתוך 13 ק"מ בלבד שהוחלט כי נדרש לבצע בהם מיגון ימי. אי</w:t>
      </w:r>
      <w:r w:rsidR="00970F6D">
        <w:rPr>
          <w:rFonts w:hint="cs"/>
          <w:rtl/>
        </w:rPr>
        <w:t>-</w:t>
      </w:r>
      <w:r w:rsidRPr="00573514" w:rsidR="00970F6D">
        <w:rPr>
          <w:rtl/>
        </w:rPr>
        <w:t>ביצוע עבודות המיגון בתאי השטח שהוחלט כי יש לבצע בהם הגנות עלול לסכן חיי אדם, לגרום לפגיעה ברכוש ולגרום לצמצום שטח החופים ואף להיעלמותם של חלקם.</w:t>
      </w:r>
    </w:p>
    <w:p w:rsidR="00BC6DAD" w:rsidP="00842FE5" w14:paraId="597E5E97" w14:textId="73CACE95">
      <w:pPr>
        <w:pStyle w:val="7315"/>
        <w:rPr>
          <w:rtl/>
        </w:rPr>
      </w:pPr>
      <w:r w:rsidRPr="003F0A00">
        <w:rPr>
          <w:rStyle w:val="7371"/>
          <w:rFonts w:hint="cs"/>
          <w:noProof/>
          <w:rtl/>
        </w:rPr>
        <w:drawing>
          <wp:anchor distT="0" distB="0" distL="71755" distR="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842FE5">
        <w:rPr>
          <w:b/>
          <w:bCs/>
          <w:rtl/>
        </w:rPr>
        <w:t xml:space="preserve">אומדן עלויות הביצוע של ההגנות היבשתיות </w:t>
      </w:r>
      <w:r w:rsidRPr="00573514" w:rsidR="00842FE5">
        <w:rPr>
          <w:rtl/>
        </w:rPr>
        <w:t xml:space="preserve">- בביקורת הקודמת עלה כי אין בידי משרד הפנים אומדן מלא ועדכני של עלויות ההגנות היבשתיות הנדרשות. בביקורת המעקב נמצא כי הליקוי </w:t>
      </w:r>
      <w:r w:rsidRPr="00573514" w:rsidR="00842FE5">
        <w:rPr>
          <w:b/>
          <w:bCs/>
          <w:rtl/>
        </w:rPr>
        <w:t>לא תוקן</w:t>
      </w:r>
      <w:r w:rsidRPr="00573514" w:rsidR="00842FE5">
        <w:rPr>
          <w:rtl/>
        </w:rPr>
        <w:t xml:space="preserve">, וכי אין בידי משרד </w:t>
      </w:r>
      <w:r w:rsidRPr="00842FE5" w:rsidR="00842FE5">
        <w:rPr>
          <w:rtl/>
        </w:rPr>
        <w:t>הפנים</w:t>
      </w:r>
      <w:r w:rsidRPr="00573514" w:rsidR="00842FE5">
        <w:rPr>
          <w:rtl/>
        </w:rPr>
        <w:t xml:space="preserve"> אומדן עדכני של העלויות האמורות. </w:t>
      </w:r>
      <w:r w:rsidRPr="00842FE5" w:rsidR="00842FE5">
        <w:rPr>
          <w:rtl/>
        </w:rPr>
        <w:t>משנת</w:t>
      </w:r>
      <w:r w:rsidRPr="00573514" w:rsidR="00842FE5">
        <w:rPr>
          <w:rtl/>
        </w:rPr>
        <w:t xml:space="preserve"> 2019 משרד הפנים גם לא ביקש מהרשויות המקומיות להעביר לו אומדנים של העלויות הצפויות של תכנון ההגנות היבשתיות ושל הקמתן.</w:t>
      </w:r>
    </w:p>
    <w:p w:rsidR="003C1B3C" w:rsidP="00842FE5" w14:paraId="5867E301" w14:textId="3C591C45">
      <w:pPr>
        <w:pStyle w:val="7315"/>
        <w:rPr>
          <w:rtl/>
        </w:rPr>
      </w:pPr>
      <w:r w:rsidRPr="00F90454">
        <w:rPr>
          <w:rStyle w:val="7371"/>
          <w:rFonts w:hint="cs"/>
          <w:noProof/>
          <w:spacing w:val="-4"/>
          <w:rtl/>
        </w:rPr>
        <w:drawing>
          <wp:anchor distT="0" distB="0" distL="71755" distR="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90454" w:rsidR="00842FE5">
        <w:rPr>
          <w:b/>
          <w:bCs/>
          <w:spacing w:val="-4"/>
          <w:rtl/>
        </w:rPr>
        <w:t xml:space="preserve">פער בין </w:t>
      </w:r>
      <w:r w:rsidRPr="00F90454" w:rsidR="00842FE5">
        <w:rPr>
          <w:b/>
          <w:bCs/>
          <w:spacing w:val="-4"/>
          <w:rtl/>
        </w:rPr>
        <w:t>אומדני</w:t>
      </w:r>
      <w:r w:rsidRPr="00F90454" w:rsidR="00842FE5">
        <w:rPr>
          <w:b/>
          <w:bCs/>
          <w:spacing w:val="-4"/>
          <w:rtl/>
        </w:rPr>
        <w:t xml:space="preserve"> עלויות ביצוע ההגנות היבשתיות לתקצוב המדינה למיגון היבשתי </w:t>
      </w:r>
      <w:r w:rsidRPr="00F90454" w:rsidR="00842FE5">
        <w:rPr>
          <w:spacing w:val="-4"/>
          <w:rtl/>
        </w:rPr>
        <w:t>-</w:t>
      </w:r>
      <w:r w:rsidRPr="00573514" w:rsidR="00842FE5">
        <w:rPr>
          <w:b/>
          <w:bCs/>
          <w:rtl/>
        </w:rPr>
        <w:t xml:space="preserve"> </w:t>
      </w:r>
      <w:r w:rsidRPr="00573514" w:rsidR="00842FE5">
        <w:rPr>
          <w:rtl/>
        </w:rPr>
        <w:t xml:space="preserve">הועלה כי על פי הנתונים שאספה החברה להגנת המצוק ממהנדסי הרשויות המקומיות </w:t>
      </w:r>
      <w:r w:rsidRPr="00573514" w:rsidR="00842FE5">
        <w:rPr>
          <w:rtl/>
        </w:rPr>
        <w:t>ומרט"ג</w:t>
      </w:r>
      <w:r w:rsidRPr="00573514" w:rsidR="00842FE5">
        <w:rPr>
          <w:rtl/>
        </w:rPr>
        <w:t xml:space="preserve"> </w:t>
      </w:r>
      <w:r w:rsidRPr="00842FE5" w:rsidR="00842FE5">
        <w:rPr>
          <w:rtl/>
        </w:rPr>
        <w:t>אומדן</w:t>
      </w:r>
      <w:r w:rsidRPr="00573514" w:rsidR="00842FE5">
        <w:rPr>
          <w:rtl/>
        </w:rPr>
        <w:t xml:space="preserve"> עלויות תכנון המיגון היבשתי והקמתו והמיגון יבשתי בתאי שטח שבגנים לאומיים עומד על כ-670.5 מיליון ש"ח, סכום הגבוה</w:t>
      </w:r>
      <w:r w:rsidR="00842FE5">
        <w:rPr>
          <w:rFonts w:hint="cs"/>
          <w:rtl/>
        </w:rPr>
        <w:t xml:space="preserve"> </w:t>
      </w:r>
      <w:r w:rsidRPr="00573514" w:rsidR="00842FE5">
        <w:rPr>
          <w:rtl/>
        </w:rPr>
        <w:t>בכ-580.5 מיליון ש"ח מהסכום שהקציבה המדינה בשלב א' למיגון היבשתי ובכ-610.5 מיליון ש"ח מכספי הסיוע שהקצתה המדינה לנושא.</w:t>
      </w:r>
    </w:p>
    <w:p w:rsidR="00BA162E" w:rsidP="00BA162E" w14:paraId="4FD72E89" w14:textId="04C3BF97">
      <w:pPr>
        <w:pStyle w:val="7315"/>
        <w:rPr>
          <w:rtl/>
        </w:rPr>
      </w:pPr>
      <w:r w:rsidRPr="003F0A00">
        <w:rPr>
          <w:rStyle w:val="7371"/>
          <w:rFonts w:hint="cs"/>
          <w:noProof/>
          <w:rtl/>
        </w:rPr>
        <w:drawing>
          <wp:anchor distT="0" distB="0" distL="71755" distR="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Pr>
          <w:b/>
          <w:bCs/>
          <w:rtl/>
        </w:rPr>
        <w:t xml:space="preserve">האחריות למימון ההגנות היבשתיות ולהקמתן </w:t>
      </w:r>
      <w:r w:rsidRPr="00573514">
        <w:rPr>
          <w:rtl/>
        </w:rPr>
        <w:t>- בביקורת הקודמת עלה כי יותר משמונה שנים לאחר החלטת הממשלה מאפריל 2011, לא עלה בידם של משרדי ה</w:t>
      </w:r>
      <w:r w:rsidR="001A301E">
        <w:rPr>
          <w:rFonts w:hint="cs"/>
          <w:rtl/>
        </w:rPr>
        <w:t>מ</w:t>
      </w:r>
      <w:r w:rsidRPr="00573514">
        <w:rPr>
          <w:rtl/>
        </w:rPr>
        <w:t xml:space="preserve">משלה, לרבות משרדי ראש הממשלה, הגנת הסביבה והפנים, לגבש מתווה מוסכם בסוגיית הסיוע לרשויות המקומיות למצוא מקורות למימון ההגנות היבשתיות שבתחומן. בביקורת המעקב נמצא כי הליקוי </w:t>
      </w:r>
      <w:r w:rsidRPr="00573514">
        <w:rPr>
          <w:b/>
          <w:bCs/>
          <w:rtl/>
        </w:rPr>
        <w:t>לא תוקן</w:t>
      </w:r>
      <w:r w:rsidRPr="00573514">
        <w:rPr>
          <w:rtl/>
        </w:rPr>
        <w:t xml:space="preserve">. </w:t>
      </w:r>
      <w:bookmarkStart w:id="4" w:name="_Hlk155180305"/>
      <w:r w:rsidRPr="00573514">
        <w:rPr>
          <w:rtl/>
        </w:rPr>
        <w:t xml:space="preserve">עד מועד סיום הביקורת לא נמצא פתרון למחלוקת בנוגע לאחריות מימון ההגנות היבשתיות והקמתן, ולא סוכם על מנגנון סיוע לרשויות המקומיות לשם </w:t>
      </w:r>
      <w:r w:rsidRPr="00BA162E">
        <w:rPr>
          <w:rtl/>
        </w:rPr>
        <w:t>כך</w:t>
      </w:r>
      <w:r w:rsidRPr="00573514">
        <w:rPr>
          <w:rtl/>
        </w:rPr>
        <w:t xml:space="preserve">. זאת על אף פניות שהועברו בנושא למשרד ראש הממשלה </w:t>
      </w:r>
      <w:bookmarkEnd w:id="4"/>
      <w:r w:rsidRPr="00573514">
        <w:rPr>
          <w:rtl/>
        </w:rPr>
        <w:t>על ידי פורום רשויות החוף והחברה להגנת המצוק, פניות שלא זכו למענה, ודיונים שהתקיימו בנושא בוועדת הפנים והגנת הסביבה. ניסיון לקדם נושא זה על ידי גיבוש הצעת מחליטים מתאימה שתוגש לאישור הממשלה לא הסתייע עד למועד סיום הביקורת.</w:t>
      </w:r>
    </w:p>
    <w:p w:rsidR="003F0A00" w:rsidP="00BA162E" w14:paraId="5B5D9A72" w14:textId="793DEACA">
      <w:pPr>
        <w:pStyle w:val="7315"/>
        <w:rPr>
          <w:rtl/>
        </w:rPr>
      </w:pPr>
      <w:r w:rsidRPr="003F0A00">
        <w:rPr>
          <w:rStyle w:val="7371"/>
          <w:rFonts w:hint="cs"/>
          <w:noProof/>
          <w:rtl/>
        </w:rPr>
        <w:drawing>
          <wp:anchor distT="0" distB="0" distL="114300" distR="114300" simplePos="0" relativeHeight="25168486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BA162E">
        <w:rPr>
          <w:b/>
          <w:bCs/>
          <w:rtl/>
        </w:rPr>
        <w:t>שימוש בתקציבי הסיוע לקידום תכנון המיגון היבשתי והקמתו</w:t>
      </w:r>
      <w:r w:rsidRPr="00573514" w:rsidR="00BA162E">
        <w:rPr>
          <w:rtl/>
        </w:rPr>
        <w:t xml:space="preserve"> - בביקורת הועלה כי נכון ליולי 2023 ארבע מתוך תשע הרשויות המקומיות שקיבלו הקצאות </w:t>
      </w:r>
      <w:r w:rsidRPr="00BA162E" w:rsidR="00BA162E">
        <w:rPr>
          <w:rtl/>
        </w:rPr>
        <w:t>והרשאות</w:t>
      </w:r>
      <w:r w:rsidRPr="00573514" w:rsidR="00BA162E">
        <w:rPr>
          <w:rtl/>
        </w:rPr>
        <w:t xml:space="preserve"> תקציביות לקידום התכנון והביצוע של מיגון יבשתי עוד בשנת 2019</w:t>
      </w:r>
      <w:r>
        <w:rPr>
          <w:vertAlign w:val="superscript"/>
          <w:rtl/>
        </w:rPr>
        <w:footnoteReference w:id="9"/>
      </w:r>
      <w:r w:rsidRPr="00573514" w:rsidR="00BA162E">
        <w:rPr>
          <w:rtl/>
        </w:rPr>
        <w:t>, לא הגישו כלל דרישות תשלום למימוש התקציב האמור. שתי רשויות מקומיות - עיריית תל אביב-יפו והמועצה האזורית עמק חפר - מימשו את מלוא התקציב שהוקצה להן. כמו כן, סך התקציב שניצלו תשע הרשויות היה כ-35% (כ-21 מיליון ש"ח) מהתקציב שהוקצה (60 מיליון ש"ח). משרד הפנים עדכן כי נכון לפברואר 2024 סך התקציב שנוצל עלה ל-40%.</w:t>
      </w:r>
    </w:p>
    <w:p w:rsidR="003C1B3C" w:rsidP="00BA162E" w14:paraId="4A8EAD3B" w14:textId="2FCEB8AF">
      <w:pPr>
        <w:pStyle w:val="7315"/>
        <w:rPr>
          <w:rtl/>
        </w:rPr>
      </w:pPr>
      <w:r w:rsidRPr="003F0A00">
        <w:rPr>
          <w:rStyle w:val="7371"/>
          <w:rFonts w:hint="cs"/>
          <w:noProof/>
          <w:rtl/>
        </w:rPr>
        <w:drawing>
          <wp:anchor distT="0" distB="0" distL="114300" distR="11430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BA162E">
        <w:rPr>
          <w:b/>
          <w:bCs/>
          <w:rtl/>
        </w:rPr>
        <w:t xml:space="preserve">תכנון והקמה של מיגון יבשתי על ידי עיריית אשקלון </w:t>
      </w:r>
      <w:r w:rsidRPr="00573514" w:rsidR="00BA162E">
        <w:rPr>
          <w:rtl/>
        </w:rPr>
        <w:t xml:space="preserve">- בביקורת הקודמת עלה כי עיריית אשקלון לא קידמה את התכנון והביצוע של ההגנות היבשתיות הדחופות והקבועות במקטע אשקלון צפון, וכי היא לא הקפידה לבצע הגנות דחופות לשמירה על שלום הציבור כגון גידור והצבת שלטים. בביקורת המעקב הועלה כי הליקויים </w:t>
      </w:r>
      <w:r w:rsidRPr="00573514" w:rsidR="00BA162E">
        <w:rPr>
          <w:b/>
          <w:bCs/>
          <w:rtl/>
        </w:rPr>
        <w:t>תוקנו במידה מועטה</w:t>
      </w:r>
      <w:r w:rsidRPr="00573514" w:rsidR="00BA162E">
        <w:rPr>
          <w:rtl/>
        </w:rPr>
        <w:t>. נמצא כי עיריית</w:t>
      </w:r>
      <w:r w:rsidRPr="00573514" w:rsidR="00BA162E">
        <w:rPr>
          <w:b/>
          <w:bCs/>
          <w:rtl/>
        </w:rPr>
        <w:t xml:space="preserve"> </w:t>
      </w:r>
      <w:r w:rsidRPr="00573514" w:rsidR="00BA162E">
        <w:rPr>
          <w:rtl/>
        </w:rPr>
        <w:t>אשקלון פעלה להכנה ולאישור של תוכנית פיתוח למיגון תא שטח אשקלון צפון, אולם נכון למועד הביקורת היא לא החלה</w:t>
      </w:r>
      <w:r w:rsidRPr="00573514" w:rsidR="00BA162E">
        <w:rPr>
          <w:sz w:val="24"/>
          <w:rtl/>
        </w:rPr>
        <w:t xml:space="preserve"> </w:t>
      </w:r>
      <w:r w:rsidRPr="00573514" w:rsidR="00BA162E">
        <w:rPr>
          <w:rtl/>
        </w:rPr>
        <w:t>בביצוע התוכנית ובהסדרת הניקוז בגג</w:t>
      </w:r>
      <w:r w:rsidRPr="00573514" w:rsidR="00BA162E">
        <w:rPr>
          <w:sz w:val="24"/>
          <w:rtl/>
        </w:rPr>
        <w:t xml:space="preserve"> </w:t>
      </w:r>
      <w:r w:rsidRPr="00573514" w:rsidR="00BA162E">
        <w:rPr>
          <w:rtl/>
        </w:rPr>
        <w:t>המצוק.</w:t>
      </w:r>
    </w:p>
    <w:p w:rsidR="00BC4492" w:rsidRPr="00BC4492" w:rsidP="00704AAD" w14:paraId="23B3F046" w14:textId="6F232A30">
      <w:pPr>
        <w:pStyle w:val="7315"/>
      </w:pPr>
      <w:r w:rsidRPr="003F0A00">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C4492">
        <w:rPr>
          <w:b/>
          <w:bCs/>
          <w:rtl/>
        </w:rPr>
        <w:t xml:space="preserve">ניתוח תאי השטח בהרצלייה </w:t>
      </w:r>
      <w:r w:rsidRPr="00BC4492">
        <w:rPr>
          <w:rtl/>
        </w:rPr>
        <w:t>- בביקורת הקודמת עלה כי עיריית</w:t>
      </w:r>
      <w:r w:rsidRPr="00BC4492">
        <w:rPr>
          <w:b/>
          <w:bCs/>
          <w:rtl/>
        </w:rPr>
        <w:t xml:space="preserve"> </w:t>
      </w:r>
      <w:r w:rsidRPr="00BC4492">
        <w:rPr>
          <w:rtl/>
        </w:rPr>
        <w:t>הרצלייה והוועדה המקומית לתכנון ו</w:t>
      </w:r>
      <w:r w:rsidR="00F57053">
        <w:rPr>
          <w:rFonts w:hint="cs"/>
          <w:rtl/>
        </w:rPr>
        <w:t>ל</w:t>
      </w:r>
      <w:r w:rsidRPr="00BC4492">
        <w:rPr>
          <w:rtl/>
        </w:rPr>
        <w:t>בנייה הרצלייה</w:t>
      </w:r>
      <w:r w:rsidRPr="00BC4492">
        <w:rPr>
          <w:b/>
          <w:bCs/>
          <w:rtl/>
        </w:rPr>
        <w:t xml:space="preserve"> </w:t>
      </w:r>
      <w:r w:rsidRPr="00BC4492">
        <w:rPr>
          <w:rtl/>
        </w:rPr>
        <w:t>דחו את ניתוח תאי השטח שהכינה החברה להגנת המצוק בשנת 2016, וכי הן לא העבירו ניתוח חלופי כפי שהתחייבו בפני הוועדה לשמירת הסביבה החופית (</w:t>
      </w:r>
      <w:r w:rsidRPr="00BC4492">
        <w:rPr>
          <w:rtl/>
        </w:rPr>
        <w:t>הוולחו"ף</w:t>
      </w:r>
      <w:r w:rsidRPr="00BC4492">
        <w:rPr>
          <w:rtl/>
        </w:rPr>
        <w:t>)</w:t>
      </w:r>
      <w:r>
        <w:rPr>
          <w:rStyle w:val="FootnoteReference1"/>
          <w:sz w:val="19"/>
          <w:szCs w:val="19"/>
          <w:rtl/>
        </w:rPr>
        <w:footnoteReference w:id="10"/>
      </w:r>
      <w:r w:rsidRPr="00BC4492">
        <w:rPr>
          <w:rtl/>
        </w:rPr>
        <w:t xml:space="preserve"> בשנת 2017. בביקורת המעקב הועלה כי הליקוי </w:t>
      </w:r>
      <w:r w:rsidRPr="00BC4492">
        <w:rPr>
          <w:b/>
          <w:bCs/>
          <w:rtl/>
        </w:rPr>
        <w:t xml:space="preserve">תוקן </w:t>
      </w:r>
      <w:r w:rsidRPr="00BC4492">
        <w:rPr>
          <w:b/>
          <w:bCs/>
          <w:rtl/>
        </w:rPr>
        <w:t>במידה מועטה</w:t>
      </w:r>
      <w:r w:rsidRPr="00BC4492">
        <w:rPr>
          <w:rtl/>
        </w:rPr>
        <w:t xml:space="preserve">. נכון למועד ביקורת המעקב, החברה להגנת המצוק ועיריית הרצלייה עוסקות בקידום ניתוח תאי השטח; הניתוח טרם אושר. יודגש כי משאושרה תוכנית המסדירה באופן סטטוטורי את בניית </w:t>
      </w:r>
      <w:r w:rsidRPr="00BC4492">
        <w:rPr>
          <w:rtl/>
        </w:rPr>
        <w:t>המיגונים</w:t>
      </w:r>
      <w:r w:rsidRPr="00BC4492">
        <w:rPr>
          <w:rtl/>
        </w:rPr>
        <w:t xml:space="preserve"> היבשתיים והימיים, העיכוב בניתוח תאי השטח הוא אחד החסמים בשלב זה לקידום המיגון הנחוץ.</w:t>
      </w:r>
    </w:p>
    <w:p w:rsidR="00D536DC" w:rsidP="00704AAD" w14:paraId="1CCD9E07" w14:textId="11D5BC3B">
      <w:pPr>
        <w:pStyle w:val="7315"/>
        <w:rPr>
          <w:rtl/>
        </w:rPr>
      </w:pPr>
      <w:r w:rsidRPr="003F0A00">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704AAD">
        <w:rPr>
          <w:b/>
          <w:bCs/>
          <w:rtl/>
        </w:rPr>
        <w:t>תוכנית חזית הים וקידום הקמתן של ההגנות היבשתיות על המצוק בהרצלייה</w:t>
      </w:r>
      <w:r w:rsidRPr="00573514" w:rsidR="00704AAD">
        <w:rPr>
          <w:rtl/>
        </w:rPr>
        <w:t xml:space="preserve"> - </w:t>
      </w:r>
      <w:r w:rsidRPr="00704AAD" w:rsidR="00704AAD">
        <w:rPr>
          <w:rtl/>
        </w:rPr>
        <w:t>בביקורת</w:t>
      </w:r>
      <w:r w:rsidRPr="00573514" w:rsidR="00704AAD">
        <w:rPr>
          <w:rtl/>
        </w:rPr>
        <w:t xml:space="preserve"> הקודמת עלה כי עיריית</w:t>
      </w:r>
      <w:r w:rsidRPr="00573514" w:rsidR="00704AAD">
        <w:rPr>
          <w:b/>
          <w:bCs/>
          <w:rtl/>
        </w:rPr>
        <w:t xml:space="preserve"> </w:t>
      </w:r>
      <w:r w:rsidRPr="00573514" w:rsidR="00704AAD">
        <w:rPr>
          <w:rtl/>
        </w:rPr>
        <w:t xml:space="preserve">הרצלייה לא הביאה את תוכנית חזית הים לדיון בוועדה המחוזית לתכנון ולבנייה תל אביב כעשר שנים לאחר שהחלה לקדמה, וכי בתקופה זו העירייה לא קידמה את </w:t>
      </w:r>
      <w:r w:rsidRPr="00704AAD" w:rsidR="00704AAD">
        <w:rPr>
          <w:rtl/>
        </w:rPr>
        <w:t>הקמת</w:t>
      </w:r>
      <w:r w:rsidRPr="00573514" w:rsidR="00704AAD">
        <w:rPr>
          <w:rtl/>
        </w:rPr>
        <w:t xml:space="preserve"> ההגנות היבשתיות על המצוק. בביקורת המעקב הועלה כי הליקוי </w:t>
      </w:r>
      <w:r w:rsidRPr="00573514" w:rsidR="00704AAD">
        <w:rPr>
          <w:b/>
          <w:bCs/>
          <w:rtl/>
        </w:rPr>
        <w:t>תוקן</w:t>
      </w:r>
      <w:r w:rsidRPr="00573514" w:rsidR="00704AAD">
        <w:rPr>
          <w:rtl/>
        </w:rPr>
        <w:t xml:space="preserve"> </w:t>
      </w:r>
      <w:r w:rsidRPr="00573514" w:rsidR="00704AAD">
        <w:rPr>
          <w:b/>
          <w:bCs/>
          <w:rtl/>
        </w:rPr>
        <w:t>במידה מועטה</w:t>
      </w:r>
      <w:r w:rsidRPr="00573514" w:rsidR="00704AAD">
        <w:rPr>
          <w:rtl/>
        </w:rPr>
        <w:t>. הועלה כי נכון למועד סיום ביקורת המעקב התוכנית קיבלה תוקף, אך העירייה טרם החלה בקידום התכנון והביצוע של ההגנות היבשתיות וטרם הסתיים הליך ניתוח תאי השטח. העיכוב בתכנון ובביצוע של ההגנות היבשתיות הנדרשות על המצוק עלול לסכן חיי אדם, ערכי טבע ורכוש.</w:t>
      </w:r>
    </w:p>
    <w:p w:rsidR="00704AAD" w:rsidP="00704AAD" w14:paraId="6C16DFD3" w14:textId="5E730FAE">
      <w:pPr>
        <w:pStyle w:val="7315"/>
        <w:rPr>
          <w:rtl/>
        </w:rPr>
      </w:pPr>
      <w:r w:rsidRPr="003F0A00">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04AAD">
        <w:rPr>
          <w:b/>
          <w:bCs/>
          <w:rtl/>
        </w:rPr>
        <w:t xml:space="preserve">תכנון וביצוע של מיגון יבשתי על ידי </w:t>
      </w:r>
      <w:r w:rsidRPr="00704AAD">
        <w:rPr>
          <w:b/>
          <w:bCs/>
          <w:rtl/>
        </w:rPr>
        <w:t>רט"ג</w:t>
      </w:r>
      <w:r w:rsidRPr="00704AAD">
        <w:rPr>
          <w:b/>
          <w:bCs/>
          <w:rtl/>
        </w:rPr>
        <w:t xml:space="preserve"> </w:t>
      </w:r>
      <w:r w:rsidRPr="00704AAD">
        <w:rPr>
          <w:rtl/>
        </w:rPr>
        <w:t xml:space="preserve">- בביקורת הקודמת הועלה כי </w:t>
      </w:r>
      <w:r w:rsidRPr="00704AAD">
        <w:rPr>
          <w:rtl/>
        </w:rPr>
        <w:t>רט"ג</w:t>
      </w:r>
      <w:r w:rsidRPr="00704AAD">
        <w:rPr>
          <w:rtl/>
        </w:rPr>
        <w:t xml:space="preserve"> לא קידמה את התכנון והביצוע של ההגנות היבשתיות הדחופות והקבועות בתא שטח גן לאומי תל אשקלון שבאחריותה ולא הציבה אמצעי בטיחות להרחקת אנשים מגג המצוק בתא שטח גן לאומי אפולוניה בהרצלייה. בביקורת המעקב הועלה כי הליקויים </w:t>
      </w:r>
      <w:r w:rsidRPr="00704AAD">
        <w:rPr>
          <w:b/>
          <w:bCs/>
          <w:rtl/>
        </w:rPr>
        <w:t>לא תוקנו</w:t>
      </w:r>
      <w:r w:rsidRPr="00704AAD">
        <w:rPr>
          <w:rtl/>
        </w:rPr>
        <w:t xml:space="preserve">. </w:t>
      </w:r>
      <w:r w:rsidRPr="00704AAD">
        <w:rPr>
          <w:rtl/>
        </w:rPr>
        <w:t>רט"ג</w:t>
      </w:r>
      <w:r w:rsidRPr="00704AAD">
        <w:rPr>
          <w:rtl/>
        </w:rPr>
        <w:t xml:space="preserve"> החליטה שלא לקדם את ההגנות היבשתיות על המצוק בגן לאומי תל אשקלון בלי שהביאה את החלטתה לבחינתם של המשרד להגנת הסביבה, </w:t>
      </w:r>
      <w:r w:rsidRPr="00704AAD">
        <w:rPr>
          <w:rtl/>
        </w:rPr>
        <w:t>הוולחו"ף</w:t>
      </w:r>
      <w:r w:rsidRPr="00704AAD">
        <w:rPr>
          <w:rtl/>
        </w:rPr>
        <w:t xml:space="preserve"> או החברה להגנת המצוק, לרבות בחינה של השפעות החלטתה על ביצוע ההגנות הימיות במקטע זה ועל סיכון העתיקות וסיכון חיי המבקרים בגן הלאומי אשקלון. כמו כן, </w:t>
      </w:r>
      <w:r w:rsidRPr="00704AAD">
        <w:rPr>
          <w:rtl/>
        </w:rPr>
        <w:t>רט"ג</w:t>
      </w:r>
      <w:r w:rsidRPr="00704AAD">
        <w:rPr>
          <w:rtl/>
        </w:rPr>
        <w:t xml:space="preserve"> לא פעלה לטפל במפגעים שעיריית</w:t>
      </w:r>
      <w:r w:rsidRPr="00704AAD">
        <w:rPr>
          <w:b/>
          <w:bCs/>
          <w:rtl/>
        </w:rPr>
        <w:t xml:space="preserve"> </w:t>
      </w:r>
      <w:r w:rsidRPr="00704AAD">
        <w:rPr>
          <w:rtl/>
        </w:rPr>
        <w:t>הרצלייה הביאה לידיעתה בנושא הגידור בגן הלאומי אפולוניה.</w:t>
      </w:r>
    </w:p>
    <w:p w:rsidR="00704AAD" w:rsidP="00704AAD" w14:paraId="707AF8DE" w14:textId="1C6681C9">
      <w:pPr>
        <w:pStyle w:val="7315"/>
        <w:rPr>
          <w:rtl/>
        </w:rPr>
      </w:pPr>
      <w:r w:rsidRPr="003F0A00">
        <w:rPr>
          <w:rStyle w:val="7371"/>
          <w:rFonts w:hint="cs"/>
          <w:noProof/>
          <w:rtl/>
        </w:rPr>
        <w:drawing>
          <wp:anchor distT="0" distB="0" distL="114300" distR="114300" simplePos="0" relativeHeight="2517043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Pr>
          <w:b/>
          <w:bCs/>
          <w:rtl/>
        </w:rPr>
        <w:t xml:space="preserve">הטיפול בנושא ההגנה על שלום הציבור על ידי עיריית אשקלון </w:t>
      </w:r>
      <w:r w:rsidRPr="00ED768D">
        <w:rPr>
          <w:rtl/>
        </w:rPr>
        <w:t>-</w:t>
      </w:r>
      <w:r w:rsidRPr="00573514">
        <w:rPr>
          <w:b/>
          <w:bCs/>
          <w:rtl/>
        </w:rPr>
        <w:t xml:space="preserve"> </w:t>
      </w:r>
      <w:r w:rsidRPr="00573514">
        <w:rPr>
          <w:rtl/>
        </w:rPr>
        <w:t xml:space="preserve">בביקורת הקודמת עלה כי עיריית אשקלון לא הקפידה לבצע הגנות דחופות למיגון המצוק, כגון גידור והצבת שלטים. בביקורת המעקב עלה כי הליקוי </w:t>
      </w:r>
      <w:r w:rsidRPr="00573514">
        <w:rPr>
          <w:b/>
          <w:bCs/>
          <w:rtl/>
        </w:rPr>
        <w:t>תוקן במידה מועטה</w:t>
      </w:r>
      <w:r w:rsidRPr="00573514">
        <w:rPr>
          <w:rtl/>
        </w:rPr>
        <w:t xml:space="preserve">. העירייה מבצעת פעולות </w:t>
      </w:r>
      <w:r w:rsidRPr="00704AAD">
        <w:rPr>
          <w:rtl/>
        </w:rPr>
        <w:t>תחזוקה</w:t>
      </w:r>
      <w:r w:rsidRPr="00573514">
        <w:rPr>
          <w:rtl/>
        </w:rPr>
        <w:t xml:space="preserve"> לגידור </w:t>
      </w:r>
      <w:r w:rsidRPr="00704AAD">
        <w:rPr>
          <w:rtl/>
        </w:rPr>
        <w:t>ושילוט</w:t>
      </w:r>
      <w:r w:rsidRPr="00573514">
        <w:rPr>
          <w:rtl/>
        </w:rPr>
        <w:t xml:space="preserve"> אזהרה קיים וכן פעולות שמעלה יועץ בטיחות העורך סקר סיכונים בחופים לפני פתיחת עונת הרחצה. אולם אין היא יוזמת פעולות לגידור ושילוט לאורך כל מקטעי המצוק הן בגג המצוק והן בבוהן המצוק</w:t>
      </w:r>
      <w:r>
        <w:rPr>
          <w:rStyle w:val="FootnoteReference1"/>
          <w:sz w:val="19"/>
          <w:szCs w:val="19"/>
          <w:rtl/>
        </w:rPr>
        <w:footnoteReference w:id="11"/>
      </w:r>
      <w:r w:rsidRPr="00573514">
        <w:rPr>
          <w:rtl/>
        </w:rPr>
        <w:t>.</w:t>
      </w:r>
    </w:p>
    <w:p w:rsidR="00704AAD" w:rsidP="00704AAD" w14:paraId="0DE17936" w14:textId="27DEE4E1">
      <w:pPr>
        <w:pStyle w:val="7315"/>
        <w:rPr>
          <w:rtl/>
        </w:rPr>
      </w:pPr>
      <w:r w:rsidRPr="003F0A00">
        <w:rPr>
          <w:rStyle w:val="7371"/>
          <w:rFonts w:hint="cs"/>
          <w:noProof/>
          <w:rtl/>
        </w:rPr>
        <w:drawing>
          <wp:anchor distT="0" distB="0" distL="114300" distR="114300" simplePos="0" relativeHeight="2517053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Pr>
          <w:b/>
          <w:bCs/>
          <w:rtl/>
        </w:rPr>
        <w:t xml:space="preserve">ביצוע עבודות מיגון ימי באשקלון ובהרצלייה </w:t>
      </w:r>
      <w:r w:rsidRPr="00573514">
        <w:rPr>
          <w:rtl/>
        </w:rPr>
        <w:t xml:space="preserve">- בביקורת הקודמת הועלה כי החברה להגנת המצוק לא שיקמה את שובר הגלים הצפוני באשקלון בתא שטח 38, והחלה להזין חול בלי לבחון את יעילותה של הזנת החול במצב שבו שובר הגלים לא שוקם וטרם פעלה להקמת הגנות קבועות בתא שטח זה. עוד נמצא כי החברה להגנת המצוק טרם החלה לבצע את ההגנות הימיות בתא השטח 39 (תל אשקלון). כמו כן הועלה כי לא אושר תכנון ימי למצוק בחופי הרצלייה וממילא מיגון זה לא בוצע. בביקורת המעקב הועלה כי הליקויים </w:t>
      </w:r>
      <w:r w:rsidRPr="00573514">
        <w:rPr>
          <w:b/>
          <w:bCs/>
          <w:rtl/>
        </w:rPr>
        <w:t>תוקנו במידה מועטה</w:t>
      </w:r>
      <w:r w:rsidRPr="00573514">
        <w:rPr>
          <w:rtl/>
        </w:rPr>
        <w:t xml:space="preserve">. החברה להגנת המצוק שיקמה את שובר הגלים הצפוני באשקלון בתא שטח 38 ותחזקה את מערכת </w:t>
      </w:r>
      <w:r w:rsidRPr="00573514">
        <w:rPr>
          <w:rtl/>
        </w:rPr>
        <w:t>הגיאוטיובים</w:t>
      </w:r>
      <w:r>
        <w:rPr>
          <w:rStyle w:val="FootnoteReference1"/>
          <w:sz w:val="19"/>
          <w:szCs w:val="19"/>
          <w:rtl/>
        </w:rPr>
        <w:footnoteReference w:id="12"/>
      </w:r>
      <w:r w:rsidRPr="00573514">
        <w:rPr>
          <w:rtl/>
        </w:rPr>
        <w:t xml:space="preserve"> שהקימה, אף שלתפיסתה פתרון זה פחות </w:t>
      </w:r>
      <w:r w:rsidRPr="00573514">
        <w:rPr>
          <w:rtl/>
        </w:rPr>
        <w:t>אפקטיבי בתא שטח</w:t>
      </w:r>
      <w:r w:rsidRPr="00573514">
        <w:rPr>
          <w:sz w:val="24"/>
          <w:rtl/>
        </w:rPr>
        <w:t xml:space="preserve"> </w:t>
      </w:r>
      <w:r w:rsidRPr="00573514">
        <w:rPr>
          <w:rtl/>
        </w:rPr>
        <w:t xml:space="preserve">זה, והיא טרם סיימה להכין את התוכנית להקמת שוברי הגלים שאמורים לשמש הגנות קבועות בקטע זה. החברה ביצעה הזנת חול בתא שטח 39 אך טרם סיימה לבחון את פתרונות ההגנה הימית בתא שטח זה. כמו כן הועלה כי תוכנית חזית הים בהרצלייה אושרה אך החברה טרם גיבשה פתרון להגנה ימית מצפון </w:t>
      </w:r>
      <w:r w:rsidRPr="00573514">
        <w:rPr>
          <w:rtl/>
        </w:rPr>
        <w:t>לסידנא</w:t>
      </w:r>
      <w:r w:rsidRPr="00573514">
        <w:rPr>
          <w:rtl/>
        </w:rPr>
        <w:t xml:space="preserve"> עלי וטרם החלה בביצוע מיגון ימי בהרצלייה.</w:t>
      </w:r>
    </w:p>
    <w:p w:rsidR="00704AAD" w:rsidP="00704AAD" w14:paraId="059DB808" w14:textId="420FEBDB">
      <w:pPr>
        <w:pStyle w:val="7315"/>
        <w:rPr>
          <w:rtl/>
        </w:rPr>
      </w:pPr>
      <w:r w:rsidRPr="003F0A00">
        <w:rPr>
          <w:rStyle w:val="7371"/>
          <w:rFonts w:hint="cs"/>
          <w:noProof/>
          <w:rtl/>
        </w:rPr>
        <w:drawing>
          <wp:anchor distT="0" distB="0" distL="114300" distR="114300" simplePos="0" relativeHeight="2517063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04AAD">
        <w:rPr>
          <w:b/>
          <w:bCs/>
          <w:rtl/>
        </w:rPr>
        <w:t xml:space="preserve">המשך פעילות החברה להגנת המצוק ושריון תקציב לשלב ב' </w:t>
      </w:r>
      <w:r w:rsidRPr="00704AAD">
        <w:rPr>
          <w:rtl/>
        </w:rPr>
        <w:t>- נכון למועד סיום הביקורת טרם גובשה החלטת ממשלה להמשך פעילות החברה להגנת המצוק ולמימון שלב ב' של המיגון הימי הנדרש למצוק ומועד תוקף הסכם ההתקשרות של המשרד להגנת הסביבה עם החברה היה סוף שנת 2023. ביום 9.6.24, לאחר מועד סיום הביקורת, קיבלה הממשלה החלטה</w:t>
      </w:r>
      <w:r>
        <w:rPr>
          <w:rStyle w:val="FootnoteReference1"/>
          <w:sz w:val="19"/>
          <w:szCs w:val="19"/>
          <w:rtl/>
        </w:rPr>
        <w:footnoteReference w:id="13"/>
      </w:r>
      <w:r w:rsidRPr="00704AAD">
        <w:rPr>
          <w:rtl/>
        </w:rPr>
        <w:t xml:space="preserve"> על המשך פעילות החברה להגנת המצוק עד לסוף חודש יוני 2026.</w:t>
      </w:r>
    </w:p>
    <w:p w:rsidR="00704AAD" w:rsidRPr="00704AAD" w:rsidP="00704AAD" w14:paraId="2D305516" w14:textId="43052B9D">
      <w:pPr>
        <w:pStyle w:val="7315"/>
      </w:pPr>
      <w:r w:rsidRPr="003F0A00">
        <w:rPr>
          <w:rStyle w:val="7371"/>
          <w:rFonts w:hint="cs"/>
          <w:noProof/>
          <w:rtl/>
        </w:rPr>
        <w:drawing>
          <wp:anchor distT="0" distB="0" distL="114300" distR="114300" simplePos="0" relativeHeight="2517073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73514">
        <w:rPr>
          <w:b/>
          <w:bCs/>
          <w:rtl/>
        </w:rPr>
        <w:t>התמודדות עם שינויי אקלים</w:t>
      </w:r>
      <w:r w:rsidRPr="00573514">
        <w:rPr>
          <w:rtl/>
        </w:rPr>
        <w:t xml:space="preserve"> - מניתוח של דוחות וחוות דעת בנושא שינוי אקלים מהשנים 2017 - 2023 נקבע כי קצב עליית מפלס הים הואץ מאז תחילת העידן התעשייתי והוצגו תרחישים הצופים עלייה במפלס פני הים שתביא לארוזיה</w:t>
      </w:r>
      <w:r>
        <w:rPr>
          <w:rStyle w:val="FootnoteReference1"/>
          <w:sz w:val="19"/>
          <w:szCs w:val="19"/>
          <w:rtl/>
        </w:rPr>
        <w:footnoteReference w:id="14"/>
      </w:r>
      <w:r w:rsidRPr="00573514">
        <w:rPr>
          <w:rtl/>
        </w:rPr>
        <w:t xml:space="preserve"> מוגברת של החופים ולסכנת התמוטטות של מצוקי הכורכר. נסיגת המצוק תגרום להרחבת תחום הסיכון לחיי אדם ולנכסים ותשתיות חוף הבנויים עליו ובסמוך לו. על פי טיוטת חוות דעת מיולי 2023 אומדן הנזק שייגרם מהתמוטטות המצוק כתוצאה מקצב גידול רצועת הסיכון בחצי </w:t>
      </w:r>
      <w:r w:rsidRPr="00704AAD">
        <w:rPr>
          <w:rtl/>
        </w:rPr>
        <w:t>מטר</w:t>
      </w:r>
      <w:r w:rsidRPr="00573514">
        <w:rPr>
          <w:rtl/>
        </w:rPr>
        <w:t xml:space="preserve"> בשנה מסתכם בכ-700 מיליון </w:t>
      </w:r>
      <w:r w:rsidRPr="00573514">
        <w:rPr>
          <w:rtl/>
        </w:rPr>
        <w:t>ש''ח</w:t>
      </w:r>
      <w:r w:rsidRPr="00573514">
        <w:rPr>
          <w:rtl/>
        </w:rPr>
        <w:t xml:space="preserve">, וב-2,450 מיליון </w:t>
      </w:r>
      <w:r w:rsidRPr="00573514">
        <w:rPr>
          <w:rtl/>
        </w:rPr>
        <w:t>ש''ח</w:t>
      </w:r>
      <w:r w:rsidRPr="00573514">
        <w:rPr>
          <w:rtl/>
        </w:rPr>
        <w:t xml:space="preserve"> בקצב גידול של מטר אחד לשנה. דבר זה מחדד את הצורך והדחיפות ביישום פתרונות לחיזוק המצוק החופי. הועלה כי חוות הדעת של חברת הייעוץ שעימה התקשרה החברה להגנת המצוק והמסקנות שצוינו בה נשלחו למשרד להגנת הסביבה ולמנהלת להיערכות לשינוי אקלים, אולם עד מועד סיום הביקורת טרם התקבלה התייחסותם.</w:t>
      </w:r>
    </w:p>
    <w:p w:rsidR="00487083" w:rsidP="00487083" w14:paraId="145965F7" w14:textId="77777777">
      <w:pPr>
        <w:pStyle w:val="713"/>
        <w:rPr>
          <w:rtl/>
        </w:rPr>
      </w:pPr>
      <w:r w:rsidRPr="00362C00">
        <w:rPr>
          <w:rFonts w:hint="cs"/>
          <w:noProof/>
          <w:sz w:val="19"/>
          <w:szCs w:val="19"/>
          <w:rtl/>
        </w:rPr>
        <w:drawing>
          <wp:anchor distT="0" distB="0" distL="114300" distR="114300" simplePos="0" relativeHeight="251694080" behindDoc="1" locked="0" layoutInCell="1" allowOverlap="1">
            <wp:simplePos x="0" y="0"/>
            <wp:positionH relativeFrom="column">
              <wp:posOffset>2391410</wp:posOffset>
            </wp:positionH>
            <wp:positionV relativeFrom="paragraph">
              <wp:posOffset>0</wp:posOffset>
            </wp:positionV>
            <wp:extent cx="2355215" cy="180340"/>
            <wp:effectExtent l="0" t="0" r="6985" b="0"/>
            <wp:wrapNone/>
            <wp:docPr id="36"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ke.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4F5000" w:rsidRPr="00573514" w:rsidP="004F5000" w14:paraId="2863DF26" w14:textId="77777777">
      <w:pPr>
        <w:pStyle w:val="7315"/>
        <w:rPr>
          <w:rtl/>
        </w:rPr>
      </w:pPr>
      <w:bookmarkStart w:id="5" w:name="_Hlk155546745"/>
      <w:r w:rsidRPr="00573514">
        <w:rPr>
          <w:b/>
          <w:bCs/>
          <w:rtl/>
        </w:rPr>
        <w:t xml:space="preserve">אומדן עלויות הביצוע של ההגנות הימיות </w:t>
      </w:r>
      <w:r w:rsidRPr="00573514">
        <w:rPr>
          <w:rtl/>
        </w:rPr>
        <w:t xml:space="preserve">- בביקורת הקודמת עלה כי לא היה </w:t>
      </w:r>
      <w:r w:rsidRPr="004F5000">
        <w:rPr>
          <w:rtl/>
        </w:rPr>
        <w:t>למי</w:t>
      </w:r>
      <w:r w:rsidRPr="00573514">
        <w:rPr>
          <w:rtl/>
        </w:rPr>
        <w:t xml:space="preserve"> מהגורמים אומדנים עדכניים על עלויות המיגון הימי וכי לא נעשתה בחינה לאומדנים המלאים לביצוע ההגנות הימיות לאורך המצוק. בביקורת המעקב הועלה כי הליקוי </w:t>
      </w:r>
      <w:r w:rsidRPr="00B109D7">
        <w:rPr>
          <w:b/>
          <w:bCs/>
          <w:rtl/>
        </w:rPr>
        <w:t>תוקן</w:t>
      </w:r>
      <w:r w:rsidRPr="00573514">
        <w:rPr>
          <w:rtl/>
        </w:rPr>
        <w:t xml:space="preserve"> </w:t>
      </w:r>
      <w:r w:rsidRPr="00573514">
        <w:rPr>
          <w:b/>
          <w:bCs/>
          <w:rtl/>
        </w:rPr>
        <w:t>באופן מלא</w:t>
      </w:r>
      <w:r w:rsidRPr="00573514">
        <w:rPr>
          <w:rtl/>
        </w:rPr>
        <w:t>, כי ברשות החברה להגנת המצוק אומדן מלא להגנות אלה, וכי האומדנים נבחנו בדיוני ועדת ההיגוי</w:t>
      </w:r>
      <w:r>
        <w:rPr>
          <w:rStyle w:val="FootnoteReference1"/>
          <w:sz w:val="19"/>
          <w:szCs w:val="19"/>
          <w:rtl/>
        </w:rPr>
        <w:footnoteReference w:id="15"/>
      </w:r>
      <w:r w:rsidRPr="00573514">
        <w:rPr>
          <w:rtl/>
        </w:rPr>
        <w:t>.</w:t>
      </w:r>
    </w:p>
    <w:p w:rsidR="004F5000" w:rsidRPr="00573514" w:rsidP="004F5000" w14:paraId="1A747612" w14:textId="77777777">
      <w:pPr>
        <w:pStyle w:val="7315"/>
        <w:rPr>
          <w:rtl/>
        </w:rPr>
      </w:pPr>
      <w:r w:rsidRPr="00573514">
        <w:rPr>
          <w:b/>
          <w:bCs/>
          <w:rtl/>
        </w:rPr>
        <w:t>ביצוע פעולות מיגון דחופות והגנה על שלום הציבור</w:t>
      </w:r>
      <w:r w:rsidRPr="00573514">
        <w:rPr>
          <w:rtl/>
        </w:rPr>
        <w:t xml:space="preserve"> - בביקורת הקודמת עלה כי עיריית</w:t>
      </w:r>
      <w:r w:rsidRPr="00573514">
        <w:rPr>
          <w:b/>
          <w:bCs/>
          <w:rtl/>
        </w:rPr>
        <w:t xml:space="preserve"> </w:t>
      </w:r>
      <w:r w:rsidRPr="00573514">
        <w:rPr>
          <w:rtl/>
        </w:rPr>
        <w:t xml:space="preserve">הרצלייה לא קידמה ביצוע של הגנות דחופות או פעולות להגנה על שלום הציבור. בביקורת זו עלה כי הליקוי </w:t>
      </w:r>
      <w:r w:rsidRPr="00B109D7">
        <w:rPr>
          <w:b/>
          <w:bCs/>
          <w:rtl/>
        </w:rPr>
        <w:t>תוקן</w:t>
      </w:r>
      <w:r w:rsidRPr="00573514">
        <w:rPr>
          <w:rtl/>
        </w:rPr>
        <w:t xml:space="preserve"> </w:t>
      </w:r>
      <w:r w:rsidRPr="00573514">
        <w:rPr>
          <w:b/>
          <w:bCs/>
          <w:rtl/>
        </w:rPr>
        <w:t>במידה רבה</w:t>
      </w:r>
      <w:r w:rsidRPr="00573514">
        <w:rPr>
          <w:rtl/>
        </w:rPr>
        <w:t>. עיריית</w:t>
      </w:r>
      <w:r w:rsidRPr="00573514">
        <w:rPr>
          <w:b/>
          <w:bCs/>
          <w:rtl/>
        </w:rPr>
        <w:t xml:space="preserve"> </w:t>
      </w:r>
      <w:r w:rsidRPr="00573514">
        <w:rPr>
          <w:rtl/>
        </w:rPr>
        <w:t>הרצלייה נקטה פעולות לביצוע הגנות דחופות ולשמירה על שלום הציבור בכמה ממקטעי המצוק שבתחומה, אולם טרם השלימה את הצבת הגידור בכמה ממקטעי המצוק.</w:t>
      </w:r>
    </w:p>
    <w:p w:rsidR="004F5000" w:rsidRPr="00573514" w:rsidP="004F5000" w14:paraId="00E24C09" w14:textId="77777777">
      <w:pPr>
        <w:pStyle w:val="7315"/>
        <w:rPr>
          <w:rtl/>
        </w:rPr>
      </w:pPr>
      <w:r w:rsidRPr="00573514">
        <w:rPr>
          <w:b/>
          <w:bCs/>
          <w:rtl/>
        </w:rPr>
        <w:t xml:space="preserve">פעולות לאימוץ טכנולוגיות חדשניות למיגון ימי על המצוק החופי </w:t>
      </w:r>
      <w:r w:rsidRPr="00ED768D">
        <w:rPr>
          <w:rFonts w:hint="cs"/>
          <w:rtl/>
        </w:rPr>
        <w:t>-</w:t>
      </w:r>
      <w:r>
        <w:rPr>
          <w:rFonts w:hint="cs"/>
          <w:b/>
          <w:bCs/>
          <w:rtl/>
        </w:rPr>
        <w:t xml:space="preserve"> </w:t>
      </w:r>
      <w:r w:rsidRPr="00573514">
        <w:rPr>
          <w:rtl/>
        </w:rPr>
        <w:t>החברה להגנת המצוק בוחנת טכנולוגיות חדשניות</w:t>
      </w:r>
      <w:r>
        <w:rPr>
          <w:rFonts w:hint="cs"/>
          <w:rtl/>
        </w:rPr>
        <w:t>,</w:t>
      </w:r>
      <w:r w:rsidRPr="00573514">
        <w:rPr>
          <w:rtl/>
        </w:rPr>
        <w:t xml:space="preserve"> כגון שרוול בד טקסטיל סינטטי עם מוליכים </w:t>
      </w:r>
      <w:r w:rsidRPr="004F5000">
        <w:rPr>
          <w:rtl/>
        </w:rPr>
        <w:t>מתכתיים</w:t>
      </w:r>
      <w:r w:rsidRPr="00573514">
        <w:rPr>
          <w:rtl/>
        </w:rPr>
        <w:t>, מבנה מתכת מוטבע המחובר למעגל חשמלי ושימוש בעשבי ים, והיא פועלת לקליטתן בסל הפתרונות למיגון המצוק.</w:t>
      </w:r>
    </w:p>
    <w:p w:rsidR="004F5000" w:rsidRPr="00573514" w:rsidP="004F5000" w14:paraId="048BB14B" w14:textId="77777777">
      <w:pPr>
        <w:pStyle w:val="7315"/>
        <w:rPr>
          <w:rtl/>
        </w:rPr>
      </w:pPr>
      <w:r w:rsidRPr="00573514">
        <w:rPr>
          <w:b/>
          <w:bCs/>
          <w:rtl/>
        </w:rPr>
        <w:t xml:space="preserve">פיתוח מדד יציבות של המצוק להערכת מסוכנותו </w:t>
      </w:r>
      <w:r>
        <w:rPr>
          <w:rFonts w:hint="cs"/>
          <w:rtl/>
        </w:rPr>
        <w:t xml:space="preserve">- </w:t>
      </w:r>
      <w:r w:rsidRPr="00573514">
        <w:rPr>
          <w:rtl/>
        </w:rPr>
        <w:t xml:space="preserve">החברה להגנת המצוק בנתה מדד </w:t>
      </w:r>
      <w:r w:rsidRPr="004F5000">
        <w:rPr>
          <w:rtl/>
        </w:rPr>
        <w:t>יציבות</w:t>
      </w:r>
      <w:r w:rsidRPr="00573514">
        <w:rPr>
          <w:rtl/>
        </w:rPr>
        <w:t xml:space="preserve"> (מסוכנות) המצוק המורכב מקריטריונים המשפיעים על יציבותו. מדד היציבות הביא לעדכון הטבלה לתיעדוף הטיפול בתאי השטח על ידי החברה להגנת המצוק.</w:t>
      </w:r>
    </w:p>
    <w:p w:rsidR="004F5000" w:rsidRPr="00573514" w:rsidP="004F5000" w14:paraId="7E1D2A50" w14:textId="77777777">
      <w:pPr>
        <w:pStyle w:val="7315"/>
        <w:rPr>
          <w:rtl/>
        </w:rPr>
      </w:pPr>
      <w:r w:rsidRPr="00573514">
        <w:rPr>
          <w:b/>
          <w:bCs/>
          <w:rtl/>
        </w:rPr>
        <w:t>תקציב החברה להגנת המצוק</w:t>
      </w:r>
      <w:r w:rsidRPr="00573514">
        <w:rPr>
          <w:rtl/>
        </w:rPr>
        <w:t xml:space="preserve"> - בביקורת הקודמת עלה כי ניצול התקציב של החברה להגנת המצוק בסעיף פעולות היה נמוך מאוד - 5% - 19% מהתקציב בשנים 2016 - 2018. הועלה כי הליקוי </w:t>
      </w:r>
      <w:r w:rsidRPr="004F5000">
        <w:rPr>
          <w:rtl/>
        </w:rPr>
        <w:t>תוקן</w:t>
      </w:r>
      <w:r w:rsidRPr="00573514">
        <w:rPr>
          <w:rtl/>
        </w:rPr>
        <w:t xml:space="preserve"> </w:t>
      </w:r>
      <w:r w:rsidRPr="00573514">
        <w:rPr>
          <w:b/>
          <w:bCs/>
          <w:rtl/>
        </w:rPr>
        <w:t>במידה רבה</w:t>
      </w:r>
      <w:r w:rsidRPr="00573514">
        <w:rPr>
          <w:rtl/>
        </w:rPr>
        <w:t>. בביקורת המעקב עלה כי יש עלייה בניצול התקציב המתבטאת בביצוע מיזמים של הגנה ימית באזורים שונים, כך לדוגמה בחצי הראשון של שנת 2023 עמד הניצול התקציבי על 23.7 מיליון מתוך 35.6 מיליון</w:t>
      </w:r>
      <w:r>
        <w:rPr>
          <w:rStyle w:val="FootnoteReference1"/>
          <w:sz w:val="19"/>
          <w:szCs w:val="19"/>
          <w:rtl/>
        </w:rPr>
        <w:footnoteReference w:id="16"/>
      </w:r>
      <w:r w:rsidRPr="00573514">
        <w:rPr>
          <w:rtl/>
        </w:rPr>
        <w:t>, משמע ניצול של כ-66.6%, אך עדיין אין מדובר בניצול מלא של התקציב, וכי ועדת ההיגוי עוקבת אחר עניין זה.</w:t>
      </w:r>
    </w:p>
    <w:p w:rsidR="00487083" w:rsidP="004F5000" w14:paraId="69F8576F" w14:textId="63E3A544">
      <w:pPr>
        <w:pStyle w:val="7315"/>
        <w:rPr>
          <w:rtl/>
        </w:rPr>
      </w:pPr>
      <w:r w:rsidRPr="00573514">
        <w:rPr>
          <w:b/>
          <w:bCs/>
          <w:rtl/>
        </w:rPr>
        <w:t>היערכות החברה להגנת המצוק לשינויי אקלים</w:t>
      </w:r>
      <w:r>
        <w:rPr>
          <w:rFonts w:hint="cs"/>
          <w:b/>
          <w:bCs/>
          <w:rtl/>
        </w:rPr>
        <w:t xml:space="preserve"> </w:t>
      </w:r>
      <w:r w:rsidRPr="00ED768D">
        <w:rPr>
          <w:rFonts w:hint="cs"/>
          <w:rtl/>
        </w:rPr>
        <w:t>-</w:t>
      </w:r>
      <w:r w:rsidRPr="00573514">
        <w:rPr>
          <w:rtl/>
        </w:rPr>
        <w:t xml:space="preserve"> הועלה כי החברה להגנת המצוק התקשרה עם חברת ייעוץ למתן שירותי ייעוץ וליווי בנושא היערכות לשינויי אקלים </w:t>
      </w:r>
      <w:r w:rsidRPr="004F5000">
        <w:rPr>
          <w:rtl/>
        </w:rPr>
        <w:t>והשפעתם</w:t>
      </w:r>
      <w:r w:rsidRPr="00573514">
        <w:rPr>
          <w:rtl/>
        </w:rPr>
        <w:t xml:space="preserve"> על המצוק החופי.</w:t>
      </w:r>
    </w:p>
    <w:bookmarkEnd w:id="5"/>
    <w:p w:rsidR="00EB672B" w:rsidRPr="006F49D3" w:rsidP="006F49D3" w14:paraId="1FC3C430" w14:textId="6EF2322A">
      <w:pPr>
        <w:pStyle w:val="751"/>
        <w:rPr>
          <w:rtl/>
        </w:rPr>
      </w:pPr>
      <w:r w:rsidRPr="006F49D3">
        <w:rPr>
          <w:rFonts w:hint="cs"/>
          <w:rtl/>
        </w:rPr>
        <w:t>עיקרי המלצות הביקורת</w:t>
      </w:r>
    </w:p>
    <w:p w:rsidR="007A029E" w:rsidP="007A029E" w14:paraId="1FD2FB2D" w14:textId="6D7B7168">
      <w:pPr>
        <w:pStyle w:val="756"/>
        <w:rPr>
          <w:rtl/>
        </w:rPr>
      </w:pPr>
      <w:r w:rsidRPr="00B56ABC">
        <w:rPr>
          <w:rFonts w:hint="cs"/>
          <w:b/>
          <w:noProof/>
          <w:rtl/>
        </w:rPr>
        <w:drawing>
          <wp:anchor distT="0" distB="1440180" distL="107950" distR="114300" simplePos="0" relativeHeight="25168076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56ABC" w:rsidR="00B56ABC">
        <w:rPr>
          <w:rFonts w:hint="cs"/>
          <w:b/>
          <w:rtl/>
        </w:rPr>
        <w:t>מומלץ</w:t>
      </w:r>
      <w:r w:rsidRPr="00B56ABC">
        <w:rPr>
          <w:b/>
          <w:rtl/>
        </w:rPr>
        <w:t xml:space="preserve"> </w:t>
      </w:r>
      <w:r w:rsidRPr="00573514">
        <w:rPr>
          <w:rtl/>
        </w:rPr>
        <w:t>כי משרדי הגנת הסביבה והפנים יבחנו את הסיבות לעיכובים בביצוע המיגון היבשתי והימי בכל אחד מתאי השטח, ובכלל זה בחינת ההשלכות של פסילת חלק מהפתרונות על ההגנה הנדרשת על המצוק, ויפעלו למציאת פתרונות שיקדמו את ביצוע ההגנות בהתאם לנקבע בתוכניות המתאר הארציות במטרה למנוע את הסכנות הכרוכות בהרס המצוק</w:t>
      </w:r>
      <w:r w:rsidRPr="007C7D40">
        <w:rPr>
          <w:rFonts w:hint="cs"/>
          <w:rtl/>
        </w:rPr>
        <w:t>.</w:t>
      </w:r>
    </w:p>
    <w:p w:rsidR="00EB672B" w:rsidP="007A029E" w14:paraId="1DD50AB4" w14:textId="20E91BE8">
      <w:pPr>
        <w:pStyle w:val="756"/>
        <w:rPr>
          <w:rtl/>
        </w:rPr>
      </w:pPr>
      <w:r w:rsidRPr="0063556C">
        <w:rPr>
          <w:rStyle w:val="7372"/>
          <w:rFonts w:hint="cs"/>
          <w:noProof/>
          <w:rtl/>
        </w:rPr>
        <w:drawing>
          <wp:anchor distT="0" distB="1440180" distL="107950" distR="114300" simplePos="0" relativeHeight="25168179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7A029E">
        <w:rPr>
          <w:rtl/>
        </w:rPr>
        <w:t xml:space="preserve">מומלץ כי משרד הפנים יפעל מול הרשויות המקומיות לקבלת אומדנים עדכניים וכוללים לעלויות ההגנות היבשתיות ותחזוקתן. על משרדי ראש הממשלה, הפנים והגנת הסביבה לפעול למציאת פתרון מוסכם להסדרת האחריות למימון ולקידום של ביצוע ההגנות היבשתיות, כדי להגן על המצוק ולשמור על שלום הציבור. מומלץ כי החברה להגנת המצוק תפעל לקידום התכנון והביצוע של ההגנות הימיות בכל תאי השטח שבהם נדרש מיגון ימי. על החברה להגנת המצוק ועיריית </w:t>
      </w:r>
      <w:r w:rsidRPr="00573514" w:rsidR="007A029E">
        <w:rPr>
          <w:b/>
          <w:bCs/>
          <w:rtl/>
        </w:rPr>
        <w:t>הרצלייה</w:t>
      </w:r>
      <w:r w:rsidRPr="00573514" w:rsidR="007A029E">
        <w:rPr>
          <w:rtl/>
        </w:rPr>
        <w:t xml:space="preserve"> לפעול להשלמת ניתוח תאי השטח בהרצלייה ולאישורו, ובהמשך לפעול ליישום פתרונות המיגון שיאושרו, ובעיקר אלה שיוגדרו הגנות דחופות</w:t>
      </w:r>
      <w:r w:rsidRPr="007C7D40">
        <w:rPr>
          <w:rtl/>
        </w:rPr>
        <w:t xml:space="preserve">. </w:t>
      </w:r>
    </w:p>
    <w:p w:rsidR="00EB672B" w:rsidRPr="007C7D40" w:rsidP="007A029E" w14:paraId="1108540A" w14:textId="6511F77F">
      <w:pPr>
        <w:pStyle w:val="756"/>
        <w:rPr>
          <w:rtl/>
        </w:rPr>
      </w:pPr>
      <w:r w:rsidRPr="00AC4232">
        <w:rPr>
          <w:rFonts w:hint="cs"/>
          <w:bCs/>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7A029E">
        <w:rPr>
          <w:rtl/>
        </w:rPr>
        <w:t xml:space="preserve">על עיריות </w:t>
      </w:r>
      <w:r w:rsidRPr="00573514" w:rsidR="007A029E">
        <w:rPr>
          <w:b/>
          <w:bCs/>
          <w:rtl/>
        </w:rPr>
        <w:t>אשקלון</w:t>
      </w:r>
      <w:r w:rsidRPr="00573514" w:rsidR="007A029E">
        <w:rPr>
          <w:rtl/>
        </w:rPr>
        <w:t xml:space="preserve"> </w:t>
      </w:r>
      <w:r w:rsidRPr="00573514" w:rsidR="007A029E">
        <w:rPr>
          <w:b/>
          <w:bCs/>
          <w:rtl/>
        </w:rPr>
        <w:t xml:space="preserve">והרצלייה </w:t>
      </w:r>
      <w:r w:rsidRPr="00573514" w:rsidR="007A029E">
        <w:rPr>
          <w:rtl/>
        </w:rPr>
        <w:t xml:space="preserve">לפעול </w:t>
      </w:r>
      <w:r w:rsidRPr="007A029E" w:rsidR="007A029E">
        <w:rPr>
          <w:rtl/>
        </w:rPr>
        <w:t>לקידום</w:t>
      </w:r>
      <w:r w:rsidRPr="00573514" w:rsidR="007A029E">
        <w:rPr>
          <w:rtl/>
        </w:rPr>
        <w:t xml:space="preserve"> ההגנות היבשתיות הנדרשות בתאי השטח שבאחריותן ולהשלמת עבודות השילוט והגידור באזורים שבהם הדבר נדרש</w:t>
      </w:r>
      <w:r w:rsidRPr="007C7D40">
        <w:rPr>
          <w:rFonts w:hint="cs"/>
          <w:rtl/>
        </w:rPr>
        <w:t>.</w:t>
      </w:r>
    </w:p>
    <w:p w:rsidR="003F0A00" w:rsidP="007A029E" w14:paraId="078CC367" w14:textId="03A709FE">
      <w:pPr>
        <w:pStyle w:val="756"/>
        <w:rPr>
          <w:rtl/>
        </w:rPr>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7A029E">
        <w:rPr>
          <w:rtl/>
        </w:rPr>
        <w:t xml:space="preserve">מומלץ כי </w:t>
      </w:r>
      <w:r w:rsidRPr="00573514" w:rsidR="007A029E">
        <w:rPr>
          <w:rtl/>
        </w:rPr>
        <w:t>רט"ג</w:t>
      </w:r>
      <w:r w:rsidRPr="00573514" w:rsidR="007A029E">
        <w:rPr>
          <w:rtl/>
        </w:rPr>
        <w:t xml:space="preserve"> תפעל לקידום ההגנות היבשתיות הנדרשות בתאי השטח של המצוק הנמצאים בתחומי אחריותה. במסגרת זו, אם </w:t>
      </w:r>
      <w:r w:rsidRPr="00573514" w:rsidR="007A029E">
        <w:rPr>
          <w:rtl/>
        </w:rPr>
        <w:t>רט"ג</w:t>
      </w:r>
      <w:r w:rsidRPr="00573514" w:rsidR="007A029E">
        <w:rPr>
          <w:rtl/>
        </w:rPr>
        <w:t xml:space="preserve"> מעוניינת לקדם פתרונות שלא יכללו </w:t>
      </w:r>
      <w:r w:rsidRPr="007A029E" w:rsidR="007A029E">
        <w:rPr>
          <w:rtl/>
        </w:rPr>
        <w:t>עבודות</w:t>
      </w:r>
      <w:r w:rsidRPr="00573514" w:rsidR="007A029E">
        <w:rPr>
          <w:rtl/>
        </w:rPr>
        <w:t xml:space="preserve"> הגנה יבשתית על המצוק, עליה להביא זאת להחלטתם של המשרד להגנת הסביבה </w:t>
      </w:r>
      <w:r w:rsidRPr="00573514" w:rsidR="007A029E">
        <w:rPr>
          <w:rtl/>
        </w:rPr>
        <w:t>והוולחו"ף</w:t>
      </w:r>
      <w:r w:rsidRPr="007C7D40">
        <w:rPr>
          <w:rFonts w:hint="cs"/>
          <w:rtl/>
        </w:rPr>
        <w:t>.</w:t>
      </w:r>
    </w:p>
    <w:p w:rsidR="006A5AB7" w:rsidP="007A029E" w14:paraId="0A07A9C9" w14:textId="1F6BE0EE">
      <w:pPr>
        <w:pStyle w:val="756"/>
        <w:rPr>
          <w:rtl/>
        </w:rPr>
      </w:pPr>
      <w:r w:rsidRPr="0063556C">
        <w:rPr>
          <w:rStyle w:val="7372"/>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A029E" w:rsidR="007A029E">
        <w:rPr>
          <w:rtl/>
        </w:rPr>
        <w:t>מומלץ</w:t>
      </w:r>
      <w:r w:rsidRPr="00573514" w:rsidR="007A029E">
        <w:rPr>
          <w:rtl/>
        </w:rPr>
        <w:t xml:space="preserve"> כי החברה להגנת המצוק וועדת ההיגוי</w:t>
      </w:r>
      <w:r w:rsidRPr="00573514" w:rsidR="007A029E">
        <w:rPr>
          <w:b/>
          <w:bCs/>
          <w:rtl/>
        </w:rPr>
        <w:t xml:space="preserve"> </w:t>
      </w:r>
      <w:r w:rsidRPr="00573514" w:rsidR="007A029E">
        <w:rPr>
          <w:rtl/>
        </w:rPr>
        <w:t>ימשיכו בבחינה שוטפת של ניצול תקציבי הפעולות, ובמסגרת זו יבחנו אם קיימים חסמים העשויים לעכב את מימוש תקציב הפעולות השנתי ולתת להם ביטוי בתקציב החברה</w:t>
      </w:r>
      <w:r w:rsidR="007A029E">
        <w:rPr>
          <w:rFonts w:hint="cs"/>
          <w:rtl/>
        </w:rPr>
        <w:t>.</w:t>
      </w:r>
    </w:p>
    <w:p w:rsidR="006A5AB7" w:rsidP="007A029E" w14:paraId="178DD636" w14:textId="0CE0CC1F">
      <w:pPr>
        <w:pStyle w:val="756"/>
        <w:rPr>
          <w:rtl/>
        </w:rPr>
      </w:pPr>
      <w:r w:rsidRPr="0063556C">
        <w:rPr>
          <w:rStyle w:val="7372"/>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7A029E">
        <w:rPr>
          <w:rtl/>
        </w:rPr>
        <w:t xml:space="preserve">מומלץ כי משרדי ראש הממשלה, הגנת הסביבה, הפנים והאוצר ורשות מקרקעי ישראל </w:t>
      </w:r>
      <w:r w:rsidRPr="007A029E" w:rsidR="007A029E">
        <w:rPr>
          <w:rtl/>
        </w:rPr>
        <w:t>יפעלו</w:t>
      </w:r>
      <w:r w:rsidRPr="00573514" w:rsidR="007A029E">
        <w:rPr>
          <w:rtl/>
        </w:rPr>
        <w:t xml:space="preserve"> לקידום הצעת מחליטים מוסכמת שתבטיח את המשך הפעולות הנדרשות למיגון המצוק החופי ואת התקציב הנדרש לכך. במסגרת זו מומלץ כי יינתן מענה לנושא האחריות למימון ולהקמה של ההגנות הן היבשתיות הן הימיות</w:t>
      </w:r>
      <w:r w:rsidRPr="007C7D40">
        <w:rPr>
          <w:rFonts w:hint="cs"/>
          <w:rtl/>
        </w:rPr>
        <w:t>.</w:t>
      </w:r>
    </w:p>
    <w:p w:rsidR="006A5AB7" w:rsidP="007A029E" w14:paraId="31CCDFBF" w14:textId="5AEB0B58">
      <w:pPr>
        <w:pStyle w:val="756"/>
        <w:rPr>
          <w:rtl/>
        </w:rPr>
      </w:pPr>
      <w:r w:rsidRPr="0063556C">
        <w:rPr>
          <w:rStyle w:val="7372"/>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73514" w:rsidR="007A029E">
        <w:rPr>
          <w:rtl/>
        </w:rPr>
        <w:t xml:space="preserve">מומלץ כי החברה להגנת המצוק תציג באופן רשמי את נתוני מדד היציבות שבנתה לפני </w:t>
      </w:r>
      <w:r w:rsidRPr="00573514" w:rsidR="007A029E">
        <w:rPr>
          <w:rtl/>
        </w:rPr>
        <w:t>הוולחו"ף</w:t>
      </w:r>
      <w:r w:rsidRPr="00573514" w:rsidR="007A029E">
        <w:rPr>
          <w:rtl/>
        </w:rPr>
        <w:t xml:space="preserve"> </w:t>
      </w:r>
      <w:r w:rsidRPr="00573514" w:rsidR="007A029E">
        <w:rPr>
          <w:rtl/>
        </w:rPr>
        <w:t>ומינהל</w:t>
      </w:r>
      <w:r w:rsidRPr="00573514" w:rsidR="007A029E">
        <w:rPr>
          <w:rtl/>
        </w:rPr>
        <w:t xml:space="preserve"> התכנון. לאחר שתקבל את התייחסותם למדד היציבות תבחן החברה את תוצאותיו של </w:t>
      </w:r>
      <w:r w:rsidRPr="007A029E" w:rsidR="007A029E">
        <w:rPr>
          <w:rtl/>
        </w:rPr>
        <w:t>המדד</w:t>
      </w:r>
      <w:r w:rsidRPr="00573514" w:rsidR="007A029E">
        <w:rPr>
          <w:rtl/>
        </w:rPr>
        <w:t xml:space="preserve"> גם מול הרשויות המקומיות, ובהתאם למסקנות ישקלו </w:t>
      </w:r>
      <w:r w:rsidRPr="00573514" w:rsidR="007A029E">
        <w:rPr>
          <w:rtl/>
        </w:rPr>
        <w:t>מינהל</w:t>
      </w:r>
      <w:r w:rsidRPr="00573514" w:rsidR="007A029E">
        <w:rPr>
          <w:rtl/>
        </w:rPr>
        <w:t xml:space="preserve"> התכנון, המשרד להגנת הסביבה, החברה להגנת המצוק והרשויות המקומיות את הצורך בבחינה מחודשת של פתרונות המיגון הנדרשים למקטעי המצוק השונים ובתיעדוף מיגון מקטעי המצוק בהתאם למידת מסוכנותם. עוד מומלץ כי המשרד להגנת הסביבה יבחן בשיתוף החברה להגנת המצוק</w:t>
      </w:r>
      <w:r w:rsidRPr="00573514" w:rsidR="007A029E">
        <w:rPr>
          <w:b/>
          <w:bCs/>
          <w:rtl/>
        </w:rPr>
        <w:t xml:space="preserve"> </w:t>
      </w:r>
      <w:r w:rsidRPr="00573514" w:rsidR="007A029E">
        <w:rPr>
          <w:rtl/>
        </w:rPr>
        <w:t>את המסקנות שצוינו בחוות הדעת של חברת הייעוץ בנושא היערכות לשינויי אקלים ואת הצורך בעדכון של המדיניות להגנה על המצוק שנקבעה במסמך המדיניות משנת 2010 ושל המלצותיו של צוות היישום משנת 2011, נוכח התרחישים העדכניים לעליית מפלס הים ופוטנציאל הנזק למצוק החופי</w:t>
      </w:r>
      <w:r w:rsidRPr="007C7D40">
        <w:rPr>
          <w:rFonts w:hint="cs"/>
          <w:rtl/>
        </w:rPr>
        <w:t>.</w:t>
      </w:r>
    </w:p>
    <w:p w:rsidR="007A029E" w:rsidP="007A029E" w14:paraId="061F1FBD" w14:textId="77777777">
      <w:pPr>
        <w:pStyle w:val="756"/>
        <w:rPr>
          <w:rtl/>
        </w:rPr>
      </w:pPr>
    </w:p>
    <w:p w:rsidR="00654BA4" w14:paraId="3827DB1D" w14:textId="09846B4C">
      <w:pPr>
        <w:bidi w:val="0"/>
        <w:spacing w:after="200" w:line="276" w:lineRule="auto"/>
        <w:rPr>
          <w:rFonts w:ascii="Tahoma" w:hAnsi="Tahoma" w:cs="Tahoma"/>
          <w:color w:val="0D0D0D" w:themeColor="text1" w:themeTint="F2"/>
          <w:sz w:val="18"/>
          <w:szCs w:val="18"/>
          <w:rtl/>
        </w:rPr>
      </w:pPr>
      <w:r>
        <w:rPr>
          <w:rtl/>
        </w:rPr>
        <w:br w:type="page"/>
      </w:r>
    </w:p>
    <w:p w:rsidR="005D0F8C" w:rsidP="00EB672B" w14:paraId="757FD3ED" w14:textId="77777777">
      <w:pPr>
        <w:pStyle w:val="7315"/>
        <w:rPr>
          <w:rtl/>
        </w:rPr>
      </w:pPr>
      <w:r w:rsidRPr="00D527BD">
        <w:rPr>
          <w:noProof/>
          <w:szCs w:val="20"/>
          <w:rtl/>
        </w:rPr>
        <w:drawing>
          <wp:anchor distT="0" distB="0" distL="114300" distR="114300" simplePos="0" relativeHeight="251675648"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6672"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46D42825">
                            <w:pPr>
                              <w:pStyle w:val="7327"/>
                              <w:rPr>
                                <w:rtl/>
                              </w:rPr>
                            </w:pPr>
                            <w:r>
                              <w:rPr>
                                <w:rFonts w:hint="cs"/>
                                <w:noProof/>
                                <w:rtl/>
                              </w:rPr>
                              <w:t>תמונות הממחישות את מידת הסיכון הנשקפת מהתמוטטות המצוק</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7696" fillcolor="#f05260" stroked="f">
                <v:textbox>
                  <w:txbxContent>
                    <w:p w:rsidR="005D0F8C" w:rsidRPr="005C7ABF" w:rsidP="00524400" w14:paraId="0FF11C30" w14:textId="46D42825">
                      <w:pPr>
                        <w:pStyle w:val="7327"/>
                        <w:rPr>
                          <w:rtl/>
                        </w:rPr>
                      </w:pPr>
                      <w:r>
                        <w:rPr>
                          <w:rFonts w:hint="cs"/>
                          <w:noProof/>
                          <w:rtl/>
                        </w:rPr>
                        <w:t>תמונות הממחישות את מידת הסיכון הנשקפת מהתמוטטות המצוק</w:t>
                      </w:r>
                    </w:p>
                  </w:txbxContent>
                </v:textbox>
              </v:shape>
            </w:pict>
          </mc:Fallback>
        </mc:AlternateContent>
      </w:r>
      <w:r>
        <w:rPr>
          <w:rtl/>
        </w:rPr>
        <w:t xml:space="preserve"> </w:t>
      </w:r>
    </w:p>
    <w:p w:rsidR="005D0F8C" w:rsidP="005D0F8C" w14:paraId="43F21067" w14:textId="77777777">
      <w:pPr>
        <w:pStyle w:val="7315"/>
        <w:rPr>
          <w:rtl/>
        </w:rPr>
      </w:pPr>
    </w:p>
    <w:p w:rsidR="005D0F8C" w:rsidRPr="00D57BE9" w:rsidP="00D57BE9" w14:paraId="386C0913" w14:textId="18949245">
      <w:pPr>
        <w:rPr>
          <w:rtl/>
        </w:rPr>
      </w:pPr>
    </w:p>
    <w:p w:rsidR="00555321" w:rsidP="00083A12" w14:paraId="2479C045" w14:textId="1F60E297">
      <w:pPr>
        <w:pStyle w:val="753"/>
        <w:bidi w:val="0"/>
        <w:spacing w:before="0" w:after="0"/>
        <w:rPr>
          <w:rtl/>
        </w:rPr>
      </w:pPr>
      <w:r>
        <w:rPr>
          <w:noProof/>
          <w:rtl/>
          <w:lang w:val="he-IL"/>
        </w:rPr>
        <w:drawing>
          <wp:anchor distT="0" distB="0" distL="114300" distR="114300" simplePos="0" relativeHeight="251708416" behindDoc="0" locked="0" layoutInCell="1" allowOverlap="1">
            <wp:simplePos x="0" y="0"/>
            <wp:positionH relativeFrom="column">
              <wp:posOffset>-19050</wp:posOffset>
            </wp:positionH>
            <wp:positionV relativeFrom="paragraph">
              <wp:posOffset>237794</wp:posOffset>
            </wp:positionV>
            <wp:extent cx="4678680" cy="2688336"/>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8680" cy="2688336"/>
                    </a:xfrm>
                    <a:prstGeom prst="rect">
                      <a:avLst/>
                    </a:prstGeom>
                  </pic:spPr>
                </pic:pic>
              </a:graphicData>
            </a:graphic>
          </wp:anchor>
        </w:drawing>
      </w:r>
      <w:r w:rsidRPr="005A777B" w:rsidR="00FA4A68">
        <w:rPr>
          <w:b w:val="0"/>
          <w:bCs w:val="0"/>
          <w:rtl/>
        </w:rPr>
        <w:t>תמונות 1 ו-2:</w:t>
      </w:r>
      <w:r w:rsidRPr="00573514" w:rsidR="00FA4A68">
        <w:rPr>
          <w:rtl/>
        </w:rPr>
        <w:t xml:space="preserve"> לפני קריסת מצוק בתל גדור ואחריה</w:t>
      </w:r>
    </w:p>
    <w:p w:rsidR="00083A12" w:rsidRPr="00083A12" w:rsidP="00083A12" w14:paraId="50440C86" w14:textId="5BA11250">
      <w:pPr>
        <w:pStyle w:val="750"/>
        <w:spacing w:after="0"/>
      </w:pPr>
      <w:r w:rsidRPr="00083A12">
        <w:rPr>
          <w:rtl/>
        </w:rPr>
        <w:t>צילומים: החברה להגנת המצוק.</w:t>
      </w:r>
    </w:p>
    <w:p w:rsidR="00083A12" w:rsidRPr="00083A12" w:rsidP="00083A12" w14:paraId="5DA14D24" w14:textId="77777777">
      <w:pPr>
        <w:pStyle w:val="750"/>
        <w:spacing w:before="0" w:after="0"/>
        <w:rPr>
          <w:rtl/>
        </w:rPr>
      </w:pPr>
      <w:r w:rsidRPr="00083A12">
        <w:rPr>
          <w:rtl/>
        </w:rPr>
        <w:t>מימין: המצוק בתל גדור לאחר הקריסה, מרץ 2022; משמאל: המצוק בתל גדור לפני הקריסה, אוגוסט 2021.</w:t>
      </w:r>
    </w:p>
    <w:p w:rsidR="00083A12" w:rsidP="00083A12" w14:paraId="24FB1AE8" w14:textId="58A8F6C1">
      <w:pPr>
        <w:pStyle w:val="750"/>
        <w:spacing w:before="0"/>
        <w:rPr>
          <w:rtl/>
        </w:rPr>
      </w:pPr>
      <w:r w:rsidRPr="00083A12">
        <w:rPr>
          <w:rtl/>
        </w:rPr>
        <w:t>מתוך מכתב של החברה להגנת המצוק לרשות הטבע והגנים, סוף מרץ 2022.</w:t>
      </w:r>
    </w:p>
    <w:p w:rsidR="00083A12" w:rsidP="00083A12" w14:paraId="650F3329" w14:textId="132A9F10">
      <w:pPr>
        <w:pStyle w:val="750"/>
        <w:spacing w:before="0"/>
        <w:rPr>
          <w:rtl/>
        </w:rPr>
      </w:pPr>
    </w:p>
    <w:p w:rsidR="00083A12" w:rsidP="00083A12" w14:paraId="6524E341" w14:textId="532F2887">
      <w:pPr>
        <w:pStyle w:val="750"/>
        <w:spacing w:before="0"/>
        <w:rPr>
          <w:rtl/>
        </w:rPr>
      </w:pPr>
    </w:p>
    <w:p w:rsidR="00083A12" w:rsidP="00083A12" w14:paraId="53329CCE" w14:textId="57B67BE7">
      <w:pPr>
        <w:pStyle w:val="750"/>
        <w:spacing w:before="0"/>
        <w:rPr>
          <w:rtl/>
        </w:rPr>
      </w:pPr>
    </w:p>
    <w:p w:rsidR="00083A12" w:rsidP="00083A12" w14:paraId="0EBC2A6F" w14:textId="63B48BCF">
      <w:pPr>
        <w:pStyle w:val="750"/>
        <w:spacing w:before="0"/>
        <w:rPr>
          <w:rtl/>
        </w:rPr>
      </w:pPr>
    </w:p>
    <w:p w:rsidR="00083A12" w:rsidP="00083A12" w14:paraId="206479D7" w14:textId="49A2E753">
      <w:pPr>
        <w:pStyle w:val="750"/>
        <w:spacing w:before="0"/>
        <w:rPr>
          <w:rtl/>
        </w:rPr>
      </w:pPr>
    </w:p>
    <w:p w:rsidR="00083A12" w:rsidP="00083A12" w14:paraId="09913A2A" w14:textId="23711D06">
      <w:pPr>
        <w:pStyle w:val="750"/>
        <w:spacing w:before="0"/>
        <w:rPr>
          <w:rtl/>
        </w:rPr>
      </w:pPr>
    </w:p>
    <w:p w:rsidR="00083A12" w:rsidP="00083A12" w14:paraId="457338C2" w14:textId="7055528D">
      <w:pPr>
        <w:pStyle w:val="750"/>
        <w:spacing w:before="0"/>
        <w:rPr>
          <w:rtl/>
        </w:rPr>
      </w:pPr>
    </w:p>
    <w:p w:rsidR="00083A12" w:rsidP="00083A12" w14:paraId="144CD087" w14:textId="61E894B2">
      <w:pPr>
        <w:pStyle w:val="750"/>
        <w:spacing w:before="0"/>
        <w:rPr>
          <w:rtl/>
        </w:rPr>
      </w:pPr>
    </w:p>
    <w:p w:rsidR="00083A12" w:rsidP="00083A12" w14:paraId="329D5FB5" w14:textId="77777777">
      <w:pPr>
        <w:pStyle w:val="750"/>
        <w:spacing w:before="0"/>
        <w:rPr>
          <w:rtl/>
        </w:rPr>
      </w:pPr>
    </w:p>
    <w:p w:rsidR="00083A12" w:rsidP="00083A12" w14:paraId="289DEDAC" w14:textId="73B21305">
      <w:pPr>
        <w:pStyle w:val="753"/>
        <w:bidi w:val="0"/>
        <w:spacing w:after="0"/>
        <w:rPr>
          <w:rtl/>
        </w:rPr>
      </w:pPr>
      <w:r w:rsidRPr="00083A12">
        <w:rPr>
          <w:b w:val="0"/>
          <w:bCs w:val="0"/>
          <w:rtl/>
        </w:rPr>
        <w:t xml:space="preserve">תמונה 3: </w:t>
      </w:r>
      <w:r w:rsidRPr="00083A12">
        <w:rPr>
          <w:rtl/>
        </w:rPr>
        <w:t>המצוק החופי בחלק ממקטע 38 באשקלון</w:t>
      </w:r>
    </w:p>
    <w:p w:rsidR="00167447" w:rsidP="00167447" w14:paraId="11909ACF" w14:textId="4EAFAB87">
      <w:pPr>
        <w:pStyle w:val="753"/>
        <w:bidi w:val="0"/>
        <w:spacing w:after="0"/>
        <w:rPr>
          <w:rtl/>
        </w:rPr>
      </w:pPr>
      <w:r>
        <w:rPr>
          <w:b w:val="0"/>
          <w:bCs w:val="0"/>
          <w:noProof/>
          <w:rtl/>
          <w:lang w:val="he-IL"/>
        </w:rPr>
        <mc:AlternateContent>
          <mc:Choice Requires="wpg">
            <w:drawing>
              <wp:anchor distT="0" distB="0" distL="114300" distR="114300" simplePos="0" relativeHeight="251709440" behindDoc="0" locked="0" layoutInCell="1" allowOverlap="1">
                <wp:simplePos x="0" y="0"/>
                <wp:positionH relativeFrom="column">
                  <wp:posOffset>0</wp:posOffset>
                </wp:positionH>
                <wp:positionV relativeFrom="paragraph">
                  <wp:posOffset>99391</wp:posOffset>
                </wp:positionV>
                <wp:extent cx="4679950" cy="2995295"/>
                <wp:effectExtent l="0" t="0" r="6350" b="0"/>
                <wp:wrapNone/>
                <wp:docPr id="3788737" name="Group 3788737"/>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2995295"/>
                          <a:chOff x="0" y="0"/>
                          <a:chExt cx="4679950" cy="2995295"/>
                        </a:xfrm>
                      </wpg:grpSpPr>
                      <pic:pic xmlns:pic="http://schemas.openxmlformats.org/drawingml/2006/picture">
                        <pic:nvPicPr>
                          <pic:cNvPr id="57" name="Picture 57"/>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995295"/>
                          </a:xfrm>
                          <a:prstGeom prst="rect">
                            <a:avLst/>
                          </a:prstGeom>
                        </pic:spPr>
                      </pic:pic>
                      <wps:wsp xmlns:wps="http://schemas.microsoft.com/office/word/2010/wordprocessingShape">
                        <wps:cNvPr id="58" name="אליפסה 20"/>
                        <wps:cNvSpPr/>
                        <wps:spPr>
                          <a:xfrm>
                            <a:off x="1351722" y="1367624"/>
                            <a:ext cx="647700"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788736" name="אליפסה 21"/>
                        <wps:cNvSpPr/>
                        <wps:spPr>
                          <a:xfrm>
                            <a:off x="3085106" y="1304014"/>
                            <a:ext cx="619125"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Group 3788737" o:spid="_x0000_s1034" style="width:368.5pt;height:235.85pt;margin-top:7.85pt;margin-left:0;position:absolute;z-index:251710464" coordsize="46799,29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5" type="#_x0000_t75" style="width:46799;height:29952;mso-wrap-style:square;position:absolute;visibility:visible">
                  <v:imagedata r:id="rId28" o:title=""/>
                </v:shape>
                <v:oval id="אליפסה 20" o:spid="_x0000_s1036" style="width:6477;height:5810;left:13517;mso-wrap-style:square;position:absolute;top:13676;visibility:visible;v-text-anchor:middle" filled="f" strokecolor="red" strokeweight="1.25pt"/>
                <v:oval id="אליפסה 21" o:spid="_x0000_s1037" style="width:6191;height:5810;left:30851;mso-wrap-style:square;position:absolute;top:13040;visibility:visible;v-text-anchor:middle" filled="f" strokecolor="red" strokeweight="1.25pt"/>
              </v:group>
            </w:pict>
          </mc:Fallback>
        </mc:AlternateContent>
      </w:r>
    </w:p>
    <w:p w:rsidR="00167447" w:rsidP="00167447" w14:paraId="5CABD3DE" w14:textId="77777777">
      <w:pPr>
        <w:spacing w:line="288" w:lineRule="auto"/>
        <w:ind w:left="424"/>
        <w:rPr>
          <w:rFonts w:ascii="Tahoma" w:hAnsi="Tahoma" w:cs="Tahoma"/>
          <w:sz w:val="12"/>
          <w:szCs w:val="16"/>
          <w:rtl/>
        </w:rPr>
      </w:pPr>
    </w:p>
    <w:p w:rsidR="00167447" w:rsidP="00167447" w14:paraId="6159D7AC" w14:textId="77777777">
      <w:pPr>
        <w:spacing w:line="288" w:lineRule="auto"/>
        <w:ind w:left="424"/>
        <w:rPr>
          <w:rFonts w:ascii="Tahoma" w:hAnsi="Tahoma" w:cs="Tahoma"/>
          <w:sz w:val="12"/>
          <w:szCs w:val="16"/>
          <w:rtl/>
        </w:rPr>
      </w:pPr>
    </w:p>
    <w:p w:rsidR="00167447" w:rsidP="00167447" w14:paraId="60A1CB43" w14:textId="77777777">
      <w:pPr>
        <w:spacing w:line="288" w:lineRule="auto"/>
        <w:ind w:left="424"/>
        <w:rPr>
          <w:rFonts w:ascii="Tahoma" w:hAnsi="Tahoma" w:cs="Tahoma"/>
          <w:sz w:val="12"/>
          <w:szCs w:val="16"/>
          <w:rtl/>
        </w:rPr>
      </w:pPr>
    </w:p>
    <w:p w:rsidR="00167447" w:rsidP="00167447" w14:paraId="214334F1" w14:textId="77777777">
      <w:pPr>
        <w:spacing w:line="288" w:lineRule="auto"/>
        <w:ind w:left="424"/>
        <w:rPr>
          <w:rFonts w:ascii="Tahoma" w:hAnsi="Tahoma" w:cs="Tahoma"/>
          <w:sz w:val="12"/>
          <w:szCs w:val="16"/>
          <w:rtl/>
        </w:rPr>
      </w:pPr>
    </w:p>
    <w:p w:rsidR="00167447" w:rsidP="00167447" w14:paraId="45E891D2" w14:textId="77777777">
      <w:pPr>
        <w:spacing w:line="288" w:lineRule="auto"/>
        <w:ind w:left="424"/>
        <w:rPr>
          <w:rFonts w:ascii="Tahoma" w:hAnsi="Tahoma" w:cs="Tahoma"/>
          <w:sz w:val="12"/>
          <w:szCs w:val="16"/>
          <w:rtl/>
        </w:rPr>
      </w:pPr>
    </w:p>
    <w:p w:rsidR="00167447" w:rsidP="00167447" w14:paraId="559F33E8" w14:textId="77777777">
      <w:pPr>
        <w:spacing w:line="288" w:lineRule="auto"/>
        <w:ind w:left="424"/>
        <w:rPr>
          <w:rFonts w:ascii="Tahoma" w:hAnsi="Tahoma" w:cs="Tahoma"/>
          <w:sz w:val="12"/>
          <w:szCs w:val="16"/>
          <w:rtl/>
        </w:rPr>
      </w:pPr>
    </w:p>
    <w:p w:rsidR="00167447" w:rsidP="00167447" w14:paraId="5ED66CA5" w14:textId="77777777">
      <w:pPr>
        <w:spacing w:line="288" w:lineRule="auto"/>
        <w:ind w:left="424"/>
        <w:rPr>
          <w:rFonts w:ascii="Tahoma" w:hAnsi="Tahoma" w:cs="Tahoma"/>
          <w:sz w:val="12"/>
          <w:szCs w:val="16"/>
          <w:rtl/>
        </w:rPr>
      </w:pPr>
    </w:p>
    <w:p w:rsidR="00167447" w:rsidP="00167447" w14:paraId="659447FD" w14:textId="77777777">
      <w:pPr>
        <w:spacing w:line="288" w:lineRule="auto"/>
        <w:ind w:left="424"/>
        <w:rPr>
          <w:rFonts w:ascii="Tahoma" w:hAnsi="Tahoma" w:cs="Tahoma"/>
          <w:sz w:val="12"/>
          <w:szCs w:val="16"/>
          <w:rtl/>
        </w:rPr>
      </w:pPr>
    </w:p>
    <w:p w:rsidR="00167447" w:rsidP="00167447" w14:paraId="39E73BF7" w14:textId="77777777">
      <w:pPr>
        <w:spacing w:line="288" w:lineRule="auto"/>
        <w:ind w:left="424"/>
        <w:rPr>
          <w:rFonts w:ascii="Tahoma" w:hAnsi="Tahoma" w:cs="Tahoma"/>
          <w:sz w:val="12"/>
          <w:szCs w:val="16"/>
          <w:rtl/>
        </w:rPr>
      </w:pPr>
    </w:p>
    <w:p w:rsidR="00167447" w:rsidP="00167447" w14:paraId="123650BA" w14:textId="77777777">
      <w:pPr>
        <w:spacing w:line="288" w:lineRule="auto"/>
        <w:ind w:left="424"/>
        <w:rPr>
          <w:rFonts w:ascii="Tahoma" w:hAnsi="Tahoma" w:cs="Tahoma"/>
          <w:sz w:val="12"/>
          <w:szCs w:val="16"/>
          <w:rtl/>
        </w:rPr>
      </w:pPr>
    </w:p>
    <w:p w:rsidR="00167447" w:rsidP="00167447" w14:paraId="15B744FF" w14:textId="77777777">
      <w:pPr>
        <w:spacing w:line="288" w:lineRule="auto"/>
        <w:ind w:left="424"/>
        <w:rPr>
          <w:rFonts w:ascii="Tahoma" w:hAnsi="Tahoma" w:cs="Tahoma"/>
          <w:sz w:val="12"/>
          <w:szCs w:val="16"/>
          <w:rtl/>
        </w:rPr>
      </w:pPr>
    </w:p>
    <w:p w:rsidR="00167447" w:rsidP="00167447" w14:paraId="253BA3FB" w14:textId="77777777">
      <w:pPr>
        <w:spacing w:line="288" w:lineRule="auto"/>
        <w:ind w:left="424"/>
        <w:rPr>
          <w:rFonts w:ascii="Tahoma" w:hAnsi="Tahoma" w:cs="Tahoma"/>
          <w:sz w:val="12"/>
          <w:szCs w:val="16"/>
          <w:rtl/>
        </w:rPr>
      </w:pPr>
    </w:p>
    <w:p w:rsidR="00167447" w:rsidP="00167447" w14:paraId="55E71F83" w14:textId="77777777">
      <w:pPr>
        <w:spacing w:line="288" w:lineRule="auto"/>
        <w:ind w:left="424"/>
        <w:rPr>
          <w:rFonts w:ascii="Tahoma" w:hAnsi="Tahoma" w:cs="Tahoma"/>
          <w:sz w:val="12"/>
          <w:szCs w:val="16"/>
          <w:rtl/>
        </w:rPr>
      </w:pPr>
    </w:p>
    <w:p w:rsidR="00167447" w:rsidP="00167447" w14:paraId="7EEAC398" w14:textId="77777777">
      <w:pPr>
        <w:spacing w:line="288" w:lineRule="auto"/>
        <w:ind w:left="424"/>
        <w:rPr>
          <w:rFonts w:ascii="Tahoma" w:hAnsi="Tahoma" w:cs="Tahoma"/>
          <w:sz w:val="12"/>
          <w:szCs w:val="16"/>
          <w:rtl/>
        </w:rPr>
      </w:pPr>
    </w:p>
    <w:p w:rsidR="00167447" w:rsidP="00167447" w14:paraId="3A07BCF8" w14:textId="77777777">
      <w:pPr>
        <w:spacing w:line="288" w:lineRule="auto"/>
        <w:ind w:left="424"/>
        <w:rPr>
          <w:rFonts w:ascii="Tahoma" w:hAnsi="Tahoma" w:cs="Tahoma"/>
          <w:sz w:val="12"/>
          <w:szCs w:val="16"/>
          <w:rtl/>
        </w:rPr>
      </w:pPr>
    </w:p>
    <w:p w:rsidR="00167447" w:rsidP="00167447" w14:paraId="6F67DB21" w14:textId="77777777">
      <w:pPr>
        <w:spacing w:line="288" w:lineRule="auto"/>
        <w:ind w:left="424"/>
        <w:rPr>
          <w:rFonts w:ascii="Tahoma" w:hAnsi="Tahoma" w:cs="Tahoma"/>
          <w:sz w:val="12"/>
          <w:szCs w:val="16"/>
          <w:rtl/>
        </w:rPr>
      </w:pPr>
    </w:p>
    <w:p w:rsidR="00167447" w:rsidP="00167447" w14:paraId="206C586A" w14:textId="77777777">
      <w:pPr>
        <w:spacing w:line="288" w:lineRule="auto"/>
        <w:ind w:left="424"/>
        <w:rPr>
          <w:rFonts w:ascii="Tahoma" w:hAnsi="Tahoma" w:cs="Tahoma"/>
          <w:sz w:val="12"/>
          <w:szCs w:val="16"/>
          <w:rtl/>
        </w:rPr>
      </w:pPr>
    </w:p>
    <w:p w:rsidR="00167447" w:rsidP="00167447" w14:paraId="50D21F25" w14:textId="77777777">
      <w:pPr>
        <w:spacing w:line="288" w:lineRule="auto"/>
        <w:ind w:left="424"/>
        <w:rPr>
          <w:rFonts w:ascii="Tahoma" w:hAnsi="Tahoma" w:cs="Tahoma"/>
          <w:sz w:val="12"/>
          <w:szCs w:val="16"/>
          <w:rtl/>
        </w:rPr>
      </w:pPr>
    </w:p>
    <w:p w:rsidR="00167447" w:rsidP="00167447" w14:paraId="6200AB12" w14:textId="77777777">
      <w:pPr>
        <w:spacing w:line="288" w:lineRule="auto"/>
        <w:ind w:left="424"/>
        <w:rPr>
          <w:rFonts w:ascii="Tahoma" w:hAnsi="Tahoma" w:cs="Tahoma"/>
          <w:sz w:val="12"/>
          <w:szCs w:val="16"/>
          <w:rtl/>
        </w:rPr>
      </w:pPr>
    </w:p>
    <w:p w:rsidR="00167447" w:rsidRPr="00167447" w:rsidP="00167447" w14:paraId="3461E010" w14:textId="7F1DA7FA">
      <w:pPr>
        <w:pStyle w:val="750"/>
        <w:spacing w:after="0"/>
        <w:rPr>
          <w:rtl/>
        </w:rPr>
      </w:pPr>
      <w:r w:rsidRPr="00167447">
        <w:rPr>
          <w:rtl/>
        </w:rPr>
        <w:t xml:space="preserve">צילום: החברה </w:t>
      </w:r>
      <w:r w:rsidR="002760DC">
        <w:rPr>
          <w:rFonts w:hint="cs"/>
          <w:rtl/>
        </w:rPr>
        <w:t>ל</w:t>
      </w:r>
      <w:r w:rsidRPr="00167447">
        <w:rPr>
          <w:rtl/>
        </w:rPr>
        <w:t>הגנת המצוק, אוקטובר 2021.</w:t>
      </w:r>
    </w:p>
    <w:p w:rsidR="00167447" w:rsidRPr="00167447" w:rsidP="00167447" w14:paraId="29DD8282" w14:textId="77777777">
      <w:pPr>
        <w:pStyle w:val="750"/>
        <w:spacing w:before="0" w:after="0"/>
        <w:rPr>
          <w:rtl/>
        </w:rPr>
      </w:pPr>
      <w:r w:rsidRPr="00167447">
        <w:rPr>
          <w:rtl/>
        </w:rPr>
        <w:t xml:space="preserve">מתוך מקבץ תמונות שמסרה החברה להגנת המצוק לצוות הביקורת, בעיבוד משרד מבקר המדינה </w:t>
      </w:r>
      <w:r w:rsidRPr="00167447">
        <w:rPr>
          <w:rFonts w:hint="cs"/>
          <w:rtl/>
        </w:rPr>
        <w:t>(</w:t>
      </w:r>
      <w:r w:rsidRPr="00167447">
        <w:rPr>
          <w:rtl/>
        </w:rPr>
        <w:t xml:space="preserve">התווספו שני עיגולים בצבע אדום התוחמים אזורים </w:t>
      </w:r>
      <w:r w:rsidRPr="00167447">
        <w:rPr>
          <w:rFonts w:hint="cs"/>
          <w:rtl/>
        </w:rPr>
        <w:t>ש</w:t>
      </w:r>
      <w:r w:rsidRPr="00167447">
        <w:rPr>
          <w:rtl/>
        </w:rPr>
        <w:t xml:space="preserve">בהם התרחשו </w:t>
      </w:r>
      <w:r w:rsidRPr="00167447">
        <w:rPr>
          <w:rtl/>
        </w:rPr>
        <w:t>התמוטטויות</w:t>
      </w:r>
      <w:r w:rsidRPr="00167447">
        <w:rPr>
          <w:rtl/>
        </w:rPr>
        <w:t xml:space="preserve"> במקטע</w:t>
      </w:r>
      <w:r w:rsidRPr="00167447">
        <w:rPr>
          <w:rFonts w:hint="cs"/>
          <w:rtl/>
        </w:rPr>
        <w:t>)</w:t>
      </w:r>
      <w:r w:rsidRPr="00167447">
        <w:rPr>
          <w:rtl/>
        </w:rPr>
        <w:t>.</w:t>
      </w:r>
    </w:p>
    <w:p w:rsidR="00083A12" w14:paraId="5E255133" w14:textId="31E46DA6">
      <w:pPr>
        <w:bidi w:val="0"/>
        <w:spacing w:after="200" w:line="276" w:lineRule="auto"/>
        <w:rPr>
          <w:rFonts w:ascii="Tahoma" w:hAnsi="Tahoma" w:eastAsiaTheme="minorEastAsia" w:cs="Tahoma"/>
          <w:b/>
          <w:bCs/>
          <w:color w:val="0D0D0D" w:themeColor="text1" w:themeTint="F2"/>
          <w:szCs w:val="20"/>
          <w:rtl/>
        </w:rPr>
      </w:pPr>
    </w:p>
    <w:p w:rsidR="00083A12" w14:paraId="68269D8A" w14:textId="46B0F633">
      <w:pPr>
        <w:bidi w:val="0"/>
        <w:spacing w:after="200" w:line="276" w:lineRule="auto"/>
        <w:rPr>
          <w:rFonts w:ascii="Tahoma" w:hAnsi="Tahoma" w:cs="Tahoma"/>
          <w:color w:val="0D0D0D" w:themeColor="text1" w:themeTint="F2"/>
          <w:sz w:val="16"/>
          <w:szCs w:val="16"/>
          <w:rtl/>
        </w:rPr>
      </w:pPr>
      <w:r>
        <w:rPr>
          <w:rtl/>
        </w:rPr>
        <w:br w:type="page"/>
      </w:r>
    </w:p>
    <w:p w:rsidR="004E71DD" w:rsidP="001D6BF7" w14:paraId="60AEFE54" w14:textId="17A98C0F">
      <w:pPr>
        <w:pStyle w:val="757"/>
        <w:rPr>
          <w:rtl/>
        </w:rPr>
      </w:pPr>
      <w:r w:rsidRPr="00EF3061">
        <w:rPr>
          <w:rFonts w:hint="cs"/>
          <w:rtl/>
        </w:rPr>
        <w:t>סיכום</w:t>
      </w:r>
    </w:p>
    <w:p w:rsidR="0063162D" w:rsidRPr="00573514" w:rsidP="0063162D" w14:paraId="060FBB78" w14:textId="77777777">
      <w:pPr>
        <w:pStyle w:val="759"/>
        <w:rPr>
          <w:rtl/>
        </w:rPr>
      </w:pPr>
      <w:r w:rsidRPr="00573514">
        <w:rPr>
          <w:rtl/>
        </w:rPr>
        <w:t xml:space="preserve">בעשרות השנים האחרונות המצוק שלאורך חופי ישראל מתמוטט ונסוג מזרחה בקצב של כמה עשרות </w:t>
      </w:r>
      <w:r w:rsidRPr="0063162D">
        <w:rPr>
          <w:rtl/>
        </w:rPr>
        <w:t>סנטימטרים</w:t>
      </w:r>
      <w:r w:rsidRPr="00573514">
        <w:rPr>
          <w:rtl/>
        </w:rPr>
        <w:t xml:space="preserve"> בשנה. ממצאי ביקורת המעקב העלו כי חלק מהליקויים מהדוח הקודם בנושא תוקנו, חלקם תוקנו חלקית וחלקם לא תוקנו כלל. כך עלה כי טרם גובש מתווה מוסכם בסוגיית הסיוע לרשויות המקומיות למציאת מקורות מימון להגנות היבשתיות; טרם התקבלה החלטה לגבי המשך פעילותה של החברה להגנת המצוק ותקצוב פעולות המיגון הימי המתוכננות על ידה לשלב ב'; משרד הפנים לא פעל לקביעת מנגנון ליצירת אומדן כולל לעלויות ההגנות היבשתיות; </w:t>
      </w:r>
      <w:r w:rsidRPr="00573514">
        <w:rPr>
          <w:rtl/>
        </w:rPr>
        <w:t>רט"ג</w:t>
      </w:r>
      <w:r w:rsidRPr="00573514">
        <w:rPr>
          <w:rtl/>
        </w:rPr>
        <w:t xml:space="preserve"> לא השלימה את המיגון של תאי שטח המצוק הנמצאים באחריותה; ועיריות אשקלון והרצלייה טרם החלו בביצוע מיגון יבשתי למצוק.</w:t>
      </w:r>
    </w:p>
    <w:p w:rsidR="0063162D" w:rsidP="0063162D" w14:paraId="6411484E" w14:textId="74DF3311">
      <w:pPr>
        <w:pStyle w:val="759"/>
        <w:rPr>
          <w:rtl/>
        </w:rPr>
      </w:pPr>
      <w:r w:rsidRPr="00573514">
        <w:rPr>
          <w:rtl/>
        </w:rPr>
        <w:t xml:space="preserve">משרד מבקר המדינה ממליץ למשרדי ראש הממשלה, הפנים, הגנת הסביבה והאוצר ולרשות </w:t>
      </w:r>
      <w:r w:rsidRPr="0063162D">
        <w:rPr>
          <w:rtl/>
        </w:rPr>
        <w:t>מקרקעי</w:t>
      </w:r>
      <w:r w:rsidRPr="00573514">
        <w:rPr>
          <w:rtl/>
        </w:rPr>
        <w:t xml:space="preserve"> ישראל לפעול לקידום </w:t>
      </w:r>
      <w:r w:rsidRPr="0063162D">
        <w:rPr>
          <w:rtl/>
        </w:rPr>
        <w:t>הצעת</w:t>
      </w:r>
      <w:r w:rsidRPr="00573514">
        <w:rPr>
          <w:rtl/>
        </w:rPr>
        <w:t xml:space="preserve"> מחליטים שתבטיח את המשך הפעולות הנדרשות למיגון יבשתי וימי למצוק החופי ואת התקציב הנדרש לכך. עוד ממליץ משרד מבקר המדינה למשרד להגנת הסביבה ולחברה להגנת המצוק לבחון את הצורך בעדכון המדיניות להגנה על המצוק נוכח התרחישים העדכניים לעליית מפלס הים ופוטנציאל הנזק למצוק החופי. על עיריות אשקלון והרצלייה ועל </w:t>
      </w:r>
      <w:r w:rsidRPr="00573514">
        <w:rPr>
          <w:rtl/>
        </w:rPr>
        <w:t>רט"ג</w:t>
      </w:r>
      <w:r w:rsidRPr="00573514">
        <w:rPr>
          <w:rtl/>
        </w:rPr>
        <w:t xml:space="preserve"> לפעול לקידום ההגנות היבשתיות הנדרשות בתאי השטח </w:t>
      </w:r>
      <w:r w:rsidRPr="0063162D">
        <w:rPr>
          <w:rtl/>
        </w:rPr>
        <w:t>שבאחריותן</w:t>
      </w:r>
      <w:r w:rsidRPr="00573514">
        <w:rPr>
          <w:rtl/>
        </w:rPr>
        <w:t>, ועל החברה להגנת המצוק לפעול לקידום ההגנות הימיות בתאי שטח אלה וביתר תאי השטח שנדרשים בהם הגנות ימיות.</w:t>
      </w:r>
    </w:p>
    <w:p w:rsidR="0063162D" w:rsidP="0063162D" w14:paraId="31B6F795" w14:textId="5344D1E4">
      <w:pPr>
        <w:pStyle w:val="759"/>
        <w:rPr>
          <w:sz w:val="19"/>
          <w:szCs w:val="19"/>
          <w:rtl/>
        </w:rPr>
      </w:pPr>
    </w:p>
    <w:p w:rsidR="0063162D" w14:paraId="1234EB9A" w14:textId="133F2945">
      <w:pPr>
        <w:bidi w:val="0"/>
        <w:spacing w:after="200" w:line="276" w:lineRule="auto"/>
        <w:rPr>
          <w:rFonts w:ascii="Tahoma" w:hAnsi="Tahoma" w:cs="Tahoma"/>
          <w:color w:val="0D0D0D" w:themeColor="text1" w:themeTint="F2"/>
          <w:sz w:val="19"/>
          <w:szCs w:val="19"/>
          <w:rtl/>
        </w:rPr>
      </w:pPr>
      <w:r>
        <w:rPr>
          <w:sz w:val="19"/>
          <w:szCs w:val="19"/>
          <w:rtl/>
        </w:rPr>
        <w:br w:type="page"/>
      </w:r>
    </w:p>
    <w:p w:rsidR="00BA7B4B" w:rsidP="005E1558" w14:paraId="5FDA3CDD" w14:textId="59DB6E07">
      <w:pPr>
        <w:pStyle w:val="759"/>
        <w:rPr>
          <w:rtl/>
        </w:rPr>
      </w:pPr>
      <w:r w:rsidRPr="00BA7B4B">
        <w:rPr>
          <w:noProof/>
          <w:rtl/>
        </w:rPr>
        <mc:AlternateContent>
          <mc:Choice Requires="wps">
            <w:drawing>
              <wp:anchor distT="0" distB="0" distL="114300" distR="114300" simplePos="0" relativeHeight="251698176" behindDoc="0" locked="0" layoutInCell="1" allowOverlap="1">
                <wp:simplePos x="0" y="0"/>
                <wp:positionH relativeFrom="column">
                  <wp:posOffset>234315</wp:posOffset>
                </wp:positionH>
                <wp:positionV relativeFrom="paragraph">
                  <wp:posOffset>39370</wp:posOffset>
                </wp:positionV>
                <wp:extent cx="4436745" cy="342900"/>
                <wp:effectExtent l="0" t="0" r="1905" b="0"/>
                <wp:wrapNone/>
                <wp:docPr id="111357588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42900"/>
                        </a:xfrm>
                        <a:prstGeom prst="rect">
                          <a:avLst/>
                        </a:prstGeom>
                        <a:solidFill>
                          <a:srgbClr val="F05260"/>
                        </a:solidFill>
                        <a:ln w="9525">
                          <a:noFill/>
                          <a:miter lim="800000"/>
                          <a:headEnd/>
                          <a:tailEnd/>
                        </a:ln>
                      </wps:spPr>
                      <wps:txbx>
                        <w:txbxContent>
                          <w:p w:rsidR="00BA7B4B" w:rsidRPr="00A34CCC" w:rsidP="00BA7B4B" w14:textId="4D3729F7">
                            <w:pPr>
                              <w:spacing w:after="120" w:line="288" w:lineRule="auto"/>
                              <w:ind w:left="312"/>
                              <w:jc w:val="left"/>
                              <w:rPr>
                                <w:rFonts w:ascii="Tahoma" w:hAnsi="Tahoma" w:cs="Tahoma"/>
                                <w:color w:val="FFFFFF" w:themeColor="background1"/>
                                <w:sz w:val="22"/>
                                <w:szCs w:val="22"/>
                                <w:rtl/>
                              </w:rPr>
                            </w:pPr>
                            <w:r>
                              <w:rPr>
                                <w:rFonts w:ascii="Tahoma" w:hAnsi="Tahoma" w:cs="Tahoma" w:hint="cs"/>
                                <w:b/>
                                <w:bCs/>
                                <w:noProof/>
                                <w:color w:val="FFFFFF" w:themeColor="background1"/>
                                <w:sz w:val="22"/>
                                <w:szCs w:val="22"/>
                                <w:rtl/>
                              </w:rPr>
                              <w:t>מיד</w:t>
                            </w:r>
                            <w:r w:rsidRPr="006C4033">
                              <w:rPr>
                                <w:rFonts w:ascii="Tahoma" w:hAnsi="Tahoma" w:cs="Tahoma" w:hint="cs"/>
                                <w:b/>
                                <w:bCs/>
                                <w:noProof/>
                                <w:color w:val="FFFFFF" w:themeColor="background1"/>
                                <w:sz w:val="22"/>
                                <w:szCs w:val="22"/>
                                <w:rtl/>
                              </w:rPr>
                              <w:t>ת</w:t>
                            </w:r>
                            <w:r>
                              <w:rPr>
                                <w:rFonts w:ascii="Tahoma" w:hAnsi="Tahoma" w:cs="Tahoma" w:hint="cs"/>
                                <w:b/>
                                <w:bCs/>
                                <w:noProof/>
                                <w:color w:val="FFFFFF" w:themeColor="background1"/>
                                <w:sz w:val="22"/>
                                <w:szCs w:val="22"/>
                                <w:rtl/>
                              </w:rPr>
                              <w:t xml:space="preserve"> תיקון עיקרי הליקויים שעלו בדוח הקודם</w:t>
                            </w:r>
                            <w:r w:rsidR="00013461">
                              <w:rPr>
                                <w:rFonts w:ascii="Tahoma" w:hAnsi="Tahoma" w:cs="Tahoma" w:hint="cs"/>
                                <w:b/>
                                <w:bCs/>
                                <w:noProof/>
                                <w:color w:val="FFFFFF" w:themeColor="background1"/>
                                <w:sz w:val="22"/>
                                <w:szCs w:val="22"/>
                                <w:rtl/>
                              </w:rPr>
                              <w:t>*</w:t>
                            </w:r>
                          </w:p>
                          <w:p w:rsidR="00BA7B4B" w:rsidRPr="005C7ABF" w:rsidP="00BA7B4B" w14:textId="77777777">
                            <w:pPr>
                              <w:pStyle w:val="7327"/>
                              <w:rPr>
                                <w:rtl/>
                              </w:rPr>
                            </w:pP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27pt;margin-top:3.1pt;margin-left:18.45pt;mso-height-percent:0;mso-height-relative:margin;mso-width-percent:0;mso-width-relative:margin;mso-wrap-distance-bottom:0;mso-wrap-distance-left:9pt;mso-wrap-distance-right:9pt;mso-wrap-distance-top:0;mso-wrap-style:square;position:absolute;visibility:visible;v-text-anchor:middle;z-index:251699200" fillcolor="#f05260" stroked="f">
                <v:textbox>
                  <w:txbxContent>
                    <w:p w:rsidR="00BA7B4B" w:rsidRPr="00A34CCC" w:rsidP="00BA7B4B" w14:paraId="528514DD" w14:textId="4D3729F7">
                      <w:pPr>
                        <w:spacing w:after="120" w:line="288" w:lineRule="auto"/>
                        <w:ind w:left="312"/>
                        <w:jc w:val="left"/>
                        <w:rPr>
                          <w:rFonts w:ascii="Tahoma" w:hAnsi="Tahoma" w:cs="Tahoma"/>
                          <w:color w:val="FFFFFF" w:themeColor="background1"/>
                          <w:sz w:val="22"/>
                          <w:szCs w:val="22"/>
                          <w:rtl/>
                        </w:rPr>
                      </w:pPr>
                      <w:r>
                        <w:rPr>
                          <w:rFonts w:ascii="Tahoma" w:hAnsi="Tahoma" w:cs="Tahoma" w:hint="cs"/>
                          <w:b/>
                          <w:bCs/>
                          <w:noProof/>
                          <w:color w:val="FFFFFF" w:themeColor="background1"/>
                          <w:sz w:val="22"/>
                          <w:szCs w:val="22"/>
                          <w:rtl/>
                        </w:rPr>
                        <w:t>מיד</w:t>
                      </w:r>
                      <w:r w:rsidRPr="006C4033">
                        <w:rPr>
                          <w:rFonts w:ascii="Tahoma" w:hAnsi="Tahoma" w:cs="Tahoma" w:hint="cs"/>
                          <w:b/>
                          <w:bCs/>
                          <w:noProof/>
                          <w:color w:val="FFFFFF" w:themeColor="background1"/>
                          <w:sz w:val="22"/>
                          <w:szCs w:val="22"/>
                          <w:rtl/>
                        </w:rPr>
                        <w:t>ת</w:t>
                      </w:r>
                      <w:r>
                        <w:rPr>
                          <w:rFonts w:ascii="Tahoma" w:hAnsi="Tahoma" w:cs="Tahoma" w:hint="cs"/>
                          <w:b/>
                          <w:bCs/>
                          <w:noProof/>
                          <w:color w:val="FFFFFF" w:themeColor="background1"/>
                          <w:sz w:val="22"/>
                          <w:szCs w:val="22"/>
                          <w:rtl/>
                        </w:rPr>
                        <w:t xml:space="preserve"> תיקון עיקרי הליקויים שעלו בדוח הקודם</w:t>
                      </w:r>
                      <w:r w:rsidR="00013461">
                        <w:rPr>
                          <w:rFonts w:ascii="Tahoma" w:hAnsi="Tahoma" w:cs="Tahoma" w:hint="cs"/>
                          <w:b/>
                          <w:bCs/>
                          <w:noProof/>
                          <w:color w:val="FFFFFF" w:themeColor="background1"/>
                          <w:sz w:val="22"/>
                          <w:szCs w:val="22"/>
                          <w:rtl/>
                        </w:rPr>
                        <w:t>*</w:t>
                      </w:r>
                    </w:p>
                    <w:p w:rsidR="00BA7B4B" w:rsidRPr="005C7ABF" w:rsidP="00BA7B4B" w14:paraId="567E42F1" w14:textId="77777777">
                      <w:pPr>
                        <w:pStyle w:val="7327"/>
                        <w:rPr>
                          <w:rtl/>
                        </w:rPr>
                      </w:pPr>
                    </w:p>
                  </w:txbxContent>
                </v:textbox>
              </v:shape>
            </w:pict>
          </mc:Fallback>
        </mc:AlternateContent>
      </w:r>
      <w:r w:rsidRPr="00BA7B4B">
        <w:rPr>
          <w:noProof/>
          <w:rtl/>
        </w:rPr>
        <w:drawing>
          <wp:anchor distT="0" distB="0" distL="114300" distR="114300" simplePos="0" relativeHeight="251658240" behindDoc="0" locked="0" layoutInCell="1" allowOverlap="1">
            <wp:simplePos x="0" y="0"/>
            <wp:positionH relativeFrom="column">
              <wp:posOffset>1270</wp:posOffset>
            </wp:positionH>
            <wp:positionV relativeFrom="paragraph">
              <wp:posOffset>-96520</wp:posOffset>
            </wp:positionV>
            <wp:extent cx="4774565" cy="704850"/>
            <wp:effectExtent l="0" t="0" r="6985" b="0"/>
            <wp:wrapNone/>
            <wp:docPr id="1113575882"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2"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4565" cy="704850"/>
                    </a:xfrm>
                    <a:prstGeom prst="rect">
                      <a:avLst/>
                    </a:prstGeom>
                  </pic:spPr>
                </pic:pic>
              </a:graphicData>
            </a:graphic>
            <wp14:sizeRelH relativeFrom="margin">
              <wp14:pctWidth>0</wp14:pctWidth>
            </wp14:sizeRelH>
            <wp14:sizeRelV relativeFrom="margin">
              <wp14:pctHeight>0</wp14:pctHeight>
            </wp14:sizeRelV>
          </wp:anchor>
        </w:drawing>
      </w:r>
    </w:p>
    <w:p w:rsidR="00BA7B4B" w:rsidP="005E1558" w14:paraId="2C0EE572" w14:textId="27F3380E">
      <w:pPr>
        <w:pStyle w:val="759"/>
        <w:rPr>
          <w:rtl/>
        </w:rPr>
      </w:pPr>
    </w:p>
    <w:tbl>
      <w:tblPr>
        <w:tblStyle w:val="TableGrid"/>
        <w:bidiVisual/>
        <w:tblW w:w="7366" w:type="dxa"/>
        <w:jc w:val="center"/>
        <w:tblLook w:val="04A0"/>
      </w:tblPr>
      <w:tblGrid>
        <w:gridCol w:w="1369"/>
        <w:gridCol w:w="1045"/>
        <w:gridCol w:w="1906"/>
        <w:gridCol w:w="724"/>
        <w:gridCol w:w="752"/>
        <w:gridCol w:w="6"/>
        <w:gridCol w:w="733"/>
        <w:gridCol w:w="831"/>
      </w:tblGrid>
      <w:tr w14:paraId="238EE978" w14:textId="77777777" w:rsidTr="002D4A37">
        <w:tblPrEx>
          <w:tblW w:w="7366" w:type="dxa"/>
          <w:jc w:val="center"/>
          <w:tblLook w:val="04A0"/>
        </w:tblPrEx>
        <w:trPr>
          <w:tblHeader/>
          <w:jc w:val="center"/>
        </w:trPr>
        <w:tc>
          <w:tcPr>
            <w:tcW w:w="1369" w:type="dxa"/>
            <w:vMerge w:val="restart"/>
            <w:tcBorders>
              <w:top w:val="nil"/>
              <w:bottom w:val="nil"/>
            </w:tcBorders>
            <w:shd w:val="clear" w:color="auto" w:fill="C6DCE4"/>
          </w:tcPr>
          <w:p w:rsidR="0052209E" w:rsidP="002937B5" w14:paraId="39508805" w14:textId="28220BEA">
            <w:pPr>
              <w:pStyle w:val="71R"/>
              <w:rPr>
                <w:b/>
                <w:bCs/>
                <w:rtl/>
              </w:rPr>
            </w:pPr>
            <w:r>
              <w:rPr>
                <w:rtl/>
              </w:rPr>
              <w:br w:type="page"/>
            </w:r>
          </w:p>
          <w:p w:rsidR="0052209E" w:rsidP="002937B5" w14:paraId="617EFDAF" w14:textId="77777777">
            <w:pPr>
              <w:pStyle w:val="71R"/>
              <w:rPr>
                <w:b/>
                <w:bCs/>
                <w:rtl/>
              </w:rPr>
            </w:pPr>
          </w:p>
          <w:p w:rsidR="0052209E" w:rsidRPr="002D4A37" w:rsidP="002937B5" w14:paraId="5FD7028E" w14:textId="1C34099C">
            <w:pPr>
              <w:pStyle w:val="71R"/>
              <w:rPr>
                <w:b/>
                <w:bCs/>
                <w:sz w:val="17"/>
                <w:szCs w:val="17"/>
                <w:rtl/>
              </w:rPr>
            </w:pPr>
            <w:r w:rsidRPr="002D4A37">
              <w:rPr>
                <w:b/>
                <w:bCs/>
                <w:sz w:val="17"/>
                <w:szCs w:val="17"/>
                <w:rtl/>
              </w:rPr>
              <w:t>פרק הביקורת</w:t>
            </w:r>
          </w:p>
        </w:tc>
        <w:tc>
          <w:tcPr>
            <w:tcW w:w="1045" w:type="dxa"/>
            <w:vMerge w:val="restart"/>
            <w:tcBorders>
              <w:top w:val="nil"/>
            </w:tcBorders>
            <w:shd w:val="clear" w:color="auto" w:fill="C6DCE4"/>
          </w:tcPr>
          <w:p w:rsidR="0052209E" w:rsidP="002937B5" w14:paraId="5689F593" w14:textId="77777777">
            <w:pPr>
              <w:pStyle w:val="71R"/>
              <w:rPr>
                <w:b/>
                <w:bCs/>
                <w:rtl/>
              </w:rPr>
            </w:pPr>
          </w:p>
          <w:p w:rsidR="0052209E" w:rsidP="002937B5" w14:paraId="524919CE" w14:textId="77777777">
            <w:pPr>
              <w:pStyle w:val="71R"/>
              <w:rPr>
                <w:b/>
                <w:bCs/>
                <w:rtl/>
              </w:rPr>
            </w:pPr>
          </w:p>
          <w:p w:rsidR="0052209E" w:rsidRPr="002D4A37" w:rsidP="002937B5" w14:paraId="7D9F9623" w14:textId="179CFA93">
            <w:pPr>
              <w:pStyle w:val="71R"/>
              <w:rPr>
                <w:b/>
                <w:bCs/>
                <w:sz w:val="17"/>
                <w:szCs w:val="17"/>
                <w:rtl/>
              </w:rPr>
            </w:pPr>
            <w:r w:rsidRPr="002D4A37">
              <w:rPr>
                <w:rFonts w:hint="cs"/>
                <w:b/>
                <w:bCs/>
                <w:sz w:val="17"/>
                <w:szCs w:val="17"/>
                <w:rtl/>
              </w:rPr>
              <w:t>הגוף המבוקר</w:t>
            </w:r>
          </w:p>
        </w:tc>
        <w:tc>
          <w:tcPr>
            <w:tcW w:w="1906" w:type="dxa"/>
            <w:vMerge w:val="restart"/>
            <w:tcBorders>
              <w:top w:val="nil"/>
            </w:tcBorders>
            <w:shd w:val="clear" w:color="auto" w:fill="C6DCE4"/>
          </w:tcPr>
          <w:p w:rsidR="0052209E" w:rsidRPr="002D4A37" w:rsidP="002937B5" w14:paraId="3C62AA4C" w14:textId="4FF330F7">
            <w:pPr>
              <w:pStyle w:val="71R"/>
              <w:rPr>
                <w:b/>
                <w:bCs/>
                <w:sz w:val="17"/>
                <w:szCs w:val="17"/>
                <w:rtl/>
              </w:rPr>
            </w:pPr>
            <w:r w:rsidRPr="002D4A37">
              <w:rPr>
                <w:b/>
                <w:bCs/>
                <w:sz w:val="17"/>
                <w:szCs w:val="17"/>
                <w:rtl/>
              </w:rPr>
              <w:t>הליקוי בדוח הביקורת הקודם</w:t>
            </w:r>
          </w:p>
        </w:tc>
        <w:tc>
          <w:tcPr>
            <w:tcW w:w="3046" w:type="dxa"/>
            <w:gridSpan w:val="5"/>
            <w:tcBorders>
              <w:top w:val="nil"/>
              <w:bottom w:val="nil"/>
            </w:tcBorders>
            <w:shd w:val="clear" w:color="auto" w:fill="C6DCE4"/>
          </w:tcPr>
          <w:p w:rsidR="0052209E" w:rsidRPr="002D4A37" w:rsidP="00C65077" w14:paraId="302C037F" w14:textId="266417C5">
            <w:pPr>
              <w:pStyle w:val="71R"/>
              <w:spacing w:after="0"/>
              <w:rPr>
                <w:b/>
                <w:bCs/>
                <w:sz w:val="17"/>
                <w:szCs w:val="17"/>
                <w:rtl/>
              </w:rPr>
            </w:pPr>
            <w:r w:rsidRPr="002D4A37">
              <w:rPr>
                <w:b/>
                <w:bCs/>
                <w:sz w:val="17"/>
                <w:szCs w:val="17"/>
                <w:rtl/>
              </w:rPr>
              <w:t>מידת תיקון הליקוי</w:t>
            </w:r>
            <w:r w:rsidRPr="002D4A37" w:rsidR="00C65077">
              <w:rPr>
                <w:rFonts w:hint="cs"/>
                <w:b/>
                <w:bCs/>
                <w:sz w:val="17"/>
                <w:szCs w:val="17"/>
                <w:rtl/>
              </w:rPr>
              <w:t xml:space="preserve"> </w:t>
            </w:r>
            <w:r w:rsidRPr="002D4A37" w:rsidR="00C65077">
              <w:rPr>
                <w:b/>
                <w:bCs/>
                <w:sz w:val="17"/>
                <w:szCs w:val="17"/>
                <w:rtl/>
              </w:rPr>
              <w:t>כפי שעלה בביקורת המעקב</w:t>
            </w:r>
          </w:p>
        </w:tc>
      </w:tr>
      <w:tr w14:paraId="38D2ECFB" w14:textId="77777777" w:rsidTr="002D4A37">
        <w:tblPrEx>
          <w:tblW w:w="7366" w:type="dxa"/>
          <w:jc w:val="center"/>
          <w:tblLook w:val="04A0"/>
        </w:tblPrEx>
        <w:trPr>
          <w:tblHeader/>
          <w:jc w:val="center"/>
        </w:trPr>
        <w:tc>
          <w:tcPr>
            <w:tcW w:w="1369" w:type="dxa"/>
            <w:vMerge/>
            <w:tcBorders>
              <w:bottom w:val="single" w:sz="4" w:space="0" w:color="auto"/>
            </w:tcBorders>
            <w:shd w:val="clear" w:color="auto" w:fill="DBE8EE"/>
          </w:tcPr>
          <w:p w:rsidR="0052209E" w:rsidRPr="0027392D" w:rsidP="00DB23D7" w14:paraId="3C9F5B43" w14:textId="77777777">
            <w:pPr>
              <w:pStyle w:val="71R"/>
              <w:rPr>
                <w:rtl/>
              </w:rPr>
            </w:pPr>
          </w:p>
        </w:tc>
        <w:tc>
          <w:tcPr>
            <w:tcW w:w="1045" w:type="dxa"/>
            <w:vMerge/>
            <w:tcBorders>
              <w:bottom w:val="single" w:sz="4" w:space="0" w:color="auto"/>
            </w:tcBorders>
            <w:shd w:val="clear" w:color="auto" w:fill="DBE8EE"/>
          </w:tcPr>
          <w:p w:rsidR="0052209E" w:rsidRPr="0027392D" w:rsidP="00DB23D7" w14:paraId="0F16ED70" w14:textId="77777777">
            <w:pPr>
              <w:pStyle w:val="71R"/>
              <w:rPr>
                <w:rtl/>
              </w:rPr>
            </w:pPr>
          </w:p>
        </w:tc>
        <w:tc>
          <w:tcPr>
            <w:tcW w:w="1906" w:type="dxa"/>
            <w:vMerge/>
            <w:tcBorders>
              <w:bottom w:val="single" w:sz="4" w:space="0" w:color="auto"/>
            </w:tcBorders>
            <w:shd w:val="clear" w:color="auto" w:fill="DBE8EE"/>
          </w:tcPr>
          <w:p w:rsidR="0052209E" w:rsidRPr="0027392D" w:rsidP="00DB23D7" w14:paraId="487CFBCC" w14:textId="0323CA5C">
            <w:pPr>
              <w:pStyle w:val="71R"/>
              <w:rPr>
                <w:rtl/>
              </w:rPr>
            </w:pPr>
          </w:p>
        </w:tc>
        <w:tc>
          <w:tcPr>
            <w:tcW w:w="724" w:type="dxa"/>
            <w:tcBorders>
              <w:top w:val="nil"/>
              <w:bottom w:val="single" w:sz="4" w:space="0" w:color="auto"/>
            </w:tcBorders>
            <w:shd w:val="clear" w:color="auto" w:fill="F05260"/>
          </w:tcPr>
          <w:p w:rsidR="0052209E" w:rsidRPr="00D9313A" w:rsidP="00DB23D7" w14:paraId="7DD48E82" w14:textId="77777777">
            <w:pPr>
              <w:pStyle w:val="71R"/>
              <w:rPr>
                <w:b/>
                <w:bCs/>
                <w:rtl/>
              </w:rPr>
            </w:pPr>
            <w:r w:rsidRPr="00D9313A">
              <w:rPr>
                <w:b/>
                <w:bCs/>
                <w:rtl/>
              </w:rPr>
              <w:t xml:space="preserve">לא </w:t>
            </w:r>
            <w:r>
              <w:rPr>
                <w:rFonts w:hint="cs"/>
                <w:b/>
                <w:bCs/>
                <w:rtl/>
              </w:rPr>
              <w:t xml:space="preserve">    </w:t>
            </w:r>
            <w:r w:rsidRPr="00D9313A">
              <w:rPr>
                <w:b/>
                <w:bCs/>
                <w:rtl/>
              </w:rPr>
              <w:t>תוקן</w:t>
            </w:r>
          </w:p>
        </w:tc>
        <w:tc>
          <w:tcPr>
            <w:tcW w:w="758" w:type="dxa"/>
            <w:gridSpan w:val="2"/>
            <w:tcBorders>
              <w:top w:val="nil"/>
              <w:bottom w:val="single" w:sz="4" w:space="0" w:color="auto"/>
            </w:tcBorders>
            <w:shd w:val="clear" w:color="auto" w:fill="FFC000"/>
          </w:tcPr>
          <w:p w:rsidR="0052209E" w:rsidRPr="00D9313A" w:rsidP="00DB23D7" w14:paraId="5E6C036A" w14:textId="7E9951CE">
            <w:pPr>
              <w:pStyle w:val="71R"/>
              <w:rPr>
                <w:b/>
                <w:bCs/>
                <w:rtl/>
              </w:rPr>
            </w:pPr>
            <w:r w:rsidRPr="00D9313A">
              <w:rPr>
                <w:b/>
                <w:bCs/>
                <w:rtl/>
              </w:rPr>
              <w:t>תוקן במידה מועטה</w:t>
            </w:r>
          </w:p>
        </w:tc>
        <w:tc>
          <w:tcPr>
            <w:tcW w:w="733" w:type="dxa"/>
            <w:tcBorders>
              <w:top w:val="nil"/>
              <w:bottom w:val="single" w:sz="4" w:space="0" w:color="auto"/>
            </w:tcBorders>
            <w:shd w:val="clear" w:color="auto" w:fill="DED900"/>
          </w:tcPr>
          <w:p w:rsidR="0052209E" w:rsidRPr="00D9313A" w:rsidP="00DB23D7" w14:paraId="70CBF2D0" w14:textId="68812C94">
            <w:pPr>
              <w:pStyle w:val="71R"/>
              <w:rPr>
                <w:b/>
                <w:bCs/>
                <w:rtl/>
              </w:rPr>
            </w:pPr>
            <w:r w:rsidRPr="00D9313A">
              <w:rPr>
                <w:b/>
                <w:bCs/>
                <w:rtl/>
              </w:rPr>
              <w:t>תוקן במידה רבה</w:t>
            </w:r>
          </w:p>
        </w:tc>
        <w:tc>
          <w:tcPr>
            <w:tcW w:w="831" w:type="dxa"/>
            <w:tcBorders>
              <w:top w:val="nil"/>
              <w:bottom w:val="single" w:sz="4" w:space="0" w:color="auto"/>
            </w:tcBorders>
            <w:shd w:val="clear" w:color="auto" w:fill="5F9127"/>
          </w:tcPr>
          <w:p w:rsidR="0052209E" w:rsidRPr="00D9313A" w:rsidP="00DB23D7" w14:paraId="5B2F18B0" w14:textId="77777777">
            <w:pPr>
              <w:pStyle w:val="71R"/>
              <w:rPr>
                <w:b/>
                <w:bCs/>
                <w:rtl/>
              </w:rPr>
            </w:pPr>
            <w:r w:rsidRPr="00D9313A">
              <w:rPr>
                <w:b/>
                <w:bCs/>
                <w:rtl/>
              </w:rPr>
              <w:t>תוקן באופן מלא</w:t>
            </w:r>
          </w:p>
        </w:tc>
      </w:tr>
      <w:tr w14:paraId="1A74F065" w14:textId="77777777" w:rsidTr="002D4A37">
        <w:tblPrEx>
          <w:tblW w:w="7366" w:type="dxa"/>
          <w:jc w:val="center"/>
          <w:tblLook w:val="04A0"/>
        </w:tblPrEx>
        <w:trPr>
          <w:jc w:val="center"/>
        </w:trPr>
        <w:tc>
          <w:tcPr>
            <w:tcW w:w="1369" w:type="dxa"/>
            <w:vMerge w:val="restart"/>
            <w:tcBorders>
              <w:top w:val="nil"/>
            </w:tcBorders>
            <w:shd w:val="clear" w:color="auto" w:fill="DBE8EE"/>
            <w:vAlign w:val="center"/>
          </w:tcPr>
          <w:p w:rsidR="00324B2A" w:rsidRPr="005D20FB" w:rsidP="002D4A37" w14:paraId="0EDA393F" w14:textId="1810696A">
            <w:pPr>
              <w:pStyle w:val="71R"/>
              <w:rPr>
                <w:sz w:val="17"/>
                <w:szCs w:val="17"/>
                <w:rtl/>
              </w:rPr>
            </w:pPr>
            <w:r w:rsidRPr="005D20FB">
              <w:rPr>
                <w:sz w:val="17"/>
                <w:szCs w:val="17"/>
                <w:rtl/>
              </w:rPr>
              <w:t xml:space="preserve">האחריות למימון ולהקמה של ההגנות היבשתיות </w:t>
            </w:r>
          </w:p>
        </w:tc>
        <w:tc>
          <w:tcPr>
            <w:tcW w:w="1045" w:type="dxa"/>
            <w:vMerge w:val="restart"/>
            <w:tcBorders>
              <w:top w:val="nil"/>
            </w:tcBorders>
            <w:shd w:val="clear" w:color="auto" w:fill="DBE8EE"/>
          </w:tcPr>
          <w:p w:rsidR="00324B2A" w:rsidRPr="002D4A37" w:rsidP="002D4A37" w14:paraId="2AFD19F0" w14:textId="11919A88">
            <w:pPr>
              <w:pStyle w:val="71R"/>
              <w:rPr>
                <w:b/>
                <w:bCs/>
                <w:sz w:val="17"/>
                <w:szCs w:val="17"/>
                <w:rtl/>
              </w:rPr>
            </w:pPr>
            <w:r w:rsidRPr="002D4A37">
              <w:rPr>
                <w:b/>
                <w:bCs/>
                <w:sz w:val="17"/>
                <w:szCs w:val="17"/>
                <w:rtl/>
              </w:rPr>
              <w:t>משרדי ראש הממשלה, הגנת הסביבה והפנים</w:t>
            </w:r>
          </w:p>
        </w:tc>
        <w:tc>
          <w:tcPr>
            <w:tcW w:w="1906" w:type="dxa"/>
            <w:vMerge w:val="restart"/>
            <w:tcBorders>
              <w:top w:val="nil"/>
            </w:tcBorders>
            <w:shd w:val="clear" w:color="auto" w:fill="DBE8EE"/>
            <w:vAlign w:val="center"/>
          </w:tcPr>
          <w:p w:rsidR="00324B2A" w:rsidRPr="00324B2A" w:rsidP="002D4A37" w14:paraId="64D2D41E" w14:textId="239C7BB5">
            <w:pPr>
              <w:pStyle w:val="71R"/>
              <w:rPr>
                <w:b/>
                <w:sz w:val="17"/>
                <w:szCs w:val="17"/>
                <w:rtl/>
              </w:rPr>
            </w:pPr>
            <w:r w:rsidRPr="00324B2A">
              <w:rPr>
                <w:b/>
                <w:sz w:val="17"/>
                <w:szCs w:val="17"/>
                <w:rtl/>
              </w:rPr>
              <w:t>יותר משמונה שנים לאחר החלטת הממשלה מאפריל 2011, לא עלה בידם של משרדי ההמשלה, לרבות משרדי ראש הממשלה, הגנת הסביבה והפנים, לגבש מתווה מוסכם בסוגיית הסיוע לרשויות המקומיות למצוא מקורות למימון ההגנות היבשתיות שבתחומן.</w:t>
            </w:r>
          </w:p>
        </w:tc>
        <w:tc>
          <w:tcPr>
            <w:tcW w:w="724" w:type="dxa"/>
            <w:tcBorders>
              <w:top w:val="nil"/>
              <w:bottom w:val="nil"/>
            </w:tcBorders>
            <w:shd w:val="clear" w:color="auto" w:fill="DBE8EE"/>
          </w:tcPr>
          <w:p w:rsidR="00324B2A" w:rsidRPr="0027392D" w:rsidP="002D4A37" w14:paraId="07205F83" w14:textId="77777777">
            <w:pPr>
              <w:pStyle w:val="71R"/>
              <w:rPr>
                <w:b/>
                <w:rtl/>
              </w:rPr>
            </w:pPr>
          </w:p>
        </w:tc>
        <w:tc>
          <w:tcPr>
            <w:tcW w:w="752" w:type="dxa"/>
            <w:tcBorders>
              <w:top w:val="nil"/>
              <w:bottom w:val="nil"/>
            </w:tcBorders>
            <w:shd w:val="clear" w:color="auto" w:fill="DBE8EE"/>
          </w:tcPr>
          <w:p w:rsidR="00324B2A" w:rsidRPr="0027392D" w:rsidP="002D4A37" w14:paraId="7FFCEB8B" w14:textId="65820A49">
            <w:pPr>
              <w:pStyle w:val="71R"/>
              <w:rPr>
                <w:b/>
                <w:rtl/>
              </w:rPr>
            </w:pPr>
          </w:p>
        </w:tc>
        <w:tc>
          <w:tcPr>
            <w:tcW w:w="739" w:type="dxa"/>
            <w:gridSpan w:val="2"/>
            <w:tcBorders>
              <w:top w:val="nil"/>
              <w:bottom w:val="nil"/>
            </w:tcBorders>
            <w:shd w:val="clear" w:color="auto" w:fill="DBE8EE"/>
          </w:tcPr>
          <w:p w:rsidR="00324B2A" w:rsidRPr="0027392D" w:rsidP="002D4A37" w14:paraId="24E5343A" w14:textId="77777777">
            <w:pPr>
              <w:pStyle w:val="71R"/>
              <w:rPr>
                <w:b/>
                <w:rtl/>
              </w:rPr>
            </w:pPr>
          </w:p>
        </w:tc>
        <w:tc>
          <w:tcPr>
            <w:tcW w:w="831" w:type="dxa"/>
            <w:tcBorders>
              <w:top w:val="nil"/>
              <w:bottom w:val="nil"/>
            </w:tcBorders>
            <w:shd w:val="clear" w:color="auto" w:fill="DBE8EE"/>
          </w:tcPr>
          <w:p w:rsidR="00324B2A" w:rsidRPr="0027392D" w:rsidP="002D4A37" w14:paraId="08114AF3" w14:textId="77777777">
            <w:pPr>
              <w:pStyle w:val="71R"/>
              <w:rPr>
                <w:b/>
                <w:rtl/>
              </w:rPr>
            </w:pPr>
          </w:p>
        </w:tc>
      </w:tr>
      <w:tr w14:paraId="2AF7F1A8" w14:textId="77777777" w:rsidTr="002D4A37">
        <w:tblPrEx>
          <w:tblW w:w="7366" w:type="dxa"/>
          <w:jc w:val="center"/>
          <w:tblLook w:val="04A0"/>
        </w:tblPrEx>
        <w:trPr>
          <w:jc w:val="center"/>
        </w:trPr>
        <w:tc>
          <w:tcPr>
            <w:tcW w:w="1369" w:type="dxa"/>
            <w:vMerge/>
            <w:shd w:val="clear" w:color="auto" w:fill="DBE8EE"/>
            <w:vAlign w:val="center"/>
          </w:tcPr>
          <w:p w:rsidR="003A065D" w:rsidP="00DB23D7" w14:paraId="13371B4D" w14:textId="77777777">
            <w:pPr>
              <w:pStyle w:val="71R"/>
              <w:rPr>
                <w:b/>
                <w:rtl/>
              </w:rPr>
            </w:pPr>
          </w:p>
        </w:tc>
        <w:tc>
          <w:tcPr>
            <w:tcW w:w="1045" w:type="dxa"/>
            <w:vMerge/>
            <w:shd w:val="clear" w:color="auto" w:fill="DBE8EE"/>
          </w:tcPr>
          <w:p w:rsidR="003A065D" w:rsidP="00DB23D7" w14:paraId="17718CFC" w14:textId="77777777">
            <w:pPr>
              <w:pStyle w:val="71R"/>
              <w:rPr>
                <w:b/>
                <w:rtl/>
              </w:rPr>
            </w:pPr>
          </w:p>
        </w:tc>
        <w:tc>
          <w:tcPr>
            <w:tcW w:w="1906" w:type="dxa"/>
            <w:vMerge/>
            <w:shd w:val="clear" w:color="auto" w:fill="DBE8EE"/>
          </w:tcPr>
          <w:p w:rsidR="003A065D" w:rsidP="00DB23D7" w14:paraId="441F0CD3" w14:textId="4ABEDEAE">
            <w:pPr>
              <w:pStyle w:val="71R"/>
              <w:rPr>
                <w:b/>
                <w:rtl/>
              </w:rPr>
            </w:pPr>
          </w:p>
        </w:tc>
        <w:tc>
          <w:tcPr>
            <w:tcW w:w="724" w:type="dxa"/>
            <w:tcBorders>
              <w:top w:val="nil"/>
              <w:bottom w:val="nil"/>
            </w:tcBorders>
            <w:shd w:val="clear" w:color="auto" w:fill="DBE8EE"/>
          </w:tcPr>
          <w:p w:rsidR="003A065D" w:rsidRPr="0027392D" w:rsidP="00DB23D7" w14:paraId="763BC8CD" w14:textId="77777777">
            <w:pPr>
              <w:pStyle w:val="71R"/>
              <w:rPr>
                <w:b/>
                <w:rtl/>
              </w:rPr>
            </w:pPr>
          </w:p>
        </w:tc>
        <w:tc>
          <w:tcPr>
            <w:tcW w:w="752" w:type="dxa"/>
            <w:tcBorders>
              <w:top w:val="nil"/>
              <w:bottom w:val="nil"/>
            </w:tcBorders>
            <w:shd w:val="clear" w:color="auto" w:fill="DBE8EE"/>
          </w:tcPr>
          <w:p w:rsidR="003A065D" w:rsidRPr="00606EF9" w:rsidP="00DB23D7" w14:paraId="6E934B9E" w14:textId="48D17054">
            <w:pPr>
              <w:pStyle w:val="71R"/>
              <w:rPr>
                <w:rFonts w:ascii="Times New Roman" w:hAnsi="Times New Roman" w:cs="David"/>
                <w:noProof/>
                <w:rtl/>
              </w:rPr>
            </w:pPr>
          </w:p>
        </w:tc>
        <w:tc>
          <w:tcPr>
            <w:tcW w:w="739" w:type="dxa"/>
            <w:gridSpan w:val="2"/>
            <w:tcBorders>
              <w:top w:val="nil"/>
              <w:bottom w:val="nil"/>
            </w:tcBorders>
            <w:shd w:val="clear" w:color="auto" w:fill="DBE8EE"/>
          </w:tcPr>
          <w:p w:rsidR="003A065D" w:rsidRPr="0027392D" w:rsidP="00DB23D7" w14:paraId="23C8E303" w14:textId="6ACE452F">
            <w:pPr>
              <w:pStyle w:val="71R"/>
              <w:rPr>
                <w:b/>
                <w:rtl/>
              </w:rPr>
            </w:pPr>
          </w:p>
        </w:tc>
        <w:tc>
          <w:tcPr>
            <w:tcW w:w="831" w:type="dxa"/>
            <w:tcBorders>
              <w:top w:val="nil"/>
              <w:bottom w:val="nil"/>
            </w:tcBorders>
            <w:shd w:val="clear" w:color="auto" w:fill="DBE8EE"/>
          </w:tcPr>
          <w:p w:rsidR="003A065D" w:rsidRPr="0027392D" w:rsidP="00DB23D7" w14:paraId="6CB9B23E" w14:textId="77777777">
            <w:pPr>
              <w:pStyle w:val="71R"/>
              <w:rPr>
                <w:b/>
                <w:rtl/>
              </w:rPr>
            </w:pPr>
          </w:p>
        </w:tc>
      </w:tr>
      <w:tr w14:paraId="7C73751F" w14:textId="77777777" w:rsidTr="002D4A37">
        <w:tblPrEx>
          <w:tblW w:w="7366" w:type="dxa"/>
          <w:jc w:val="center"/>
          <w:tblLook w:val="04A0"/>
        </w:tblPrEx>
        <w:trPr>
          <w:jc w:val="center"/>
        </w:trPr>
        <w:tc>
          <w:tcPr>
            <w:tcW w:w="1369" w:type="dxa"/>
            <w:vMerge/>
            <w:tcBorders>
              <w:bottom w:val="single" w:sz="4" w:space="0" w:color="auto"/>
            </w:tcBorders>
            <w:shd w:val="clear" w:color="auto" w:fill="DBE8EE"/>
            <w:vAlign w:val="center"/>
          </w:tcPr>
          <w:p w:rsidR="003A065D" w:rsidP="00DB23D7" w14:paraId="04FE7AB3" w14:textId="77777777">
            <w:pPr>
              <w:pStyle w:val="71R"/>
              <w:rPr>
                <w:b/>
                <w:rtl/>
              </w:rPr>
            </w:pPr>
          </w:p>
        </w:tc>
        <w:tc>
          <w:tcPr>
            <w:tcW w:w="1045" w:type="dxa"/>
            <w:vMerge/>
            <w:tcBorders>
              <w:bottom w:val="single" w:sz="4" w:space="0" w:color="auto"/>
            </w:tcBorders>
            <w:shd w:val="clear" w:color="auto" w:fill="DBE8EE"/>
          </w:tcPr>
          <w:p w:rsidR="003A065D" w:rsidP="00DB23D7" w14:paraId="221996E7" w14:textId="77777777">
            <w:pPr>
              <w:pStyle w:val="71R"/>
              <w:rPr>
                <w:b/>
                <w:rtl/>
              </w:rPr>
            </w:pPr>
          </w:p>
        </w:tc>
        <w:tc>
          <w:tcPr>
            <w:tcW w:w="1906" w:type="dxa"/>
            <w:vMerge/>
            <w:tcBorders>
              <w:bottom w:val="single" w:sz="4" w:space="0" w:color="auto"/>
            </w:tcBorders>
            <w:shd w:val="clear" w:color="auto" w:fill="DBE8EE"/>
          </w:tcPr>
          <w:p w:rsidR="003A065D" w:rsidP="00DB23D7" w14:paraId="31B5CF23" w14:textId="7D8994AC">
            <w:pPr>
              <w:pStyle w:val="71R"/>
              <w:rPr>
                <w:b/>
                <w:rtl/>
              </w:rPr>
            </w:pPr>
          </w:p>
        </w:tc>
        <w:tc>
          <w:tcPr>
            <w:tcW w:w="724" w:type="dxa"/>
            <w:tcBorders>
              <w:top w:val="nil"/>
              <w:bottom w:val="single" w:sz="4" w:space="0" w:color="auto"/>
            </w:tcBorders>
            <w:shd w:val="clear" w:color="auto" w:fill="DBE8EE"/>
          </w:tcPr>
          <w:p w:rsidR="003A065D" w:rsidRPr="0027392D" w:rsidP="00DB23D7" w14:paraId="26D84EB4" w14:textId="51F2E145">
            <w:pPr>
              <w:pStyle w:val="71R"/>
              <w:rPr>
                <w:b/>
                <w:rtl/>
              </w:rPr>
            </w:pPr>
            <w:r w:rsidRPr="00606EF9">
              <w:rPr>
                <w:rFonts w:ascii="Times New Roman" w:hAnsi="Times New Roman" w:cs="David"/>
                <w:noProof/>
                <w:rtl/>
              </w:rPr>
              <mc:AlternateContent>
                <mc:Choice Requires="wps">
                  <w:drawing>
                    <wp:anchor distT="0" distB="0" distL="114300" distR="114300" simplePos="0" relativeHeight="251711488" behindDoc="0" locked="0" layoutInCell="1" allowOverlap="1">
                      <wp:simplePos x="0" y="0"/>
                      <wp:positionH relativeFrom="column">
                        <wp:posOffset>-66040</wp:posOffset>
                      </wp:positionH>
                      <wp:positionV relativeFrom="paragraph">
                        <wp:posOffset>598281</wp:posOffset>
                      </wp:positionV>
                      <wp:extent cx="445770" cy="287655"/>
                      <wp:effectExtent l="0" t="0" r="11430" b="17145"/>
                      <wp:wrapNone/>
                      <wp:docPr id="39"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39" type="#_x0000_t66" style="width:35.1pt;height:22.65pt;margin-top:47.1pt;margin-left:-5.2pt;mso-height-percent:0;mso-height-relative:margin;mso-width-percent:0;mso-width-relative:margin;mso-wrap-distance-bottom:0;mso-wrap-distance-left:9pt;mso-wrap-distance-right:9pt;mso-wrap-distance-top:0;mso-wrap-style:square;position:absolute;visibility:visible;v-text-anchor:middle;z-index:251712512" adj="6969" fillcolor="#f05260" strokecolor="#f05260" strokeweight="2pt"/>
                  </w:pict>
                </mc:Fallback>
              </mc:AlternateContent>
            </w:r>
          </w:p>
        </w:tc>
        <w:tc>
          <w:tcPr>
            <w:tcW w:w="752" w:type="dxa"/>
            <w:tcBorders>
              <w:top w:val="nil"/>
              <w:bottom w:val="single" w:sz="4" w:space="0" w:color="auto"/>
            </w:tcBorders>
            <w:shd w:val="clear" w:color="auto" w:fill="DBE8EE"/>
          </w:tcPr>
          <w:p w:rsidR="003A065D" w:rsidRPr="00606EF9" w:rsidP="00DB23D7" w14:paraId="535012D3" w14:textId="5FFFEFB1">
            <w:pPr>
              <w:pStyle w:val="71R"/>
              <w:rPr>
                <w:rFonts w:ascii="Times New Roman" w:hAnsi="Times New Roman" w:cs="David"/>
                <w:noProof/>
                <w:rtl/>
              </w:rPr>
            </w:pPr>
          </w:p>
        </w:tc>
        <w:tc>
          <w:tcPr>
            <w:tcW w:w="739" w:type="dxa"/>
            <w:gridSpan w:val="2"/>
            <w:tcBorders>
              <w:top w:val="nil"/>
              <w:bottom w:val="single" w:sz="4" w:space="0" w:color="auto"/>
            </w:tcBorders>
            <w:shd w:val="clear" w:color="auto" w:fill="DBE8EE"/>
          </w:tcPr>
          <w:p w:rsidR="003A065D" w:rsidRPr="0027392D" w:rsidP="00DB23D7" w14:paraId="41EF14C6" w14:textId="64803762">
            <w:pPr>
              <w:pStyle w:val="71R"/>
              <w:rPr>
                <w:b/>
                <w:rtl/>
              </w:rPr>
            </w:pPr>
          </w:p>
        </w:tc>
        <w:tc>
          <w:tcPr>
            <w:tcW w:w="831" w:type="dxa"/>
            <w:tcBorders>
              <w:top w:val="nil"/>
              <w:bottom w:val="single" w:sz="4" w:space="0" w:color="auto"/>
            </w:tcBorders>
            <w:shd w:val="clear" w:color="auto" w:fill="DBE8EE"/>
          </w:tcPr>
          <w:p w:rsidR="003A065D" w:rsidRPr="0027392D" w:rsidP="00DB23D7" w14:paraId="0BFCCDE5" w14:textId="627D9835">
            <w:pPr>
              <w:pStyle w:val="71R"/>
              <w:rPr>
                <w:b/>
                <w:rtl/>
              </w:rPr>
            </w:pPr>
          </w:p>
        </w:tc>
      </w:tr>
      <w:tr w14:paraId="05571793" w14:textId="77777777" w:rsidTr="002D4A37">
        <w:tblPrEx>
          <w:tblW w:w="7366" w:type="dxa"/>
          <w:jc w:val="center"/>
          <w:tblLook w:val="04A0"/>
        </w:tblPrEx>
        <w:trPr>
          <w:jc w:val="center"/>
        </w:trPr>
        <w:tc>
          <w:tcPr>
            <w:tcW w:w="1369" w:type="dxa"/>
            <w:vMerge w:val="restart"/>
            <w:tcBorders>
              <w:top w:val="single" w:sz="4" w:space="0" w:color="auto"/>
            </w:tcBorders>
            <w:shd w:val="clear" w:color="auto" w:fill="ECF4F5"/>
            <w:vAlign w:val="center"/>
          </w:tcPr>
          <w:p w:rsidR="005D20FB" w:rsidRPr="005D20FB" w:rsidP="002D4A37" w14:paraId="74612989" w14:textId="2865BC6A">
            <w:pPr>
              <w:pStyle w:val="71R"/>
              <w:rPr>
                <w:sz w:val="17"/>
                <w:szCs w:val="17"/>
                <w:rtl/>
              </w:rPr>
            </w:pPr>
            <w:r w:rsidRPr="005D20FB">
              <w:rPr>
                <w:sz w:val="17"/>
                <w:szCs w:val="17"/>
                <w:rtl/>
              </w:rPr>
              <w:t>ביצוע פעולות מיגון דחופות והגנה על שלום הציבור</w:t>
            </w:r>
          </w:p>
        </w:tc>
        <w:tc>
          <w:tcPr>
            <w:tcW w:w="1045" w:type="dxa"/>
            <w:vMerge w:val="restart"/>
            <w:shd w:val="clear" w:color="auto" w:fill="ECF4F5"/>
          </w:tcPr>
          <w:p w:rsidR="005D20FB" w:rsidRPr="002D4A37" w:rsidP="002D4A37" w14:paraId="634F8AB8" w14:textId="55B1BA5F">
            <w:pPr>
              <w:pStyle w:val="71R"/>
              <w:rPr>
                <w:b/>
                <w:bCs/>
                <w:sz w:val="17"/>
                <w:szCs w:val="17"/>
                <w:rtl/>
              </w:rPr>
            </w:pPr>
            <w:r w:rsidRPr="002D4A37">
              <w:rPr>
                <w:b/>
                <w:bCs/>
                <w:sz w:val="17"/>
                <w:szCs w:val="17"/>
                <w:rtl/>
              </w:rPr>
              <w:t>עיריית הרצלייה</w:t>
            </w:r>
          </w:p>
        </w:tc>
        <w:tc>
          <w:tcPr>
            <w:tcW w:w="1906" w:type="dxa"/>
            <w:vMerge w:val="restart"/>
            <w:shd w:val="clear" w:color="auto" w:fill="ECF4F5"/>
          </w:tcPr>
          <w:p w:rsidR="005D20FB" w:rsidRPr="005D20FB" w:rsidP="002D4A37" w14:paraId="4E834F99" w14:textId="7CBA1FD9">
            <w:pPr>
              <w:pStyle w:val="71R"/>
              <w:rPr>
                <w:sz w:val="17"/>
                <w:szCs w:val="17"/>
                <w:rtl/>
              </w:rPr>
            </w:pPr>
            <w:r w:rsidRPr="005D20FB">
              <w:rPr>
                <w:sz w:val="17"/>
                <w:szCs w:val="17"/>
                <w:rtl/>
              </w:rPr>
              <w:t>עיריית הרצלייה לא קידמה ביצוע של הגנות דחופות או פעולות להגנה על שלום הציבור.</w:t>
            </w:r>
          </w:p>
        </w:tc>
        <w:tc>
          <w:tcPr>
            <w:tcW w:w="724" w:type="dxa"/>
            <w:tcBorders>
              <w:top w:val="single" w:sz="4" w:space="0" w:color="auto"/>
              <w:bottom w:val="nil"/>
            </w:tcBorders>
            <w:shd w:val="clear" w:color="auto" w:fill="ECF4F5"/>
          </w:tcPr>
          <w:p w:rsidR="005D20FB" w:rsidRPr="0027392D" w:rsidP="002D4A37" w14:paraId="1E9190E7" w14:textId="222B2EA8">
            <w:pPr>
              <w:pStyle w:val="71R"/>
              <w:rPr>
                <w:b/>
                <w:rtl/>
              </w:rPr>
            </w:pPr>
          </w:p>
        </w:tc>
        <w:tc>
          <w:tcPr>
            <w:tcW w:w="752" w:type="dxa"/>
            <w:tcBorders>
              <w:top w:val="single" w:sz="4" w:space="0" w:color="auto"/>
              <w:bottom w:val="nil"/>
            </w:tcBorders>
            <w:shd w:val="clear" w:color="auto" w:fill="ECF4F5"/>
          </w:tcPr>
          <w:p w:rsidR="005D20FB" w:rsidRPr="00606EF9" w:rsidP="002D4A37" w14:paraId="5170AC1C" w14:textId="5D155BF9">
            <w:pPr>
              <w:pStyle w:val="71R"/>
              <w:rPr>
                <w:rFonts w:ascii="Times New Roman" w:hAnsi="Times New Roman" w:cs="David"/>
                <w:noProof/>
                <w:rtl/>
              </w:rPr>
            </w:pPr>
          </w:p>
        </w:tc>
        <w:tc>
          <w:tcPr>
            <w:tcW w:w="739" w:type="dxa"/>
            <w:gridSpan w:val="2"/>
            <w:tcBorders>
              <w:top w:val="single" w:sz="4" w:space="0" w:color="auto"/>
              <w:bottom w:val="nil"/>
            </w:tcBorders>
            <w:shd w:val="clear" w:color="auto" w:fill="ECF4F5"/>
          </w:tcPr>
          <w:p w:rsidR="005D20FB" w:rsidRPr="0027392D" w:rsidP="002D4A37" w14:paraId="6A877EDE" w14:textId="77777777">
            <w:pPr>
              <w:pStyle w:val="71R"/>
              <w:rPr>
                <w:b/>
                <w:rtl/>
              </w:rPr>
            </w:pPr>
          </w:p>
        </w:tc>
        <w:tc>
          <w:tcPr>
            <w:tcW w:w="831" w:type="dxa"/>
            <w:tcBorders>
              <w:top w:val="single" w:sz="4" w:space="0" w:color="auto"/>
              <w:bottom w:val="nil"/>
            </w:tcBorders>
            <w:shd w:val="clear" w:color="auto" w:fill="ECF4F5"/>
          </w:tcPr>
          <w:p w:rsidR="005D20FB" w:rsidRPr="0027392D" w:rsidP="002D4A37" w14:paraId="6B1AFC8A" w14:textId="77777777">
            <w:pPr>
              <w:pStyle w:val="71R"/>
              <w:rPr>
                <w:b/>
                <w:rtl/>
              </w:rPr>
            </w:pPr>
          </w:p>
        </w:tc>
      </w:tr>
      <w:tr w14:paraId="22058309" w14:textId="77777777" w:rsidTr="002D4A37">
        <w:tblPrEx>
          <w:tblW w:w="7366" w:type="dxa"/>
          <w:jc w:val="center"/>
          <w:tblLook w:val="04A0"/>
        </w:tblPrEx>
        <w:trPr>
          <w:jc w:val="center"/>
        </w:trPr>
        <w:tc>
          <w:tcPr>
            <w:tcW w:w="1369" w:type="dxa"/>
            <w:vMerge/>
            <w:shd w:val="clear" w:color="auto" w:fill="ECF4F5"/>
            <w:vAlign w:val="center"/>
          </w:tcPr>
          <w:p w:rsidR="001F4340" w:rsidP="00DB23D7" w14:paraId="793002FE" w14:textId="77777777">
            <w:pPr>
              <w:pStyle w:val="71R"/>
              <w:rPr>
                <w:b/>
                <w:rtl/>
              </w:rPr>
            </w:pPr>
          </w:p>
        </w:tc>
        <w:tc>
          <w:tcPr>
            <w:tcW w:w="1045" w:type="dxa"/>
            <w:vMerge/>
            <w:shd w:val="clear" w:color="auto" w:fill="DBE8EE"/>
          </w:tcPr>
          <w:p w:rsidR="001F4340" w:rsidP="00DB23D7" w14:paraId="75C0874C" w14:textId="77777777">
            <w:pPr>
              <w:pStyle w:val="71R"/>
              <w:rPr>
                <w:b/>
                <w:rtl/>
              </w:rPr>
            </w:pPr>
          </w:p>
        </w:tc>
        <w:tc>
          <w:tcPr>
            <w:tcW w:w="1906" w:type="dxa"/>
            <w:vMerge/>
            <w:shd w:val="clear" w:color="auto" w:fill="DBE8EE"/>
          </w:tcPr>
          <w:p w:rsidR="001F4340" w:rsidP="00DB23D7" w14:paraId="41EFCB00" w14:textId="4E3F843A">
            <w:pPr>
              <w:pStyle w:val="71R"/>
              <w:rPr>
                <w:b/>
                <w:rtl/>
              </w:rPr>
            </w:pPr>
          </w:p>
        </w:tc>
        <w:tc>
          <w:tcPr>
            <w:tcW w:w="724" w:type="dxa"/>
            <w:tcBorders>
              <w:top w:val="nil"/>
              <w:bottom w:val="nil"/>
            </w:tcBorders>
            <w:shd w:val="clear" w:color="auto" w:fill="ECF4F5"/>
          </w:tcPr>
          <w:p w:rsidR="001F4340" w:rsidRPr="0027392D" w:rsidP="00DB23D7" w14:paraId="274B9B3D" w14:textId="2DC26D01">
            <w:pPr>
              <w:pStyle w:val="71R"/>
              <w:rPr>
                <w:b/>
                <w:rtl/>
              </w:rPr>
            </w:pPr>
          </w:p>
        </w:tc>
        <w:tc>
          <w:tcPr>
            <w:tcW w:w="752" w:type="dxa"/>
            <w:tcBorders>
              <w:top w:val="nil"/>
              <w:bottom w:val="nil"/>
            </w:tcBorders>
            <w:shd w:val="clear" w:color="auto" w:fill="ECF4F5"/>
          </w:tcPr>
          <w:p w:rsidR="001F4340" w:rsidRPr="00606EF9" w:rsidP="00DB23D7" w14:paraId="1A8F3DA4" w14:textId="4EAA1AF1">
            <w:pPr>
              <w:pStyle w:val="71R"/>
              <w:rPr>
                <w:rFonts w:ascii="Times New Roman" w:hAnsi="Times New Roman" w:cs="David"/>
                <w:noProof/>
                <w:rtl/>
              </w:rPr>
            </w:pPr>
          </w:p>
        </w:tc>
        <w:tc>
          <w:tcPr>
            <w:tcW w:w="739" w:type="dxa"/>
            <w:gridSpan w:val="2"/>
            <w:tcBorders>
              <w:top w:val="nil"/>
              <w:bottom w:val="nil"/>
            </w:tcBorders>
            <w:shd w:val="clear" w:color="auto" w:fill="ECF4F5"/>
          </w:tcPr>
          <w:p w:rsidR="001F4340" w:rsidRPr="0027392D" w:rsidP="00DB23D7" w14:paraId="043C8530" w14:textId="6ED86A5D">
            <w:pPr>
              <w:pStyle w:val="71R"/>
              <w:rPr>
                <w:b/>
                <w:rtl/>
              </w:rPr>
            </w:pPr>
            <w:r w:rsidRPr="00606EF9">
              <w:rPr>
                <w:rFonts w:ascii="Times New Roman" w:hAnsi="Times New Roman" w:cs="David"/>
                <w:noProof/>
                <w:rtl/>
              </w:rPr>
              <mc:AlternateContent>
                <mc:Choice Requires="wps">
                  <w:drawing>
                    <wp:anchor distT="0" distB="0" distL="114300" distR="114300" simplePos="0" relativeHeight="251702272" behindDoc="0" locked="0" layoutInCell="1" allowOverlap="1">
                      <wp:simplePos x="0" y="0"/>
                      <wp:positionH relativeFrom="column">
                        <wp:posOffset>-37769</wp:posOffset>
                      </wp:positionH>
                      <wp:positionV relativeFrom="paragraph">
                        <wp:posOffset>62865</wp:posOffset>
                      </wp:positionV>
                      <wp:extent cx="1369695" cy="287655"/>
                      <wp:effectExtent l="0" t="0" r="20955" b="17145"/>
                      <wp:wrapNone/>
                      <wp:docPr id="3788746"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136969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0" type="#_x0000_t66" style="width:107.85pt;height:22.65pt;margin-top:4.95pt;margin-left:-2.95pt;mso-height-percent:0;mso-height-relative:margin;mso-width-percent:0;mso-width-relative:margin;mso-wrap-distance-bottom:0;mso-wrap-distance-left:9pt;mso-wrap-distance-right:9pt;mso-wrap-distance-top:0;mso-wrap-style:square;position:absolute;visibility:visible;v-text-anchor:middle;z-index:251703296" adj="2268" fillcolor="#ded900" strokecolor="#ded900" strokeweight="2pt"/>
                  </w:pict>
                </mc:Fallback>
              </mc:AlternateContent>
            </w:r>
          </w:p>
        </w:tc>
        <w:tc>
          <w:tcPr>
            <w:tcW w:w="831" w:type="dxa"/>
            <w:tcBorders>
              <w:top w:val="nil"/>
              <w:bottom w:val="nil"/>
            </w:tcBorders>
            <w:shd w:val="clear" w:color="auto" w:fill="ECF4F5"/>
          </w:tcPr>
          <w:p w:rsidR="001F4340" w:rsidRPr="0027392D" w:rsidP="00DB23D7" w14:paraId="20CE364A" w14:textId="2DA9F548">
            <w:pPr>
              <w:pStyle w:val="71R"/>
              <w:rPr>
                <w:b/>
                <w:rtl/>
              </w:rPr>
            </w:pPr>
          </w:p>
        </w:tc>
      </w:tr>
      <w:tr w14:paraId="1B629994" w14:textId="77777777" w:rsidTr="002D4A37">
        <w:tblPrEx>
          <w:tblW w:w="7366" w:type="dxa"/>
          <w:jc w:val="center"/>
          <w:tblLook w:val="04A0"/>
        </w:tblPrEx>
        <w:trPr>
          <w:jc w:val="center"/>
        </w:trPr>
        <w:tc>
          <w:tcPr>
            <w:tcW w:w="1369" w:type="dxa"/>
            <w:vMerge/>
            <w:tcBorders>
              <w:bottom w:val="single" w:sz="4" w:space="0" w:color="auto"/>
            </w:tcBorders>
            <w:shd w:val="clear" w:color="auto" w:fill="ECF4F5"/>
            <w:vAlign w:val="center"/>
          </w:tcPr>
          <w:p w:rsidR="001F4340" w:rsidP="00DB23D7" w14:paraId="4880B50E" w14:textId="77777777">
            <w:pPr>
              <w:pStyle w:val="71R"/>
              <w:rPr>
                <w:b/>
                <w:rtl/>
              </w:rPr>
            </w:pPr>
          </w:p>
        </w:tc>
        <w:tc>
          <w:tcPr>
            <w:tcW w:w="1045" w:type="dxa"/>
            <w:vMerge/>
            <w:tcBorders>
              <w:bottom w:val="single" w:sz="4" w:space="0" w:color="auto"/>
            </w:tcBorders>
            <w:shd w:val="clear" w:color="auto" w:fill="DBE8EE"/>
          </w:tcPr>
          <w:p w:rsidR="001F4340" w:rsidP="00DB23D7" w14:paraId="71CC860D" w14:textId="77777777">
            <w:pPr>
              <w:pStyle w:val="71R"/>
              <w:rPr>
                <w:b/>
                <w:rtl/>
              </w:rPr>
            </w:pPr>
          </w:p>
        </w:tc>
        <w:tc>
          <w:tcPr>
            <w:tcW w:w="1906" w:type="dxa"/>
            <w:vMerge/>
            <w:tcBorders>
              <w:bottom w:val="single" w:sz="4" w:space="0" w:color="auto"/>
            </w:tcBorders>
            <w:shd w:val="clear" w:color="auto" w:fill="DBE8EE"/>
          </w:tcPr>
          <w:p w:rsidR="001F4340" w:rsidP="00DB23D7" w14:paraId="0CAEAA30" w14:textId="0B8E6BDC">
            <w:pPr>
              <w:pStyle w:val="71R"/>
              <w:rPr>
                <w:b/>
                <w:rtl/>
              </w:rPr>
            </w:pPr>
          </w:p>
        </w:tc>
        <w:tc>
          <w:tcPr>
            <w:tcW w:w="724" w:type="dxa"/>
            <w:tcBorders>
              <w:top w:val="nil"/>
              <w:bottom w:val="single" w:sz="4" w:space="0" w:color="auto"/>
            </w:tcBorders>
            <w:shd w:val="clear" w:color="auto" w:fill="ECF4F5"/>
          </w:tcPr>
          <w:p w:rsidR="001F4340" w:rsidRPr="0027392D" w:rsidP="00DB23D7" w14:paraId="23C3AD95" w14:textId="6882A84E">
            <w:pPr>
              <w:pStyle w:val="71R"/>
              <w:rPr>
                <w:b/>
                <w:rtl/>
              </w:rPr>
            </w:pPr>
          </w:p>
        </w:tc>
        <w:tc>
          <w:tcPr>
            <w:tcW w:w="752" w:type="dxa"/>
            <w:tcBorders>
              <w:top w:val="nil"/>
              <w:bottom w:val="single" w:sz="4" w:space="0" w:color="auto"/>
            </w:tcBorders>
            <w:shd w:val="clear" w:color="auto" w:fill="ECF4F5"/>
          </w:tcPr>
          <w:p w:rsidR="001F4340" w:rsidRPr="00606EF9" w:rsidP="00DB23D7" w14:paraId="24E7052C" w14:textId="7D80F24B">
            <w:pPr>
              <w:pStyle w:val="71R"/>
              <w:rPr>
                <w:rFonts w:ascii="Times New Roman" w:hAnsi="Times New Roman" w:cs="David"/>
                <w:noProof/>
                <w:rtl/>
              </w:rPr>
            </w:pPr>
          </w:p>
        </w:tc>
        <w:tc>
          <w:tcPr>
            <w:tcW w:w="739" w:type="dxa"/>
            <w:gridSpan w:val="2"/>
            <w:tcBorders>
              <w:top w:val="nil"/>
              <w:bottom w:val="single" w:sz="4" w:space="0" w:color="auto"/>
            </w:tcBorders>
            <w:shd w:val="clear" w:color="auto" w:fill="ECF4F5"/>
          </w:tcPr>
          <w:p w:rsidR="001F4340" w:rsidRPr="0027392D" w:rsidP="00DB23D7" w14:paraId="4DBE2CDE" w14:textId="1779FE1E">
            <w:pPr>
              <w:pStyle w:val="71R"/>
              <w:rPr>
                <w:b/>
                <w:rtl/>
              </w:rPr>
            </w:pPr>
          </w:p>
        </w:tc>
        <w:tc>
          <w:tcPr>
            <w:tcW w:w="831" w:type="dxa"/>
            <w:tcBorders>
              <w:top w:val="nil"/>
              <w:bottom w:val="single" w:sz="4" w:space="0" w:color="auto"/>
            </w:tcBorders>
            <w:shd w:val="clear" w:color="auto" w:fill="ECF4F5"/>
          </w:tcPr>
          <w:p w:rsidR="001F4340" w:rsidRPr="0027392D" w:rsidP="00DB23D7" w14:paraId="13CC3038" w14:textId="2A3CC8C4">
            <w:pPr>
              <w:pStyle w:val="71R"/>
              <w:rPr>
                <w:b/>
                <w:rtl/>
              </w:rPr>
            </w:pPr>
          </w:p>
        </w:tc>
      </w:tr>
      <w:tr w14:paraId="63736159" w14:textId="77777777" w:rsidTr="002D4A37">
        <w:tblPrEx>
          <w:tblW w:w="7366" w:type="dxa"/>
          <w:jc w:val="center"/>
          <w:tblLook w:val="04A0"/>
        </w:tblPrEx>
        <w:trPr>
          <w:jc w:val="center"/>
        </w:trPr>
        <w:tc>
          <w:tcPr>
            <w:tcW w:w="1369" w:type="dxa"/>
            <w:tcBorders>
              <w:top w:val="single" w:sz="4" w:space="0" w:color="auto"/>
              <w:bottom w:val="single" w:sz="4" w:space="0" w:color="auto"/>
            </w:tcBorders>
            <w:shd w:val="clear" w:color="auto" w:fill="DBE8EE"/>
            <w:vAlign w:val="center"/>
          </w:tcPr>
          <w:p w:rsidR="00976DDE" w:rsidRPr="00976DDE" w:rsidP="002D4A37" w14:paraId="2B76F199" w14:textId="392DCE25">
            <w:pPr>
              <w:pStyle w:val="71R"/>
              <w:rPr>
                <w:sz w:val="17"/>
                <w:szCs w:val="17"/>
                <w:rtl/>
              </w:rPr>
            </w:pPr>
            <w:r w:rsidRPr="00976DDE">
              <w:rPr>
                <w:sz w:val="17"/>
                <w:szCs w:val="17"/>
                <w:rtl/>
              </w:rPr>
              <w:t xml:space="preserve">תכנון וביצוע מיגון יבשתי על ידי </w:t>
            </w:r>
            <w:r w:rsidRPr="00976DDE">
              <w:rPr>
                <w:sz w:val="17"/>
                <w:szCs w:val="17"/>
                <w:rtl/>
              </w:rPr>
              <w:t>רט"ג</w:t>
            </w:r>
          </w:p>
        </w:tc>
        <w:tc>
          <w:tcPr>
            <w:tcW w:w="1045" w:type="dxa"/>
            <w:tcBorders>
              <w:bottom w:val="single" w:sz="4" w:space="0" w:color="auto"/>
            </w:tcBorders>
            <w:shd w:val="clear" w:color="auto" w:fill="DBE8EE"/>
          </w:tcPr>
          <w:p w:rsidR="00976DDE" w:rsidRPr="002D4A37" w:rsidP="002D4A37" w14:paraId="0D1F5626" w14:textId="14E21E8C">
            <w:pPr>
              <w:pStyle w:val="71R"/>
              <w:rPr>
                <w:b/>
                <w:bCs/>
                <w:sz w:val="17"/>
                <w:szCs w:val="17"/>
                <w:rtl/>
              </w:rPr>
            </w:pPr>
            <w:r w:rsidRPr="002D4A37">
              <w:rPr>
                <w:b/>
                <w:bCs/>
                <w:sz w:val="17"/>
                <w:szCs w:val="17"/>
                <w:rtl/>
              </w:rPr>
              <w:t>רט"ג</w:t>
            </w:r>
          </w:p>
        </w:tc>
        <w:tc>
          <w:tcPr>
            <w:tcW w:w="1906" w:type="dxa"/>
            <w:tcBorders>
              <w:bottom w:val="single" w:sz="4" w:space="0" w:color="auto"/>
            </w:tcBorders>
            <w:shd w:val="clear" w:color="auto" w:fill="DBE8EE"/>
          </w:tcPr>
          <w:p w:rsidR="00976DDE" w:rsidRPr="00976DDE" w:rsidP="002D4A37" w14:paraId="0638A1F0" w14:textId="202778DD">
            <w:pPr>
              <w:pStyle w:val="71R"/>
              <w:rPr>
                <w:sz w:val="17"/>
                <w:szCs w:val="17"/>
                <w:rtl/>
              </w:rPr>
            </w:pPr>
            <w:r w:rsidRPr="00976DDE">
              <w:rPr>
                <w:sz w:val="17"/>
                <w:szCs w:val="17"/>
                <w:rtl/>
              </w:rPr>
              <w:t>רט"ג</w:t>
            </w:r>
            <w:r w:rsidRPr="00976DDE">
              <w:rPr>
                <w:sz w:val="17"/>
                <w:szCs w:val="17"/>
                <w:rtl/>
              </w:rPr>
              <w:t xml:space="preserve"> לא קידמה את התכנון והביצוע של ההגנות היבשתיות הדחופות והקבועות בגן לאומי תל אשקלון ולא הציבה אמצעי בטיחות להרחקת אנשים מגג המצוק שבגן הלאומי אפולוניה בהרצלייה.</w:t>
            </w:r>
          </w:p>
        </w:tc>
        <w:tc>
          <w:tcPr>
            <w:tcW w:w="724" w:type="dxa"/>
            <w:tcBorders>
              <w:top w:val="single" w:sz="4" w:space="0" w:color="auto"/>
              <w:bottom w:val="single" w:sz="4" w:space="0" w:color="auto"/>
            </w:tcBorders>
            <w:shd w:val="clear" w:color="auto" w:fill="DBE8EE"/>
          </w:tcPr>
          <w:p w:rsidR="00976DDE" w:rsidRPr="00606EF9" w:rsidP="002D4A37" w14:paraId="45A91528" w14:textId="45428860">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1721728" behindDoc="0" locked="0" layoutInCell="1" allowOverlap="1">
                      <wp:simplePos x="0" y="0"/>
                      <wp:positionH relativeFrom="column">
                        <wp:posOffset>-71755</wp:posOffset>
                      </wp:positionH>
                      <wp:positionV relativeFrom="paragraph">
                        <wp:posOffset>532351</wp:posOffset>
                      </wp:positionV>
                      <wp:extent cx="445770" cy="287655"/>
                      <wp:effectExtent l="0" t="0" r="11430" b="17145"/>
                      <wp:wrapNone/>
                      <wp:docPr id="3788738"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1" type="#_x0000_t66" style="width:35.1pt;height:22.65pt;margin-top:41.9pt;margin-left:-5.65pt;mso-height-percent:0;mso-height-relative:margin;mso-width-percent:0;mso-width-relative:margin;mso-wrap-distance-bottom:0;mso-wrap-distance-left:9pt;mso-wrap-distance-right:9pt;mso-wrap-distance-top:0;mso-wrap-style:square;position:absolute;visibility:visible;v-text-anchor:middle;z-index:251722752" adj="6969" fillcolor="#f05260" strokecolor="#f05260" strokeweight="2pt"/>
                  </w:pict>
                </mc:Fallback>
              </mc:AlternateContent>
            </w:r>
          </w:p>
        </w:tc>
        <w:tc>
          <w:tcPr>
            <w:tcW w:w="752" w:type="dxa"/>
            <w:tcBorders>
              <w:top w:val="single" w:sz="4" w:space="0" w:color="auto"/>
              <w:bottom w:val="single" w:sz="4" w:space="0" w:color="auto"/>
            </w:tcBorders>
            <w:shd w:val="clear" w:color="auto" w:fill="DBE8EE"/>
          </w:tcPr>
          <w:p w:rsidR="00976DDE" w:rsidRPr="00606EF9" w:rsidP="002D4A37" w14:paraId="029D7661" w14:textId="70F1B0A7">
            <w:pPr>
              <w:pStyle w:val="71R"/>
              <w:rPr>
                <w:rFonts w:ascii="Times New Roman" w:hAnsi="Times New Roman" w:cs="David"/>
                <w:noProof/>
                <w:rtl/>
              </w:rPr>
            </w:pPr>
          </w:p>
        </w:tc>
        <w:tc>
          <w:tcPr>
            <w:tcW w:w="739" w:type="dxa"/>
            <w:gridSpan w:val="2"/>
            <w:tcBorders>
              <w:top w:val="single" w:sz="4" w:space="0" w:color="auto"/>
              <w:bottom w:val="single" w:sz="4" w:space="0" w:color="auto"/>
            </w:tcBorders>
            <w:shd w:val="clear" w:color="auto" w:fill="DBE8EE"/>
          </w:tcPr>
          <w:p w:rsidR="00976DDE" w:rsidRPr="0027392D" w:rsidP="002D4A37" w14:paraId="6DD3085B" w14:textId="411E0B02">
            <w:pPr>
              <w:pStyle w:val="71R"/>
              <w:rPr>
                <w:b/>
                <w:rtl/>
              </w:rPr>
            </w:pPr>
          </w:p>
        </w:tc>
        <w:tc>
          <w:tcPr>
            <w:tcW w:w="831" w:type="dxa"/>
            <w:tcBorders>
              <w:top w:val="single" w:sz="4" w:space="0" w:color="auto"/>
              <w:bottom w:val="single" w:sz="4" w:space="0" w:color="auto"/>
            </w:tcBorders>
            <w:shd w:val="clear" w:color="auto" w:fill="DBE8EE"/>
          </w:tcPr>
          <w:p w:rsidR="00976DDE" w:rsidRPr="0027392D" w:rsidP="002D4A37" w14:paraId="53F46FD7" w14:textId="77777777">
            <w:pPr>
              <w:pStyle w:val="71R"/>
              <w:rPr>
                <w:b/>
                <w:rtl/>
              </w:rPr>
            </w:pPr>
          </w:p>
        </w:tc>
      </w:tr>
    </w:tbl>
    <w:p w:rsidR="0075325D" w:rsidRPr="0075325D" w:rsidP="0075325D" w14:paraId="11AB74CA" w14:textId="6FC2E9E4">
      <w:pPr>
        <w:pStyle w:val="750"/>
        <w:rPr>
          <w:rtl/>
        </w:rPr>
      </w:pPr>
      <w:r w:rsidRPr="0075325D">
        <w:rPr>
          <w:rtl/>
        </w:rPr>
        <w:t>*</w:t>
      </w:r>
      <w:r>
        <w:rPr>
          <w:rtl/>
        </w:rPr>
        <w:tab/>
      </w:r>
      <w:r w:rsidRPr="0075325D">
        <w:rPr>
          <w:rtl/>
        </w:rPr>
        <w:t>בלוח מוצגים עיקר</w:t>
      </w:r>
      <w:r w:rsidRPr="0075325D">
        <w:rPr>
          <w:rFonts w:hint="cs"/>
          <w:rtl/>
        </w:rPr>
        <w:t>י</w:t>
      </w:r>
      <w:r w:rsidRPr="0075325D">
        <w:rPr>
          <w:rtl/>
        </w:rPr>
        <w:t xml:space="preserve"> הליקויים ש</w:t>
      </w:r>
      <w:r w:rsidR="00C35D17">
        <w:rPr>
          <w:rFonts w:hint="cs"/>
          <w:rtl/>
        </w:rPr>
        <w:t>נבדקו</w:t>
      </w:r>
      <w:r w:rsidRPr="0075325D">
        <w:rPr>
          <w:rtl/>
        </w:rPr>
        <w:t xml:space="preserve"> </w:t>
      </w:r>
      <w:r w:rsidR="002760DC">
        <w:rPr>
          <w:rFonts w:hint="cs"/>
          <w:rtl/>
        </w:rPr>
        <w:t>מה</w:t>
      </w:r>
      <w:r w:rsidRPr="0075325D">
        <w:rPr>
          <w:rtl/>
        </w:rPr>
        <w:t xml:space="preserve">דוח הקודם. כלל הליקויים </w:t>
      </w:r>
      <w:r w:rsidRPr="00602763" w:rsidR="00602763">
        <w:rPr>
          <w:rtl/>
        </w:rPr>
        <w:t>שנבדקו במעקב</w:t>
      </w:r>
      <w:r w:rsidR="00602763">
        <w:rPr>
          <w:rFonts w:hint="cs"/>
          <w:rtl/>
        </w:rPr>
        <w:t>,</w:t>
      </w:r>
      <w:r w:rsidR="00602763">
        <w:rPr>
          <w:rFonts w:ascii="Segoe UI" w:hAnsi="Segoe UI" w:cs="Segoe UI" w:hint="cs"/>
          <w:color w:val="000000"/>
          <w:sz w:val="27"/>
          <w:szCs w:val="27"/>
          <w:rtl/>
        </w:rPr>
        <w:t xml:space="preserve"> </w:t>
      </w:r>
      <w:r w:rsidRPr="0075325D">
        <w:rPr>
          <w:rtl/>
        </w:rPr>
        <w:t xml:space="preserve">ראו בגוף הדוח. </w:t>
      </w:r>
    </w:p>
    <w:p w:rsidR="0075325D" w14:paraId="100AEC5E" w14:textId="77777777">
      <w:pPr>
        <w:rPr>
          <w:rtl/>
        </w:rPr>
      </w:pPr>
    </w:p>
    <w:tbl>
      <w:tblPr>
        <w:tblStyle w:val="TableGrid"/>
        <w:bidiVisual/>
        <w:tblW w:w="7366" w:type="dxa"/>
        <w:jc w:val="center"/>
        <w:tblLook w:val="04A0"/>
      </w:tblPr>
      <w:tblGrid>
        <w:gridCol w:w="1369"/>
        <w:gridCol w:w="1045"/>
        <w:gridCol w:w="1906"/>
        <w:gridCol w:w="724"/>
        <w:gridCol w:w="752"/>
        <w:gridCol w:w="6"/>
        <w:gridCol w:w="733"/>
        <w:gridCol w:w="831"/>
      </w:tblGrid>
      <w:tr w14:paraId="7B0B9002" w14:textId="77777777" w:rsidTr="00EA4741">
        <w:tblPrEx>
          <w:tblW w:w="7366" w:type="dxa"/>
          <w:jc w:val="center"/>
          <w:tblLook w:val="04A0"/>
        </w:tblPrEx>
        <w:trPr>
          <w:tblHeader/>
          <w:jc w:val="center"/>
        </w:trPr>
        <w:tc>
          <w:tcPr>
            <w:tcW w:w="1369" w:type="dxa"/>
            <w:vMerge w:val="restart"/>
            <w:tcBorders>
              <w:top w:val="nil"/>
              <w:bottom w:val="nil"/>
            </w:tcBorders>
            <w:shd w:val="clear" w:color="auto" w:fill="C6DCE4"/>
          </w:tcPr>
          <w:p w:rsidR="002D4A37" w:rsidP="00EA4741" w14:paraId="07BF1410" w14:textId="77777777">
            <w:pPr>
              <w:pStyle w:val="71R"/>
              <w:rPr>
                <w:b/>
                <w:bCs/>
                <w:rtl/>
              </w:rPr>
            </w:pPr>
            <w:r>
              <w:rPr>
                <w:rtl/>
              </w:rPr>
              <w:br w:type="page"/>
            </w:r>
          </w:p>
          <w:p w:rsidR="002D4A37" w:rsidP="00EA4741" w14:paraId="48715113" w14:textId="77777777">
            <w:pPr>
              <w:pStyle w:val="71R"/>
              <w:rPr>
                <w:b/>
                <w:bCs/>
                <w:rtl/>
              </w:rPr>
            </w:pPr>
          </w:p>
          <w:p w:rsidR="002D4A37" w:rsidRPr="002D4A37" w:rsidP="00EA4741" w14:paraId="3E4026A3" w14:textId="77777777">
            <w:pPr>
              <w:pStyle w:val="71R"/>
              <w:rPr>
                <w:b/>
                <w:bCs/>
                <w:sz w:val="17"/>
                <w:szCs w:val="17"/>
                <w:rtl/>
              </w:rPr>
            </w:pPr>
            <w:r w:rsidRPr="002D4A37">
              <w:rPr>
                <w:b/>
                <w:bCs/>
                <w:sz w:val="17"/>
                <w:szCs w:val="17"/>
                <w:rtl/>
              </w:rPr>
              <w:t>פרק הביקורת</w:t>
            </w:r>
          </w:p>
        </w:tc>
        <w:tc>
          <w:tcPr>
            <w:tcW w:w="1045" w:type="dxa"/>
            <w:vMerge w:val="restart"/>
            <w:tcBorders>
              <w:top w:val="nil"/>
            </w:tcBorders>
            <w:shd w:val="clear" w:color="auto" w:fill="C6DCE4"/>
          </w:tcPr>
          <w:p w:rsidR="002D4A37" w:rsidP="00EA4741" w14:paraId="3E1701CC" w14:textId="77777777">
            <w:pPr>
              <w:pStyle w:val="71R"/>
              <w:rPr>
                <w:b/>
                <w:bCs/>
                <w:rtl/>
              </w:rPr>
            </w:pPr>
          </w:p>
          <w:p w:rsidR="002D4A37" w:rsidP="00EA4741" w14:paraId="13ACCCFF" w14:textId="77777777">
            <w:pPr>
              <w:pStyle w:val="71R"/>
              <w:rPr>
                <w:b/>
                <w:bCs/>
                <w:rtl/>
              </w:rPr>
            </w:pPr>
          </w:p>
          <w:p w:rsidR="002D4A37" w:rsidRPr="002D4A37" w:rsidP="00EA4741" w14:paraId="67411CF7" w14:textId="77777777">
            <w:pPr>
              <w:pStyle w:val="71R"/>
              <w:rPr>
                <w:b/>
                <w:bCs/>
                <w:sz w:val="17"/>
                <w:szCs w:val="17"/>
                <w:rtl/>
              </w:rPr>
            </w:pPr>
            <w:r w:rsidRPr="002D4A37">
              <w:rPr>
                <w:rFonts w:hint="cs"/>
                <w:b/>
                <w:bCs/>
                <w:sz w:val="17"/>
                <w:szCs w:val="17"/>
                <w:rtl/>
              </w:rPr>
              <w:t>הגוף המבוקר</w:t>
            </w:r>
          </w:p>
        </w:tc>
        <w:tc>
          <w:tcPr>
            <w:tcW w:w="1906" w:type="dxa"/>
            <w:vMerge w:val="restart"/>
            <w:tcBorders>
              <w:top w:val="nil"/>
            </w:tcBorders>
            <w:shd w:val="clear" w:color="auto" w:fill="C6DCE4"/>
          </w:tcPr>
          <w:p w:rsidR="002D4A37" w:rsidRPr="002D4A37" w:rsidP="00EA4741" w14:paraId="480110C3" w14:textId="77777777">
            <w:pPr>
              <w:pStyle w:val="71R"/>
              <w:rPr>
                <w:b/>
                <w:bCs/>
                <w:sz w:val="17"/>
                <w:szCs w:val="17"/>
                <w:rtl/>
              </w:rPr>
            </w:pPr>
            <w:r w:rsidRPr="002D4A37">
              <w:rPr>
                <w:b/>
                <w:bCs/>
                <w:sz w:val="17"/>
                <w:szCs w:val="17"/>
                <w:rtl/>
              </w:rPr>
              <w:t>הליקוי בדוח הביקורת הקודם</w:t>
            </w:r>
          </w:p>
        </w:tc>
        <w:tc>
          <w:tcPr>
            <w:tcW w:w="3046" w:type="dxa"/>
            <w:gridSpan w:val="5"/>
            <w:tcBorders>
              <w:top w:val="nil"/>
              <w:bottom w:val="nil"/>
            </w:tcBorders>
            <w:shd w:val="clear" w:color="auto" w:fill="C6DCE4"/>
          </w:tcPr>
          <w:p w:rsidR="002D4A37" w:rsidRPr="002D4A37" w:rsidP="00EA4741" w14:paraId="6BECEB4B" w14:textId="77777777">
            <w:pPr>
              <w:pStyle w:val="71R"/>
              <w:spacing w:after="0"/>
              <w:rPr>
                <w:b/>
                <w:bCs/>
                <w:sz w:val="17"/>
                <w:szCs w:val="17"/>
                <w:rtl/>
              </w:rPr>
            </w:pPr>
            <w:r w:rsidRPr="002D4A37">
              <w:rPr>
                <w:b/>
                <w:bCs/>
                <w:sz w:val="17"/>
                <w:szCs w:val="17"/>
                <w:rtl/>
              </w:rPr>
              <w:t>מידת תיקון הליקוי</w:t>
            </w:r>
            <w:r w:rsidRPr="002D4A37">
              <w:rPr>
                <w:rFonts w:hint="cs"/>
                <w:b/>
                <w:bCs/>
                <w:sz w:val="17"/>
                <w:szCs w:val="17"/>
                <w:rtl/>
              </w:rPr>
              <w:t xml:space="preserve"> </w:t>
            </w:r>
            <w:r w:rsidRPr="002D4A37">
              <w:rPr>
                <w:b/>
                <w:bCs/>
                <w:sz w:val="17"/>
                <w:szCs w:val="17"/>
                <w:rtl/>
              </w:rPr>
              <w:t>כפי שעלה בביקורת המעקב</w:t>
            </w:r>
          </w:p>
        </w:tc>
      </w:tr>
      <w:tr w14:paraId="58D13559" w14:textId="77777777" w:rsidTr="00EA4741">
        <w:tblPrEx>
          <w:tblW w:w="7366" w:type="dxa"/>
          <w:jc w:val="center"/>
          <w:tblLook w:val="04A0"/>
        </w:tblPrEx>
        <w:trPr>
          <w:tblHeader/>
          <w:jc w:val="center"/>
        </w:trPr>
        <w:tc>
          <w:tcPr>
            <w:tcW w:w="1369" w:type="dxa"/>
            <w:vMerge/>
            <w:tcBorders>
              <w:bottom w:val="single" w:sz="4" w:space="0" w:color="auto"/>
            </w:tcBorders>
            <w:shd w:val="clear" w:color="auto" w:fill="DBE8EE"/>
          </w:tcPr>
          <w:p w:rsidR="002D4A37" w:rsidRPr="0027392D" w:rsidP="00EA4741" w14:paraId="05A08EFF" w14:textId="77777777">
            <w:pPr>
              <w:pStyle w:val="71R"/>
              <w:rPr>
                <w:rtl/>
              </w:rPr>
            </w:pPr>
          </w:p>
        </w:tc>
        <w:tc>
          <w:tcPr>
            <w:tcW w:w="1045" w:type="dxa"/>
            <w:vMerge/>
            <w:tcBorders>
              <w:bottom w:val="single" w:sz="4" w:space="0" w:color="auto"/>
            </w:tcBorders>
            <w:shd w:val="clear" w:color="auto" w:fill="DBE8EE"/>
          </w:tcPr>
          <w:p w:rsidR="002D4A37" w:rsidRPr="0027392D" w:rsidP="00EA4741" w14:paraId="7B9A8042" w14:textId="77777777">
            <w:pPr>
              <w:pStyle w:val="71R"/>
              <w:rPr>
                <w:rtl/>
              </w:rPr>
            </w:pPr>
          </w:p>
        </w:tc>
        <w:tc>
          <w:tcPr>
            <w:tcW w:w="1906" w:type="dxa"/>
            <w:vMerge/>
            <w:tcBorders>
              <w:bottom w:val="single" w:sz="4" w:space="0" w:color="auto"/>
            </w:tcBorders>
            <w:shd w:val="clear" w:color="auto" w:fill="DBE8EE"/>
          </w:tcPr>
          <w:p w:rsidR="002D4A37" w:rsidRPr="0027392D" w:rsidP="00EA4741" w14:paraId="713769F2" w14:textId="77777777">
            <w:pPr>
              <w:pStyle w:val="71R"/>
              <w:rPr>
                <w:rtl/>
              </w:rPr>
            </w:pPr>
          </w:p>
        </w:tc>
        <w:tc>
          <w:tcPr>
            <w:tcW w:w="724" w:type="dxa"/>
            <w:tcBorders>
              <w:top w:val="nil"/>
              <w:bottom w:val="single" w:sz="4" w:space="0" w:color="auto"/>
            </w:tcBorders>
            <w:shd w:val="clear" w:color="auto" w:fill="F05260"/>
          </w:tcPr>
          <w:p w:rsidR="002D4A37" w:rsidRPr="00D9313A" w:rsidP="00EA4741" w14:paraId="75E8606C" w14:textId="77777777">
            <w:pPr>
              <w:pStyle w:val="71R"/>
              <w:rPr>
                <w:b/>
                <w:bCs/>
                <w:rtl/>
              </w:rPr>
            </w:pPr>
            <w:r w:rsidRPr="00D9313A">
              <w:rPr>
                <w:b/>
                <w:bCs/>
                <w:rtl/>
              </w:rPr>
              <w:t xml:space="preserve">לא </w:t>
            </w:r>
            <w:r>
              <w:rPr>
                <w:rFonts w:hint="cs"/>
                <w:b/>
                <w:bCs/>
                <w:rtl/>
              </w:rPr>
              <w:t xml:space="preserve">    </w:t>
            </w:r>
            <w:r w:rsidRPr="00D9313A">
              <w:rPr>
                <w:b/>
                <w:bCs/>
                <w:rtl/>
              </w:rPr>
              <w:t>תוקן</w:t>
            </w:r>
          </w:p>
        </w:tc>
        <w:tc>
          <w:tcPr>
            <w:tcW w:w="758" w:type="dxa"/>
            <w:gridSpan w:val="2"/>
            <w:tcBorders>
              <w:top w:val="nil"/>
              <w:bottom w:val="single" w:sz="4" w:space="0" w:color="auto"/>
            </w:tcBorders>
            <w:shd w:val="clear" w:color="auto" w:fill="FFC000"/>
          </w:tcPr>
          <w:p w:rsidR="002D4A37" w:rsidRPr="00D9313A" w:rsidP="00EA4741" w14:paraId="6EC804A5" w14:textId="77777777">
            <w:pPr>
              <w:pStyle w:val="71R"/>
              <w:rPr>
                <w:b/>
                <w:bCs/>
                <w:rtl/>
              </w:rPr>
            </w:pPr>
            <w:r w:rsidRPr="00D9313A">
              <w:rPr>
                <w:b/>
                <w:bCs/>
                <w:rtl/>
              </w:rPr>
              <w:t>תוקן במידה מועטה</w:t>
            </w:r>
          </w:p>
        </w:tc>
        <w:tc>
          <w:tcPr>
            <w:tcW w:w="733" w:type="dxa"/>
            <w:tcBorders>
              <w:top w:val="nil"/>
              <w:bottom w:val="single" w:sz="4" w:space="0" w:color="auto"/>
            </w:tcBorders>
            <w:shd w:val="clear" w:color="auto" w:fill="DED900"/>
          </w:tcPr>
          <w:p w:rsidR="002D4A37" w:rsidRPr="00D9313A" w:rsidP="00EA4741" w14:paraId="0A672010" w14:textId="77777777">
            <w:pPr>
              <w:pStyle w:val="71R"/>
              <w:rPr>
                <w:b/>
                <w:bCs/>
                <w:rtl/>
              </w:rPr>
            </w:pPr>
            <w:r w:rsidRPr="00D9313A">
              <w:rPr>
                <w:b/>
                <w:bCs/>
                <w:rtl/>
              </w:rPr>
              <w:t>תוקן במידה רבה</w:t>
            </w:r>
          </w:p>
        </w:tc>
        <w:tc>
          <w:tcPr>
            <w:tcW w:w="831" w:type="dxa"/>
            <w:tcBorders>
              <w:top w:val="nil"/>
              <w:bottom w:val="single" w:sz="4" w:space="0" w:color="auto"/>
            </w:tcBorders>
            <w:shd w:val="clear" w:color="auto" w:fill="5F9127"/>
          </w:tcPr>
          <w:p w:rsidR="002D4A37" w:rsidRPr="00D9313A" w:rsidP="00EA4741" w14:paraId="3145AB81" w14:textId="77777777">
            <w:pPr>
              <w:pStyle w:val="71R"/>
              <w:rPr>
                <w:b/>
                <w:bCs/>
                <w:rtl/>
              </w:rPr>
            </w:pPr>
            <w:r w:rsidRPr="00D9313A">
              <w:rPr>
                <w:b/>
                <w:bCs/>
                <w:rtl/>
              </w:rPr>
              <w:t>תוקן באופן מלא</w:t>
            </w:r>
          </w:p>
        </w:tc>
      </w:tr>
      <w:tr w14:paraId="5DC09A4F" w14:textId="77777777" w:rsidTr="002D4A37">
        <w:tblPrEx>
          <w:tblW w:w="7366" w:type="dxa"/>
          <w:jc w:val="center"/>
          <w:tblLook w:val="04A0"/>
        </w:tblPrEx>
        <w:trPr>
          <w:jc w:val="center"/>
        </w:trPr>
        <w:tc>
          <w:tcPr>
            <w:tcW w:w="1369" w:type="dxa"/>
            <w:tcBorders>
              <w:bottom w:val="single" w:sz="4" w:space="0" w:color="auto"/>
            </w:tcBorders>
            <w:shd w:val="clear" w:color="auto" w:fill="ECF4F5"/>
            <w:vAlign w:val="center"/>
          </w:tcPr>
          <w:p w:rsidR="00725EE5" w:rsidRPr="00725EE5" w:rsidP="002D4A37" w14:paraId="4774EBBB" w14:textId="5984711E">
            <w:pPr>
              <w:pStyle w:val="71R"/>
              <w:rPr>
                <w:sz w:val="17"/>
                <w:szCs w:val="17"/>
                <w:rtl/>
              </w:rPr>
            </w:pPr>
            <w:r w:rsidRPr="00725EE5">
              <w:rPr>
                <w:sz w:val="17"/>
                <w:szCs w:val="17"/>
                <w:rtl/>
              </w:rPr>
              <w:t>עיכוב בניתוח תאי השטח בהרצלייה</w:t>
            </w:r>
          </w:p>
        </w:tc>
        <w:tc>
          <w:tcPr>
            <w:tcW w:w="1045" w:type="dxa"/>
            <w:tcBorders>
              <w:bottom w:val="single" w:sz="4" w:space="0" w:color="auto"/>
            </w:tcBorders>
            <w:shd w:val="clear" w:color="auto" w:fill="ECF4F5"/>
          </w:tcPr>
          <w:p w:rsidR="00725EE5" w:rsidRPr="002D4A37" w:rsidP="002D4A37" w14:paraId="6B843B8C" w14:textId="65907711">
            <w:pPr>
              <w:pStyle w:val="71R"/>
              <w:rPr>
                <w:b/>
                <w:bCs/>
                <w:sz w:val="17"/>
                <w:szCs w:val="17"/>
                <w:rtl/>
              </w:rPr>
            </w:pPr>
            <w:r w:rsidRPr="002D4A37">
              <w:rPr>
                <w:b/>
                <w:bCs/>
                <w:sz w:val="17"/>
                <w:szCs w:val="17"/>
                <w:rtl/>
              </w:rPr>
              <w:t>עיריית הרצלייה והחברה להגנת המצוק</w:t>
            </w:r>
          </w:p>
        </w:tc>
        <w:tc>
          <w:tcPr>
            <w:tcW w:w="1906" w:type="dxa"/>
            <w:tcBorders>
              <w:bottom w:val="single" w:sz="4" w:space="0" w:color="auto"/>
            </w:tcBorders>
            <w:shd w:val="clear" w:color="auto" w:fill="ECF4F5"/>
          </w:tcPr>
          <w:p w:rsidR="00725EE5" w:rsidRPr="00725EE5" w:rsidP="002D4A37" w14:paraId="4AED692A" w14:textId="7B6AAC77">
            <w:pPr>
              <w:pStyle w:val="71R"/>
              <w:rPr>
                <w:sz w:val="17"/>
                <w:szCs w:val="17"/>
                <w:rtl/>
              </w:rPr>
            </w:pPr>
            <w:r w:rsidRPr="00725EE5">
              <w:rPr>
                <w:sz w:val="17"/>
                <w:szCs w:val="17"/>
                <w:rtl/>
              </w:rPr>
              <w:t>עיריית הרצלייה והוועדה המקומית לתכנון ו</w:t>
            </w:r>
            <w:r w:rsidR="00AE4E77">
              <w:rPr>
                <w:rFonts w:hint="cs"/>
                <w:sz w:val="17"/>
                <w:szCs w:val="17"/>
                <w:rtl/>
              </w:rPr>
              <w:t>ל</w:t>
            </w:r>
            <w:r w:rsidRPr="00725EE5">
              <w:rPr>
                <w:sz w:val="17"/>
                <w:szCs w:val="17"/>
                <w:rtl/>
              </w:rPr>
              <w:t xml:space="preserve">בנייה הרצלייה דחו את ניתוח תאי השטח שהכינה החברה להגנת המצוק בשנת 2016, והן לא העבירו ניתוח חלופי כפי שמסרו </w:t>
            </w:r>
            <w:r w:rsidRPr="00725EE5">
              <w:rPr>
                <w:sz w:val="17"/>
                <w:szCs w:val="17"/>
                <w:rtl/>
              </w:rPr>
              <w:t>לוולחו"ף</w:t>
            </w:r>
            <w:r w:rsidRPr="00725EE5">
              <w:rPr>
                <w:sz w:val="17"/>
                <w:szCs w:val="17"/>
                <w:rtl/>
              </w:rPr>
              <w:t xml:space="preserve"> בשנת 2017.</w:t>
            </w:r>
          </w:p>
        </w:tc>
        <w:tc>
          <w:tcPr>
            <w:tcW w:w="724" w:type="dxa"/>
            <w:tcBorders>
              <w:top w:val="single" w:sz="4" w:space="0" w:color="auto"/>
              <w:bottom w:val="single" w:sz="4" w:space="0" w:color="auto"/>
            </w:tcBorders>
            <w:shd w:val="clear" w:color="auto" w:fill="ECF4F5"/>
          </w:tcPr>
          <w:p w:rsidR="00725EE5" w:rsidRPr="00606EF9" w:rsidP="002D4A37" w14:paraId="10E83B1D" w14:textId="42B53E98">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1700224" behindDoc="0" locked="0" layoutInCell="1" allowOverlap="1">
                      <wp:simplePos x="0" y="0"/>
                      <wp:positionH relativeFrom="column">
                        <wp:posOffset>-526277</wp:posOffset>
                      </wp:positionH>
                      <wp:positionV relativeFrom="paragraph">
                        <wp:posOffset>694027</wp:posOffset>
                      </wp:positionV>
                      <wp:extent cx="904792" cy="287655"/>
                      <wp:effectExtent l="0" t="0" r="10160" b="17145"/>
                      <wp:wrapNone/>
                      <wp:docPr id="63"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904792"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2" type="#_x0000_t66" style="width:71.25pt;height:22.65pt;margin-top:54.65pt;margin-left:-41.45pt;mso-height-percent:0;mso-height-relative:margin;mso-width-percent:0;mso-width-relative:margin;mso-wrap-distance-bottom:0;mso-wrap-distance-left:9pt;mso-wrap-distance-right:9pt;mso-wrap-distance-top:0;mso-wrap-style:square;position:absolute;visibility:visible;v-text-anchor:middle;z-index:251701248" adj="3434" fillcolor="#ffc000" strokecolor="#ffc000" strokeweight="2pt"/>
                  </w:pict>
                </mc:Fallback>
              </mc:AlternateContent>
            </w:r>
          </w:p>
        </w:tc>
        <w:tc>
          <w:tcPr>
            <w:tcW w:w="752" w:type="dxa"/>
            <w:tcBorders>
              <w:top w:val="single" w:sz="4" w:space="0" w:color="auto"/>
              <w:bottom w:val="single" w:sz="4" w:space="0" w:color="auto"/>
            </w:tcBorders>
            <w:shd w:val="clear" w:color="auto" w:fill="ECF4F5"/>
          </w:tcPr>
          <w:p w:rsidR="00725EE5" w:rsidRPr="009348FC" w:rsidP="002D4A37" w14:paraId="38308C9F" w14:textId="42514447">
            <w:pPr>
              <w:pStyle w:val="71R"/>
              <w:rPr>
                <w:b/>
                <w:sz w:val="17"/>
                <w:szCs w:val="17"/>
                <w:rtl/>
              </w:rPr>
            </w:pPr>
          </w:p>
        </w:tc>
        <w:tc>
          <w:tcPr>
            <w:tcW w:w="739" w:type="dxa"/>
            <w:gridSpan w:val="2"/>
            <w:tcBorders>
              <w:top w:val="single" w:sz="4" w:space="0" w:color="auto"/>
              <w:bottom w:val="single" w:sz="4" w:space="0" w:color="auto"/>
            </w:tcBorders>
            <w:shd w:val="clear" w:color="auto" w:fill="ECF4F5"/>
          </w:tcPr>
          <w:p w:rsidR="00725EE5" w:rsidRPr="0027392D" w:rsidP="002D4A37" w14:paraId="398F755F" w14:textId="6B96162C">
            <w:pPr>
              <w:pStyle w:val="71R"/>
              <w:rPr>
                <w:b/>
                <w:rtl/>
              </w:rPr>
            </w:pPr>
          </w:p>
        </w:tc>
        <w:tc>
          <w:tcPr>
            <w:tcW w:w="831" w:type="dxa"/>
            <w:tcBorders>
              <w:top w:val="single" w:sz="4" w:space="0" w:color="auto"/>
              <w:bottom w:val="single" w:sz="4" w:space="0" w:color="auto"/>
            </w:tcBorders>
            <w:shd w:val="clear" w:color="auto" w:fill="ECF4F5"/>
          </w:tcPr>
          <w:p w:rsidR="00725EE5" w:rsidRPr="0027392D" w:rsidP="002D4A37" w14:paraId="4F968D89" w14:textId="77777777">
            <w:pPr>
              <w:pStyle w:val="71R"/>
              <w:rPr>
                <w:b/>
                <w:rtl/>
              </w:rPr>
            </w:pPr>
          </w:p>
        </w:tc>
      </w:tr>
      <w:tr w14:paraId="490EAE1A" w14:textId="77777777" w:rsidTr="002D4A37">
        <w:tblPrEx>
          <w:tblW w:w="7366" w:type="dxa"/>
          <w:jc w:val="center"/>
          <w:tblLook w:val="04A0"/>
        </w:tblPrEx>
        <w:trPr>
          <w:jc w:val="center"/>
        </w:trPr>
        <w:tc>
          <w:tcPr>
            <w:tcW w:w="1369" w:type="dxa"/>
            <w:tcBorders>
              <w:bottom w:val="single" w:sz="4" w:space="0" w:color="auto"/>
            </w:tcBorders>
            <w:shd w:val="clear" w:color="auto" w:fill="DBE8EE"/>
            <w:vAlign w:val="center"/>
          </w:tcPr>
          <w:p w:rsidR="009615B0" w:rsidRPr="009615B0" w:rsidP="002D4A37" w14:paraId="545F0F6D" w14:textId="70B0433D">
            <w:pPr>
              <w:pStyle w:val="71R"/>
              <w:rPr>
                <w:sz w:val="17"/>
                <w:szCs w:val="17"/>
                <w:rtl/>
              </w:rPr>
            </w:pPr>
            <w:r w:rsidRPr="009615B0">
              <w:rPr>
                <w:sz w:val="17"/>
                <w:szCs w:val="17"/>
                <w:rtl/>
              </w:rPr>
              <w:t>תכנון וביצוע מיגון יבשתי על ידי עיריית אשקלון</w:t>
            </w:r>
          </w:p>
        </w:tc>
        <w:tc>
          <w:tcPr>
            <w:tcW w:w="1045" w:type="dxa"/>
            <w:tcBorders>
              <w:bottom w:val="single" w:sz="4" w:space="0" w:color="auto"/>
            </w:tcBorders>
            <w:shd w:val="clear" w:color="auto" w:fill="DBE8EE"/>
          </w:tcPr>
          <w:p w:rsidR="009615B0" w:rsidRPr="002D4A37" w:rsidP="002D4A37" w14:paraId="5DDFB937" w14:textId="12636AD5">
            <w:pPr>
              <w:pStyle w:val="71R"/>
              <w:rPr>
                <w:b/>
                <w:bCs/>
                <w:sz w:val="17"/>
                <w:szCs w:val="17"/>
                <w:rtl/>
              </w:rPr>
            </w:pPr>
            <w:r w:rsidRPr="002D4A37">
              <w:rPr>
                <w:b/>
                <w:bCs/>
                <w:sz w:val="17"/>
                <w:szCs w:val="17"/>
                <w:rtl/>
              </w:rPr>
              <w:t>עיריית אשקלון</w:t>
            </w:r>
          </w:p>
        </w:tc>
        <w:tc>
          <w:tcPr>
            <w:tcW w:w="1906" w:type="dxa"/>
            <w:tcBorders>
              <w:bottom w:val="single" w:sz="4" w:space="0" w:color="auto"/>
            </w:tcBorders>
            <w:shd w:val="clear" w:color="auto" w:fill="DBE8EE"/>
            <w:vAlign w:val="center"/>
          </w:tcPr>
          <w:p w:rsidR="009615B0" w:rsidRPr="009615B0" w:rsidP="002D4A37" w14:paraId="6AD14D0B" w14:textId="10964661">
            <w:pPr>
              <w:pStyle w:val="71R"/>
              <w:rPr>
                <w:sz w:val="17"/>
                <w:szCs w:val="17"/>
                <w:rtl/>
              </w:rPr>
            </w:pPr>
            <w:r w:rsidRPr="009615B0">
              <w:rPr>
                <w:sz w:val="17"/>
                <w:szCs w:val="17"/>
                <w:rtl/>
              </w:rPr>
              <w:t>עיריית אשקלון לא קידמה את התכנון והביצוע של ההגנות היבשתיות הדחופות והקבועות בתא שטח אשקלון צפון, והיא לא הקפידה לבצע הגנות דחופות לשמירה על שלום הציבור כגון גידור והצבת שלטים.</w:t>
            </w:r>
          </w:p>
        </w:tc>
        <w:tc>
          <w:tcPr>
            <w:tcW w:w="724" w:type="dxa"/>
            <w:tcBorders>
              <w:top w:val="single" w:sz="4" w:space="0" w:color="auto"/>
              <w:bottom w:val="single" w:sz="4" w:space="0" w:color="auto"/>
            </w:tcBorders>
            <w:shd w:val="clear" w:color="auto" w:fill="DBE8EE"/>
          </w:tcPr>
          <w:p w:rsidR="009615B0" w:rsidRPr="00606EF9" w:rsidP="009615B0" w14:paraId="7A858592" w14:textId="0DF91BCD">
            <w:pPr>
              <w:pStyle w:val="71R"/>
              <w:spacing w:before="0" w:after="0"/>
              <w:rPr>
                <w:rFonts w:ascii="Times New Roman" w:hAnsi="Times New Roman" w:cs="David"/>
                <w:noProof/>
                <w:rtl/>
              </w:rPr>
            </w:pPr>
          </w:p>
        </w:tc>
        <w:tc>
          <w:tcPr>
            <w:tcW w:w="752" w:type="dxa"/>
            <w:tcBorders>
              <w:top w:val="single" w:sz="4" w:space="0" w:color="auto"/>
              <w:bottom w:val="single" w:sz="4" w:space="0" w:color="auto"/>
            </w:tcBorders>
            <w:shd w:val="clear" w:color="auto" w:fill="DBE8EE"/>
          </w:tcPr>
          <w:p w:rsidR="009615B0" w:rsidRPr="00F81EDE" w:rsidP="009615B0" w14:paraId="6F622580" w14:textId="28AC34BB">
            <w:pPr>
              <w:pStyle w:val="71R"/>
              <w:spacing w:before="0" w:after="0"/>
              <w:rPr>
                <w:b/>
                <w:rtl/>
              </w:rPr>
            </w:pPr>
            <w:r w:rsidRPr="00606EF9">
              <w:rPr>
                <w:rFonts w:ascii="Times New Roman" w:hAnsi="Times New Roman" w:cs="David"/>
                <w:noProof/>
                <w:rtl/>
              </w:rPr>
              <mc:AlternateContent>
                <mc:Choice Requires="wps">
                  <w:drawing>
                    <wp:anchor distT="0" distB="0" distL="114300" distR="114300" simplePos="0" relativeHeight="251739136" behindDoc="0" locked="0" layoutInCell="1" allowOverlap="1">
                      <wp:simplePos x="0" y="0"/>
                      <wp:positionH relativeFrom="column">
                        <wp:posOffset>-53036</wp:posOffset>
                      </wp:positionH>
                      <wp:positionV relativeFrom="paragraph">
                        <wp:posOffset>758190</wp:posOffset>
                      </wp:positionV>
                      <wp:extent cx="904240" cy="287655"/>
                      <wp:effectExtent l="0" t="0" r="10160" b="17145"/>
                      <wp:wrapNone/>
                      <wp:docPr id="10"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904240"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3" type="#_x0000_t66" style="width:71.2pt;height:22.65pt;margin-top:59.7pt;margin-left:-4.2pt;mso-height-percent:0;mso-height-relative:margin;mso-width-percent:0;mso-width-relative:margin;mso-wrap-distance-bottom:0;mso-wrap-distance-left:9pt;mso-wrap-distance-right:9pt;mso-wrap-distance-top:0;mso-wrap-style:square;position:absolute;visibility:visible;v-text-anchor:middle;z-index:251740160" adj="3436" fillcolor="#ffc000" strokecolor="#ffc000" strokeweight="2pt"/>
                  </w:pict>
                </mc:Fallback>
              </mc:AlternateContent>
            </w:r>
          </w:p>
        </w:tc>
        <w:tc>
          <w:tcPr>
            <w:tcW w:w="739" w:type="dxa"/>
            <w:gridSpan w:val="2"/>
            <w:tcBorders>
              <w:top w:val="single" w:sz="4" w:space="0" w:color="auto"/>
              <w:bottom w:val="single" w:sz="4" w:space="0" w:color="auto"/>
            </w:tcBorders>
            <w:shd w:val="clear" w:color="auto" w:fill="DBE8EE"/>
          </w:tcPr>
          <w:p w:rsidR="009615B0" w:rsidRPr="0027392D" w:rsidP="009615B0" w14:paraId="23459C42" w14:textId="77777777">
            <w:pPr>
              <w:pStyle w:val="71R"/>
              <w:spacing w:before="0" w:after="0"/>
              <w:rPr>
                <w:b/>
                <w:rtl/>
              </w:rPr>
            </w:pPr>
          </w:p>
        </w:tc>
        <w:tc>
          <w:tcPr>
            <w:tcW w:w="831" w:type="dxa"/>
            <w:tcBorders>
              <w:top w:val="single" w:sz="4" w:space="0" w:color="auto"/>
              <w:bottom w:val="single" w:sz="4" w:space="0" w:color="auto"/>
            </w:tcBorders>
            <w:shd w:val="clear" w:color="auto" w:fill="DBE8EE"/>
          </w:tcPr>
          <w:p w:rsidR="009615B0" w:rsidRPr="0027392D" w:rsidP="009615B0" w14:paraId="40885416" w14:textId="77777777">
            <w:pPr>
              <w:pStyle w:val="71R"/>
              <w:spacing w:before="0" w:after="0"/>
              <w:rPr>
                <w:b/>
                <w:rtl/>
              </w:rPr>
            </w:pPr>
          </w:p>
        </w:tc>
      </w:tr>
      <w:tr w14:paraId="4401EA01" w14:textId="77777777" w:rsidTr="002D4A37">
        <w:tblPrEx>
          <w:tblW w:w="7366" w:type="dxa"/>
          <w:jc w:val="center"/>
          <w:tblLook w:val="04A0"/>
        </w:tblPrEx>
        <w:trPr>
          <w:jc w:val="center"/>
        </w:trPr>
        <w:tc>
          <w:tcPr>
            <w:tcW w:w="1369" w:type="dxa"/>
            <w:tcBorders>
              <w:bottom w:val="single" w:sz="4" w:space="0" w:color="auto"/>
            </w:tcBorders>
            <w:shd w:val="clear" w:color="auto" w:fill="ECF4F5"/>
            <w:vAlign w:val="center"/>
          </w:tcPr>
          <w:p w:rsidR="009615B0" w:rsidRPr="009615B0" w:rsidP="002D4A37" w14:paraId="6DE900D1" w14:textId="5DD5B1D1">
            <w:pPr>
              <w:pStyle w:val="71R"/>
              <w:rPr>
                <w:sz w:val="17"/>
                <w:szCs w:val="17"/>
                <w:rtl/>
              </w:rPr>
            </w:pPr>
            <w:r w:rsidRPr="009615B0">
              <w:rPr>
                <w:sz w:val="17"/>
                <w:szCs w:val="17"/>
                <w:rtl/>
              </w:rPr>
              <w:t>אישור תוכנית חזית הים וקידום ביצוע ההגנות היבשתיות על המצוק בהרצלייה</w:t>
            </w:r>
          </w:p>
        </w:tc>
        <w:tc>
          <w:tcPr>
            <w:tcW w:w="1045" w:type="dxa"/>
            <w:tcBorders>
              <w:bottom w:val="single" w:sz="4" w:space="0" w:color="auto"/>
            </w:tcBorders>
            <w:shd w:val="clear" w:color="auto" w:fill="ECF4F5"/>
          </w:tcPr>
          <w:p w:rsidR="009615B0" w:rsidRPr="002D4A37" w:rsidP="002D4A37" w14:paraId="1ED137C1" w14:textId="5D19E82B">
            <w:pPr>
              <w:pStyle w:val="71R"/>
              <w:rPr>
                <w:b/>
                <w:bCs/>
                <w:sz w:val="17"/>
                <w:szCs w:val="17"/>
                <w:rtl/>
              </w:rPr>
            </w:pPr>
            <w:r w:rsidRPr="002D4A37">
              <w:rPr>
                <w:b/>
                <w:bCs/>
                <w:sz w:val="17"/>
                <w:szCs w:val="17"/>
                <w:rtl/>
              </w:rPr>
              <w:t>עיריית הרצלייה</w:t>
            </w:r>
          </w:p>
        </w:tc>
        <w:tc>
          <w:tcPr>
            <w:tcW w:w="1906" w:type="dxa"/>
            <w:tcBorders>
              <w:bottom w:val="single" w:sz="4" w:space="0" w:color="auto"/>
            </w:tcBorders>
            <w:shd w:val="clear" w:color="auto" w:fill="ECF4F5"/>
          </w:tcPr>
          <w:p w:rsidR="009615B0" w:rsidRPr="009615B0" w:rsidP="002D4A37" w14:paraId="5B54BB42" w14:textId="59B5EE61">
            <w:pPr>
              <w:pStyle w:val="71R"/>
              <w:rPr>
                <w:sz w:val="17"/>
                <w:szCs w:val="17"/>
                <w:rtl/>
              </w:rPr>
            </w:pPr>
            <w:r w:rsidRPr="009615B0">
              <w:rPr>
                <w:sz w:val="17"/>
                <w:szCs w:val="17"/>
                <w:rtl/>
              </w:rPr>
              <w:t>עיריית הרצלייה לא הביאה את תוכנית חזית הים לדיון בוועדת התכנון המחוזית כעשר שנים לאחר שהחלה לקדמה, ובתקופה זו העירייה לא קידמה את ביצוע ההגנות היבשתיות על המצוק.</w:t>
            </w:r>
          </w:p>
        </w:tc>
        <w:tc>
          <w:tcPr>
            <w:tcW w:w="724" w:type="dxa"/>
            <w:tcBorders>
              <w:top w:val="single" w:sz="4" w:space="0" w:color="auto"/>
              <w:bottom w:val="single" w:sz="4" w:space="0" w:color="auto"/>
            </w:tcBorders>
            <w:shd w:val="clear" w:color="auto" w:fill="ECF4F5"/>
          </w:tcPr>
          <w:p w:rsidR="009615B0" w:rsidRPr="00606EF9" w:rsidP="002D4A37" w14:paraId="5CA0AC24" w14:textId="71F0A41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1715584" behindDoc="0" locked="0" layoutInCell="1" allowOverlap="1">
                      <wp:simplePos x="0" y="0"/>
                      <wp:positionH relativeFrom="column">
                        <wp:posOffset>-530225</wp:posOffset>
                      </wp:positionH>
                      <wp:positionV relativeFrom="paragraph">
                        <wp:posOffset>685468</wp:posOffset>
                      </wp:positionV>
                      <wp:extent cx="904875" cy="287655"/>
                      <wp:effectExtent l="0" t="0" r="28575" b="17145"/>
                      <wp:wrapNone/>
                      <wp:docPr id="1113575893"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9048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4" type="#_x0000_t66" style="width:71.25pt;height:22.65pt;margin-top:53.95pt;margin-left:-41.75pt;mso-height-percent:0;mso-height-relative:margin;mso-width-percent:0;mso-width-relative:margin;mso-wrap-distance-bottom:0;mso-wrap-distance-left:9pt;mso-wrap-distance-right:9pt;mso-wrap-distance-top:0;mso-wrap-style:square;position:absolute;visibility:visible;v-text-anchor:middle;z-index:251716608" adj="3433" fillcolor="#ffc000" strokecolor="#ffc000" strokeweight="2pt"/>
                  </w:pict>
                </mc:Fallback>
              </mc:AlternateContent>
            </w:r>
          </w:p>
        </w:tc>
        <w:tc>
          <w:tcPr>
            <w:tcW w:w="752" w:type="dxa"/>
            <w:tcBorders>
              <w:top w:val="single" w:sz="4" w:space="0" w:color="auto"/>
              <w:bottom w:val="single" w:sz="4" w:space="0" w:color="auto"/>
            </w:tcBorders>
            <w:shd w:val="clear" w:color="auto" w:fill="ECF4F5"/>
          </w:tcPr>
          <w:p w:rsidR="009615B0" w:rsidRPr="00F81EDE" w:rsidP="002D4A37" w14:paraId="1AF8C0C4" w14:textId="740A9673">
            <w:pPr>
              <w:pStyle w:val="71R"/>
              <w:rPr>
                <w:b/>
                <w:rtl/>
              </w:rPr>
            </w:pPr>
          </w:p>
        </w:tc>
        <w:tc>
          <w:tcPr>
            <w:tcW w:w="739" w:type="dxa"/>
            <w:gridSpan w:val="2"/>
            <w:tcBorders>
              <w:top w:val="single" w:sz="4" w:space="0" w:color="auto"/>
              <w:bottom w:val="single" w:sz="4" w:space="0" w:color="auto"/>
            </w:tcBorders>
            <w:shd w:val="clear" w:color="auto" w:fill="ECF4F5"/>
          </w:tcPr>
          <w:p w:rsidR="009615B0" w:rsidRPr="0027392D" w:rsidP="002D4A37" w14:paraId="5407D0F4" w14:textId="53D25464">
            <w:pPr>
              <w:pStyle w:val="71R"/>
              <w:rPr>
                <w:b/>
                <w:rtl/>
              </w:rPr>
            </w:pPr>
          </w:p>
        </w:tc>
        <w:tc>
          <w:tcPr>
            <w:tcW w:w="831" w:type="dxa"/>
            <w:tcBorders>
              <w:top w:val="single" w:sz="4" w:space="0" w:color="auto"/>
              <w:bottom w:val="single" w:sz="4" w:space="0" w:color="auto"/>
            </w:tcBorders>
            <w:shd w:val="clear" w:color="auto" w:fill="ECF4F5"/>
          </w:tcPr>
          <w:p w:rsidR="009615B0" w:rsidRPr="0027392D" w:rsidP="002D4A37" w14:paraId="4AE811DB" w14:textId="77777777">
            <w:pPr>
              <w:pStyle w:val="71R"/>
              <w:rPr>
                <w:b/>
                <w:rtl/>
              </w:rPr>
            </w:pPr>
          </w:p>
        </w:tc>
      </w:tr>
      <w:tr w14:paraId="4208B100" w14:textId="77777777" w:rsidTr="002D4A37">
        <w:tblPrEx>
          <w:tblW w:w="7366" w:type="dxa"/>
          <w:jc w:val="center"/>
          <w:tblLook w:val="04A0"/>
        </w:tblPrEx>
        <w:trPr>
          <w:jc w:val="center"/>
        </w:trPr>
        <w:tc>
          <w:tcPr>
            <w:tcW w:w="1369" w:type="dxa"/>
            <w:tcBorders>
              <w:bottom w:val="single" w:sz="4" w:space="0" w:color="auto"/>
            </w:tcBorders>
            <w:shd w:val="clear" w:color="auto" w:fill="DBE8EE"/>
            <w:vAlign w:val="center"/>
          </w:tcPr>
          <w:p w:rsidR="005D42D4" w:rsidRPr="005D42D4" w:rsidP="002D4A37" w14:paraId="37E74258" w14:textId="254F4CA6">
            <w:pPr>
              <w:pStyle w:val="71R"/>
              <w:rPr>
                <w:sz w:val="17"/>
                <w:szCs w:val="17"/>
                <w:rtl/>
              </w:rPr>
            </w:pPr>
            <w:r w:rsidRPr="005D42D4">
              <w:rPr>
                <w:sz w:val="17"/>
                <w:szCs w:val="17"/>
                <w:rtl/>
              </w:rPr>
              <w:t>ביצוע עבודות מיגון ימי באשקלון צפון (תא שטח 38)</w:t>
            </w:r>
          </w:p>
        </w:tc>
        <w:tc>
          <w:tcPr>
            <w:tcW w:w="1045" w:type="dxa"/>
            <w:tcBorders>
              <w:bottom w:val="single" w:sz="4" w:space="0" w:color="auto"/>
            </w:tcBorders>
            <w:shd w:val="clear" w:color="auto" w:fill="DBE8EE"/>
          </w:tcPr>
          <w:p w:rsidR="005D42D4" w:rsidRPr="002D4A37" w:rsidP="002D4A37" w14:paraId="3DE8F127" w14:textId="0794F1AD">
            <w:pPr>
              <w:pStyle w:val="71R"/>
              <w:rPr>
                <w:b/>
                <w:bCs/>
                <w:sz w:val="17"/>
                <w:szCs w:val="17"/>
                <w:rtl/>
              </w:rPr>
            </w:pPr>
            <w:r w:rsidRPr="002D4A37">
              <w:rPr>
                <w:b/>
                <w:bCs/>
                <w:sz w:val="17"/>
                <w:szCs w:val="17"/>
                <w:rtl/>
              </w:rPr>
              <w:t>החברה להגנת המצוק</w:t>
            </w:r>
          </w:p>
        </w:tc>
        <w:tc>
          <w:tcPr>
            <w:tcW w:w="1906" w:type="dxa"/>
            <w:tcBorders>
              <w:bottom w:val="single" w:sz="4" w:space="0" w:color="auto"/>
            </w:tcBorders>
            <w:shd w:val="clear" w:color="auto" w:fill="DBE8EE"/>
          </w:tcPr>
          <w:p w:rsidR="005D42D4" w:rsidRPr="005D42D4" w:rsidP="002D4A37" w14:paraId="2C782E13" w14:textId="2A376B4E">
            <w:pPr>
              <w:pStyle w:val="71R"/>
              <w:rPr>
                <w:sz w:val="17"/>
                <w:szCs w:val="17"/>
                <w:rtl/>
              </w:rPr>
            </w:pPr>
            <w:r w:rsidRPr="005D42D4">
              <w:rPr>
                <w:sz w:val="17"/>
                <w:szCs w:val="17"/>
                <w:rtl/>
              </w:rPr>
              <w:t xml:space="preserve">החברה להגנת המצוק לא שיקמה את שובר הגלים הצפוני באשקלון בתא שטח 38. </w:t>
            </w:r>
          </w:p>
        </w:tc>
        <w:tc>
          <w:tcPr>
            <w:tcW w:w="724" w:type="dxa"/>
            <w:tcBorders>
              <w:top w:val="single" w:sz="4" w:space="0" w:color="auto"/>
              <w:bottom w:val="single" w:sz="4" w:space="0" w:color="auto"/>
            </w:tcBorders>
            <w:shd w:val="clear" w:color="auto" w:fill="DBE8EE"/>
          </w:tcPr>
          <w:p w:rsidR="005D42D4" w:rsidRPr="00606EF9" w:rsidP="002D4A37" w14:paraId="198C5EA1" w14:textId="1AAE9555">
            <w:pPr>
              <w:pStyle w:val="71R"/>
              <w:rPr>
                <w:rFonts w:ascii="Times New Roman" w:hAnsi="Times New Roman" w:cs="David"/>
                <w:noProof/>
                <w:rtl/>
              </w:rPr>
            </w:pPr>
          </w:p>
        </w:tc>
        <w:tc>
          <w:tcPr>
            <w:tcW w:w="752" w:type="dxa"/>
            <w:tcBorders>
              <w:top w:val="single" w:sz="4" w:space="0" w:color="auto"/>
              <w:bottom w:val="single" w:sz="4" w:space="0" w:color="auto"/>
            </w:tcBorders>
            <w:shd w:val="clear" w:color="auto" w:fill="DBE8EE"/>
          </w:tcPr>
          <w:p w:rsidR="005D42D4" w:rsidRPr="00F81EDE" w:rsidP="002D4A37" w14:paraId="39170428" w14:textId="2CE127CC">
            <w:pPr>
              <w:pStyle w:val="71R"/>
              <w:rPr>
                <w:b/>
                <w:rtl/>
              </w:rPr>
            </w:pPr>
            <w:r w:rsidRPr="00606EF9">
              <w:rPr>
                <w:rFonts w:ascii="Times New Roman" w:hAnsi="Times New Roman" w:cs="David"/>
                <w:noProof/>
                <w:rtl/>
              </w:rPr>
              <mc:AlternateContent>
                <mc:Choice Requires="wps">
                  <w:drawing>
                    <wp:anchor distT="0" distB="0" distL="114300" distR="114300" simplePos="0" relativeHeight="251713536" behindDoc="0" locked="0" layoutInCell="1" allowOverlap="1">
                      <wp:simplePos x="0" y="0"/>
                      <wp:positionH relativeFrom="column">
                        <wp:posOffset>-511893</wp:posOffset>
                      </wp:positionH>
                      <wp:positionV relativeFrom="paragraph">
                        <wp:posOffset>288566</wp:posOffset>
                      </wp:positionV>
                      <wp:extent cx="1369695" cy="287655"/>
                      <wp:effectExtent l="0" t="0" r="20955" b="17145"/>
                      <wp:wrapNone/>
                      <wp:docPr id="1113575892"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136969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5" type="#_x0000_t66" style="width:107.85pt;height:22.65pt;margin-top:22.7pt;margin-left:-40.3pt;mso-height-percent:0;mso-height-relative:margin;mso-width-percent:0;mso-width-relative:margin;mso-wrap-distance-bottom:0;mso-wrap-distance-left:9pt;mso-wrap-distance-right:9pt;mso-wrap-distance-top:0;mso-wrap-style:square;position:absolute;visibility:visible;v-text-anchor:middle;z-index:251714560" adj="2268" fillcolor="#ded900" strokecolor="#ded900" strokeweight="2pt"/>
                  </w:pict>
                </mc:Fallback>
              </mc:AlternateContent>
            </w:r>
          </w:p>
        </w:tc>
        <w:tc>
          <w:tcPr>
            <w:tcW w:w="739" w:type="dxa"/>
            <w:gridSpan w:val="2"/>
            <w:tcBorders>
              <w:top w:val="single" w:sz="4" w:space="0" w:color="auto"/>
              <w:bottom w:val="single" w:sz="4" w:space="0" w:color="auto"/>
            </w:tcBorders>
            <w:shd w:val="clear" w:color="auto" w:fill="DBE8EE"/>
          </w:tcPr>
          <w:p w:rsidR="005D42D4" w:rsidRPr="0027392D" w:rsidP="002D4A37" w14:paraId="430738D0" w14:textId="77777777">
            <w:pPr>
              <w:pStyle w:val="71R"/>
              <w:rPr>
                <w:b/>
                <w:rtl/>
              </w:rPr>
            </w:pPr>
          </w:p>
        </w:tc>
        <w:tc>
          <w:tcPr>
            <w:tcW w:w="831" w:type="dxa"/>
            <w:tcBorders>
              <w:top w:val="single" w:sz="4" w:space="0" w:color="auto"/>
              <w:bottom w:val="single" w:sz="4" w:space="0" w:color="auto"/>
            </w:tcBorders>
            <w:shd w:val="clear" w:color="auto" w:fill="DBE8EE"/>
          </w:tcPr>
          <w:p w:rsidR="005D42D4" w:rsidRPr="0027392D" w:rsidP="002D4A37" w14:paraId="071B6BF1" w14:textId="77777777">
            <w:pPr>
              <w:pStyle w:val="71R"/>
              <w:rPr>
                <w:b/>
                <w:rtl/>
              </w:rPr>
            </w:pPr>
          </w:p>
        </w:tc>
      </w:tr>
      <w:tr w14:paraId="6E4536F3" w14:textId="77777777" w:rsidTr="002D4A37">
        <w:tblPrEx>
          <w:tblW w:w="7366" w:type="dxa"/>
          <w:jc w:val="center"/>
          <w:tblLook w:val="04A0"/>
        </w:tblPrEx>
        <w:trPr>
          <w:jc w:val="center"/>
        </w:trPr>
        <w:tc>
          <w:tcPr>
            <w:tcW w:w="1369" w:type="dxa"/>
            <w:tcBorders>
              <w:bottom w:val="single" w:sz="4" w:space="0" w:color="auto"/>
            </w:tcBorders>
            <w:shd w:val="clear" w:color="auto" w:fill="ECF4F5"/>
            <w:vAlign w:val="center"/>
          </w:tcPr>
          <w:p w:rsidR="005D42D4" w:rsidRPr="005D42D4" w:rsidP="002D4A37" w14:paraId="148B55A5" w14:textId="57EA4F26">
            <w:pPr>
              <w:pStyle w:val="71R"/>
              <w:rPr>
                <w:sz w:val="17"/>
                <w:szCs w:val="17"/>
                <w:rtl/>
              </w:rPr>
            </w:pPr>
            <w:r w:rsidRPr="005D42D4">
              <w:rPr>
                <w:sz w:val="17"/>
                <w:szCs w:val="17"/>
                <w:rtl/>
              </w:rPr>
              <w:t>ביצוע עבודות מיגון ימי באשקלון דרום (תא שטח 39)</w:t>
            </w:r>
          </w:p>
        </w:tc>
        <w:tc>
          <w:tcPr>
            <w:tcW w:w="1045" w:type="dxa"/>
            <w:tcBorders>
              <w:bottom w:val="single" w:sz="4" w:space="0" w:color="auto"/>
            </w:tcBorders>
            <w:shd w:val="clear" w:color="auto" w:fill="ECF4F5"/>
          </w:tcPr>
          <w:p w:rsidR="005D42D4" w:rsidRPr="002D4A37" w:rsidP="002D4A37" w14:paraId="40614C9F" w14:textId="61EE22A7">
            <w:pPr>
              <w:pStyle w:val="71R"/>
              <w:rPr>
                <w:b/>
                <w:bCs/>
                <w:sz w:val="17"/>
                <w:szCs w:val="17"/>
                <w:rtl/>
              </w:rPr>
            </w:pPr>
            <w:r w:rsidRPr="002D4A37">
              <w:rPr>
                <w:b/>
                <w:bCs/>
                <w:sz w:val="17"/>
                <w:szCs w:val="17"/>
                <w:rtl/>
              </w:rPr>
              <w:t>החברה להגנת המצוק</w:t>
            </w:r>
          </w:p>
        </w:tc>
        <w:tc>
          <w:tcPr>
            <w:tcW w:w="1906" w:type="dxa"/>
            <w:tcBorders>
              <w:bottom w:val="single" w:sz="4" w:space="0" w:color="auto"/>
            </w:tcBorders>
            <w:shd w:val="clear" w:color="auto" w:fill="ECF4F5"/>
          </w:tcPr>
          <w:p w:rsidR="005D42D4" w:rsidRPr="005D42D4" w:rsidP="002D4A37" w14:paraId="6FC533A5" w14:textId="789FA0FC">
            <w:pPr>
              <w:pStyle w:val="71R"/>
              <w:rPr>
                <w:sz w:val="17"/>
                <w:szCs w:val="17"/>
                <w:rtl/>
              </w:rPr>
            </w:pPr>
            <w:r w:rsidRPr="005D42D4">
              <w:rPr>
                <w:sz w:val="17"/>
                <w:szCs w:val="17"/>
                <w:rtl/>
              </w:rPr>
              <w:t>החברה להגנת המצוק טרם החלה לבצע את ההגנות הימיות בתא השטח 39.</w:t>
            </w:r>
          </w:p>
        </w:tc>
        <w:tc>
          <w:tcPr>
            <w:tcW w:w="724" w:type="dxa"/>
            <w:tcBorders>
              <w:top w:val="single" w:sz="4" w:space="0" w:color="auto"/>
              <w:bottom w:val="single" w:sz="4" w:space="0" w:color="auto"/>
            </w:tcBorders>
            <w:shd w:val="clear" w:color="auto" w:fill="ECF4F5"/>
          </w:tcPr>
          <w:p w:rsidR="005D42D4" w:rsidRPr="00606EF9" w:rsidP="002D4A37" w14:paraId="7B5B3082" w14:textId="6A05AD10">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1723776" behindDoc="0" locked="0" layoutInCell="1" allowOverlap="1">
                      <wp:simplePos x="0" y="0"/>
                      <wp:positionH relativeFrom="column">
                        <wp:posOffset>-533759</wp:posOffset>
                      </wp:positionH>
                      <wp:positionV relativeFrom="paragraph">
                        <wp:posOffset>250825</wp:posOffset>
                      </wp:positionV>
                      <wp:extent cx="904875" cy="287655"/>
                      <wp:effectExtent l="0" t="0" r="28575" b="17145"/>
                      <wp:wrapNone/>
                      <wp:docPr id="3788740"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9048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6" type="#_x0000_t66" style="width:71.25pt;height:22.65pt;margin-top:19.75pt;margin-left:-42.05pt;mso-height-percent:0;mso-height-relative:margin;mso-width-percent:0;mso-width-relative:margin;mso-wrap-distance-bottom:0;mso-wrap-distance-left:9pt;mso-wrap-distance-right:9pt;mso-wrap-distance-top:0;mso-wrap-style:square;position:absolute;visibility:visible;v-text-anchor:middle;z-index:251724800" adj="3433" fillcolor="#ffc000" strokecolor="#ffc000" strokeweight="2pt"/>
                  </w:pict>
                </mc:Fallback>
              </mc:AlternateContent>
            </w:r>
          </w:p>
        </w:tc>
        <w:tc>
          <w:tcPr>
            <w:tcW w:w="752" w:type="dxa"/>
            <w:tcBorders>
              <w:top w:val="single" w:sz="4" w:space="0" w:color="auto"/>
              <w:bottom w:val="single" w:sz="4" w:space="0" w:color="auto"/>
            </w:tcBorders>
            <w:shd w:val="clear" w:color="auto" w:fill="ECF4F5"/>
          </w:tcPr>
          <w:p w:rsidR="005D42D4" w:rsidRPr="00F81EDE" w:rsidP="002D4A37" w14:paraId="7460D6E5" w14:textId="15262B87">
            <w:pPr>
              <w:pStyle w:val="71R"/>
              <w:rPr>
                <w:b/>
                <w:rtl/>
              </w:rPr>
            </w:pPr>
          </w:p>
        </w:tc>
        <w:tc>
          <w:tcPr>
            <w:tcW w:w="739" w:type="dxa"/>
            <w:gridSpan w:val="2"/>
            <w:tcBorders>
              <w:top w:val="single" w:sz="4" w:space="0" w:color="auto"/>
              <w:bottom w:val="single" w:sz="4" w:space="0" w:color="auto"/>
            </w:tcBorders>
            <w:shd w:val="clear" w:color="auto" w:fill="ECF4F5"/>
          </w:tcPr>
          <w:p w:rsidR="005D42D4" w:rsidRPr="0027392D" w:rsidP="002D4A37" w14:paraId="42211025" w14:textId="77777777">
            <w:pPr>
              <w:pStyle w:val="71R"/>
              <w:rPr>
                <w:b/>
                <w:rtl/>
              </w:rPr>
            </w:pPr>
          </w:p>
        </w:tc>
        <w:tc>
          <w:tcPr>
            <w:tcW w:w="831" w:type="dxa"/>
            <w:tcBorders>
              <w:top w:val="single" w:sz="4" w:space="0" w:color="auto"/>
              <w:bottom w:val="single" w:sz="4" w:space="0" w:color="auto"/>
            </w:tcBorders>
            <w:shd w:val="clear" w:color="auto" w:fill="ECF4F5"/>
          </w:tcPr>
          <w:p w:rsidR="005D42D4" w:rsidRPr="0027392D" w:rsidP="002D4A37" w14:paraId="09752626" w14:textId="77777777">
            <w:pPr>
              <w:pStyle w:val="71R"/>
              <w:rPr>
                <w:b/>
                <w:rtl/>
              </w:rPr>
            </w:pPr>
          </w:p>
        </w:tc>
      </w:tr>
      <w:tr w14:paraId="364777FC" w14:textId="77777777" w:rsidTr="002D4A37">
        <w:tblPrEx>
          <w:tblW w:w="7366" w:type="dxa"/>
          <w:jc w:val="center"/>
          <w:tblLook w:val="04A0"/>
        </w:tblPrEx>
        <w:trPr>
          <w:jc w:val="center"/>
        </w:trPr>
        <w:tc>
          <w:tcPr>
            <w:tcW w:w="1369" w:type="dxa"/>
            <w:tcBorders>
              <w:bottom w:val="single" w:sz="4" w:space="0" w:color="auto"/>
            </w:tcBorders>
            <w:shd w:val="clear" w:color="auto" w:fill="DBE8EE"/>
            <w:vAlign w:val="center"/>
          </w:tcPr>
          <w:p w:rsidR="005D42D4" w:rsidRPr="005D42D4" w:rsidP="00A15BA2" w14:paraId="348532E8" w14:textId="317F54B7">
            <w:pPr>
              <w:pStyle w:val="71R"/>
              <w:rPr>
                <w:sz w:val="17"/>
                <w:szCs w:val="17"/>
                <w:rtl/>
              </w:rPr>
            </w:pPr>
            <w:r w:rsidRPr="005D42D4">
              <w:rPr>
                <w:sz w:val="17"/>
                <w:szCs w:val="17"/>
                <w:rtl/>
              </w:rPr>
              <w:t>ביצוע עבודות מיגון ימי בהרצלייה</w:t>
            </w:r>
          </w:p>
        </w:tc>
        <w:tc>
          <w:tcPr>
            <w:tcW w:w="1045" w:type="dxa"/>
            <w:tcBorders>
              <w:bottom w:val="single" w:sz="4" w:space="0" w:color="auto"/>
            </w:tcBorders>
            <w:shd w:val="clear" w:color="auto" w:fill="DBE8EE"/>
          </w:tcPr>
          <w:p w:rsidR="005D42D4" w:rsidRPr="002D4A37" w:rsidP="00A15BA2" w14:paraId="74FEBAC8" w14:textId="7A6C7C5E">
            <w:pPr>
              <w:pStyle w:val="71R"/>
              <w:rPr>
                <w:b/>
                <w:bCs/>
                <w:sz w:val="17"/>
                <w:szCs w:val="17"/>
                <w:rtl/>
              </w:rPr>
            </w:pPr>
            <w:r w:rsidRPr="002D4A37">
              <w:rPr>
                <w:b/>
                <w:bCs/>
                <w:sz w:val="17"/>
                <w:szCs w:val="17"/>
                <w:rtl/>
              </w:rPr>
              <w:t>החברה להגנת המצוק</w:t>
            </w:r>
          </w:p>
        </w:tc>
        <w:tc>
          <w:tcPr>
            <w:tcW w:w="1906" w:type="dxa"/>
            <w:tcBorders>
              <w:bottom w:val="single" w:sz="4" w:space="0" w:color="auto"/>
            </w:tcBorders>
            <w:shd w:val="clear" w:color="auto" w:fill="DBE8EE"/>
          </w:tcPr>
          <w:p w:rsidR="005D42D4" w:rsidRPr="005D42D4" w:rsidP="00A15BA2" w14:paraId="6B5075F4" w14:textId="3F4B4743">
            <w:pPr>
              <w:pStyle w:val="71R"/>
              <w:rPr>
                <w:sz w:val="17"/>
                <w:szCs w:val="17"/>
                <w:rtl/>
              </w:rPr>
            </w:pPr>
            <w:r w:rsidRPr="005D42D4">
              <w:rPr>
                <w:sz w:val="17"/>
                <w:szCs w:val="17"/>
                <w:rtl/>
              </w:rPr>
              <w:t>הועלה כי לא אושר תכנון ימי למצוק החופי הרצלייה וממילא מיגון זה לא בוצע.</w:t>
            </w:r>
          </w:p>
        </w:tc>
        <w:tc>
          <w:tcPr>
            <w:tcW w:w="724" w:type="dxa"/>
            <w:tcBorders>
              <w:top w:val="single" w:sz="4" w:space="0" w:color="auto"/>
              <w:bottom w:val="single" w:sz="4" w:space="0" w:color="auto"/>
            </w:tcBorders>
            <w:shd w:val="clear" w:color="auto" w:fill="DBE8EE"/>
          </w:tcPr>
          <w:p w:rsidR="005D42D4" w:rsidRPr="00606EF9" w:rsidP="00A15BA2" w14:paraId="08C9EFAE" w14:textId="297F49F5">
            <w:pPr>
              <w:pStyle w:val="71R"/>
              <w:rPr>
                <w:rFonts w:ascii="Times New Roman" w:hAnsi="Times New Roman" w:cs="David"/>
                <w:noProof/>
                <w:rtl/>
              </w:rPr>
            </w:pPr>
          </w:p>
        </w:tc>
        <w:tc>
          <w:tcPr>
            <w:tcW w:w="752" w:type="dxa"/>
            <w:tcBorders>
              <w:top w:val="single" w:sz="4" w:space="0" w:color="auto"/>
              <w:bottom w:val="single" w:sz="4" w:space="0" w:color="auto"/>
            </w:tcBorders>
            <w:shd w:val="clear" w:color="auto" w:fill="DBE8EE"/>
          </w:tcPr>
          <w:p w:rsidR="005D42D4" w:rsidRPr="00F81EDE" w:rsidP="00A15BA2" w14:paraId="45FC9830" w14:textId="1344FF71">
            <w:pPr>
              <w:pStyle w:val="71R"/>
              <w:rPr>
                <w:b/>
                <w:rtl/>
              </w:rPr>
            </w:pPr>
            <w:r w:rsidRPr="00606EF9">
              <w:rPr>
                <w:rFonts w:ascii="Times New Roman" w:hAnsi="Times New Roman" w:cs="David"/>
                <w:noProof/>
                <w:rtl/>
              </w:rPr>
              <mc:AlternateContent>
                <mc:Choice Requires="wps">
                  <w:drawing>
                    <wp:anchor distT="0" distB="0" distL="114300" distR="114300" simplePos="0" relativeHeight="251725824" behindDoc="0" locked="0" layoutInCell="1" allowOverlap="1">
                      <wp:simplePos x="0" y="0"/>
                      <wp:positionH relativeFrom="column">
                        <wp:posOffset>-51435</wp:posOffset>
                      </wp:positionH>
                      <wp:positionV relativeFrom="paragraph">
                        <wp:posOffset>295910</wp:posOffset>
                      </wp:positionV>
                      <wp:extent cx="904875" cy="287655"/>
                      <wp:effectExtent l="0" t="0" r="28575" b="17145"/>
                      <wp:wrapNone/>
                      <wp:docPr id="3788741"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9048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7" type="#_x0000_t66" style="width:71.25pt;height:22.65pt;margin-top:23.3pt;margin-left:-4.05pt;mso-height-percent:0;mso-height-relative:margin;mso-width-percent:0;mso-width-relative:margin;mso-wrap-distance-bottom:0;mso-wrap-distance-left:9pt;mso-wrap-distance-right:9pt;mso-wrap-distance-top:0;mso-wrap-style:square;position:absolute;visibility:visible;v-text-anchor:middle;z-index:251726848" adj="3433" fillcolor="#ffc000" strokecolor="#ffc000" strokeweight="2pt"/>
                  </w:pict>
                </mc:Fallback>
              </mc:AlternateContent>
            </w:r>
          </w:p>
        </w:tc>
        <w:tc>
          <w:tcPr>
            <w:tcW w:w="739" w:type="dxa"/>
            <w:gridSpan w:val="2"/>
            <w:tcBorders>
              <w:top w:val="single" w:sz="4" w:space="0" w:color="auto"/>
              <w:bottom w:val="single" w:sz="4" w:space="0" w:color="auto"/>
            </w:tcBorders>
            <w:shd w:val="clear" w:color="auto" w:fill="DBE8EE"/>
          </w:tcPr>
          <w:p w:rsidR="005D42D4" w:rsidRPr="0027392D" w:rsidP="00A15BA2" w14:paraId="06674933" w14:textId="77777777">
            <w:pPr>
              <w:pStyle w:val="71R"/>
              <w:rPr>
                <w:b/>
                <w:rtl/>
              </w:rPr>
            </w:pPr>
          </w:p>
        </w:tc>
        <w:tc>
          <w:tcPr>
            <w:tcW w:w="831" w:type="dxa"/>
            <w:tcBorders>
              <w:top w:val="single" w:sz="4" w:space="0" w:color="auto"/>
              <w:bottom w:val="single" w:sz="4" w:space="0" w:color="auto"/>
            </w:tcBorders>
            <w:shd w:val="clear" w:color="auto" w:fill="DBE8EE"/>
          </w:tcPr>
          <w:p w:rsidR="005D42D4" w:rsidRPr="0027392D" w:rsidP="00A15BA2" w14:paraId="436FE240" w14:textId="20BA8FFF">
            <w:pPr>
              <w:pStyle w:val="71R"/>
              <w:rPr>
                <w:b/>
                <w:rtl/>
              </w:rPr>
            </w:pPr>
          </w:p>
        </w:tc>
      </w:tr>
      <w:tr w14:paraId="24D21234" w14:textId="77777777" w:rsidTr="002D4A37">
        <w:tblPrEx>
          <w:tblW w:w="7366" w:type="dxa"/>
          <w:jc w:val="center"/>
          <w:tblLook w:val="04A0"/>
        </w:tblPrEx>
        <w:trPr>
          <w:jc w:val="center"/>
        </w:trPr>
        <w:tc>
          <w:tcPr>
            <w:tcW w:w="1369" w:type="dxa"/>
            <w:tcBorders>
              <w:bottom w:val="single" w:sz="4" w:space="0" w:color="auto"/>
            </w:tcBorders>
            <w:shd w:val="clear" w:color="auto" w:fill="ECF4F5"/>
            <w:vAlign w:val="center"/>
          </w:tcPr>
          <w:p w:rsidR="005D42D4" w:rsidRPr="005D42D4" w:rsidP="00A15BA2" w14:paraId="3DCCF136" w14:textId="5521C3F8">
            <w:pPr>
              <w:pStyle w:val="71R"/>
              <w:rPr>
                <w:sz w:val="17"/>
                <w:szCs w:val="17"/>
                <w:rtl/>
              </w:rPr>
            </w:pPr>
            <w:r w:rsidRPr="005D42D4">
              <w:rPr>
                <w:sz w:val="17"/>
                <w:szCs w:val="17"/>
                <w:rtl/>
              </w:rPr>
              <w:t>אומדן ביצוע הגנות יבשתיות</w:t>
            </w:r>
          </w:p>
        </w:tc>
        <w:tc>
          <w:tcPr>
            <w:tcW w:w="1045" w:type="dxa"/>
            <w:tcBorders>
              <w:bottom w:val="single" w:sz="4" w:space="0" w:color="auto"/>
            </w:tcBorders>
            <w:shd w:val="clear" w:color="auto" w:fill="ECF4F5"/>
          </w:tcPr>
          <w:p w:rsidR="005D42D4" w:rsidRPr="002D4A37" w:rsidP="00A15BA2" w14:paraId="7A4E778F" w14:textId="2E09C92C">
            <w:pPr>
              <w:pStyle w:val="71R"/>
              <w:rPr>
                <w:b/>
                <w:bCs/>
                <w:sz w:val="17"/>
                <w:szCs w:val="17"/>
                <w:rtl/>
              </w:rPr>
            </w:pPr>
            <w:r w:rsidRPr="002D4A37">
              <w:rPr>
                <w:b/>
                <w:bCs/>
                <w:sz w:val="17"/>
                <w:szCs w:val="17"/>
                <w:rtl/>
              </w:rPr>
              <w:t xml:space="preserve">משרד הפנים </w:t>
            </w:r>
          </w:p>
        </w:tc>
        <w:tc>
          <w:tcPr>
            <w:tcW w:w="1906" w:type="dxa"/>
            <w:tcBorders>
              <w:bottom w:val="single" w:sz="4" w:space="0" w:color="auto"/>
            </w:tcBorders>
            <w:shd w:val="clear" w:color="auto" w:fill="ECF4F5"/>
            <w:vAlign w:val="center"/>
          </w:tcPr>
          <w:p w:rsidR="005D42D4" w:rsidRPr="005D42D4" w:rsidP="00A15BA2" w14:paraId="2F4DAC13" w14:textId="2A192E32">
            <w:pPr>
              <w:pStyle w:val="71R"/>
              <w:rPr>
                <w:sz w:val="17"/>
                <w:szCs w:val="17"/>
                <w:rtl/>
              </w:rPr>
            </w:pPr>
            <w:r w:rsidRPr="005D42D4">
              <w:rPr>
                <w:sz w:val="17"/>
                <w:szCs w:val="17"/>
                <w:rtl/>
              </w:rPr>
              <w:t>אין בידי משרד הפנים אומדן מלא ועדכני לעלויות ההגנות היבשתיות הנדרשות.</w:t>
            </w:r>
          </w:p>
        </w:tc>
        <w:tc>
          <w:tcPr>
            <w:tcW w:w="724" w:type="dxa"/>
            <w:tcBorders>
              <w:top w:val="single" w:sz="4" w:space="0" w:color="auto"/>
              <w:bottom w:val="single" w:sz="4" w:space="0" w:color="auto"/>
            </w:tcBorders>
            <w:shd w:val="clear" w:color="auto" w:fill="ECF4F5"/>
          </w:tcPr>
          <w:p w:rsidR="005D42D4" w:rsidRPr="00606EF9" w:rsidP="00A15BA2" w14:paraId="51CF29F2" w14:textId="64F18B40">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1719680" behindDoc="0" locked="0" layoutInCell="1" allowOverlap="1">
                      <wp:simplePos x="0" y="0"/>
                      <wp:positionH relativeFrom="column">
                        <wp:posOffset>-74598</wp:posOffset>
                      </wp:positionH>
                      <wp:positionV relativeFrom="paragraph">
                        <wp:posOffset>225950</wp:posOffset>
                      </wp:positionV>
                      <wp:extent cx="445770" cy="287655"/>
                      <wp:effectExtent l="0" t="0" r="11430" b="17145"/>
                      <wp:wrapNone/>
                      <wp:docPr id="1113575899"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8" type="#_x0000_t66" style="width:35.1pt;height:22.65pt;margin-top:17.8pt;margin-left:-5.85pt;mso-height-percent:0;mso-height-relative:margin;mso-width-percent:0;mso-width-relative:margin;mso-wrap-distance-bottom:0;mso-wrap-distance-left:9pt;mso-wrap-distance-right:9pt;mso-wrap-distance-top:0;mso-wrap-style:square;position:absolute;visibility:visible;v-text-anchor:middle;z-index:251720704" adj="6969" fillcolor="#f05260" strokecolor="#f05260" strokeweight="2pt"/>
                  </w:pict>
                </mc:Fallback>
              </mc:AlternateContent>
            </w:r>
          </w:p>
        </w:tc>
        <w:tc>
          <w:tcPr>
            <w:tcW w:w="752" w:type="dxa"/>
            <w:tcBorders>
              <w:top w:val="single" w:sz="4" w:space="0" w:color="auto"/>
              <w:bottom w:val="single" w:sz="4" w:space="0" w:color="auto"/>
            </w:tcBorders>
            <w:shd w:val="clear" w:color="auto" w:fill="ECF4F5"/>
          </w:tcPr>
          <w:p w:rsidR="005D42D4" w:rsidRPr="00F81EDE" w:rsidP="00A15BA2" w14:paraId="138908FA" w14:textId="6F9423B3">
            <w:pPr>
              <w:pStyle w:val="71R"/>
              <w:rPr>
                <w:b/>
                <w:rtl/>
              </w:rPr>
            </w:pPr>
          </w:p>
        </w:tc>
        <w:tc>
          <w:tcPr>
            <w:tcW w:w="739" w:type="dxa"/>
            <w:gridSpan w:val="2"/>
            <w:tcBorders>
              <w:top w:val="single" w:sz="4" w:space="0" w:color="auto"/>
              <w:bottom w:val="single" w:sz="4" w:space="0" w:color="auto"/>
            </w:tcBorders>
            <w:shd w:val="clear" w:color="auto" w:fill="ECF4F5"/>
          </w:tcPr>
          <w:p w:rsidR="005D42D4" w:rsidRPr="0027392D" w:rsidP="00A15BA2" w14:paraId="0B2A0D0E" w14:textId="3341A6B2">
            <w:pPr>
              <w:pStyle w:val="71R"/>
              <w:rPr>
                <w:b/>
                <w:rtl/>
              </w:rPr>
            </w:pPr>
          </w:p>
        </w:tc>
        <w:tc>
          <w:tcPr>
            <w:tcW w:w="831" w:type="dxa"/>
            <w:tcBorders>
              <w:top w:val="single" w:sz="4" w:space="0" w:color="auto"/>
              <w:bottom w:val="single" w:sz="4" w:space="0" w:color="auto"/>
            </w:tcBorders>
            <w:shd w:val="clear" w:color="auto" w:fill="ECF4F5"/>
          </w:tcPr>
          <w:p w:rsidR="005D42D4" w:rsidRPr="0027392D" w:rsidP="00A15BA2" w14:paraId="67438855" w14:textId="1BB08967">
            <w:pPr>
              <w:pStyle w:val="71R"/>
              <w:rPr>
                <w:b/>
                <w:rtl/>
              </w:rPr>
            </w:pPr>
          </w:p>
        </w:tc>
      </w:tr>
      <w:tr w14:paraId="4A08C339" w14:textId="77777777" w:rsidTr="00253F4C">
        <w:tblPrEx>
          <w:tblW w:w="7366" w:type="dxa"/>
          <w:jc w:val="center"/>
          <w:tblLook w:val="04A0"/>
        </w:tblPrEx>
        <w:trPr>
          <w:jc w:val="center"/>
        </w:trPr>
        <w:tc>
          <w:tcPr>
            <w:tcW w:w="1369" w:type="dxa"/>
            <w:tcBorders>
              <w:bottom w:val="single" w:sz="4" w:space="0" w:color="auto"/>
            </w:tcBorders>
            <w:shd w:val="clear" w:color="auto" w:fill="DBE8EE"/>
            <w:vAlign w:val="center"/>
          </w:tcPr>
          <w:p w:rsidR="005D42D4" w:rsidRPr="005D42D4" w:rsidP="00A15BA2" w14:paraId="1EFF420D" w14:textId="094BB32B">
            <w:pPr>
              <w:pStyle w:val="71R"/>
              <w:rPr>
                <w:sz w:val="17"/>
                <w:szCs w:val="17"/>
                <w:rtl/>
              </w:rPr>
            </w:pPr>
            <w:r w:rsidRPr="005D42D4">
              <w:rPr>
                <w:sz w:val="17"/>
                <w:szCs w:val="17"/>
                <w:rtl/>
              </w:rPr>
              <w:t>אומדן ביצוע הגנות ימיות</w:t>
            </w:r>
          </w:p>
        </w:tc>
        <w:tc>
          <w:tcPr>
            <w:tcW w:w="1045" w:type="dxa"/>
            <w:tcBorders>
              <w:bottom w:val="single" w:sz="4" w:space="0" w:color="auto"/>
            </w:tcBorders>
            <w:shd w:val="clear" w:color="auto" w:fill="DBE8EE"/>
          </w:tcPr>
          <w:p w:rsidR="005D42D4" w:rsidRPr="002D4A37" w:rsidP="00A15BA2" w14:paraId="4195B2A2" w14:textId="0544AAD1">
            <w:pPr>
              <w:pStyle w:val="71R"/>
              <w:rPr>
                <w:b/>
                <w:bCs/>
                <w:sz w:val="17"/>
                <w:szCs w:val="17"/>
                <w:rtl/>
              </w:rPr>
            </w:pPr>
            <w:r w:rsidRPr="002D4A37">
              <w:rPr>
                <w:b/>
                <w:bCs/>
                <w:sz w:val="17"/>
                <w:szCs w:val="17"/>
                <w:rtl/>
              </w:rPr>
              <w:t>החברה להגנת המצוק</w:t>
            </w:r>
          </w:p>
        </w:tc>
        <w:tc>
          <w:tcPr>
            <w:tcW w:w="1906" w:type="dxa"/>
            <w:tcBorders>
              <w:bottom w:val="single" w:sz="4" w:space="0" w:color="auto"/>
            </w:tcBorders>
            <w:shd w:val="clear" w:color="auto" w:fill="DBE8EE"/>
          </w:tcPr>
          <w:p w:rsidR="005D42D4" w:rsidRPr="005D42D4" w:rsidP="00A15BA2" w14:paraId="26F2B663" w14:textId="4E545D9D">
            <w:pPr>
              <w:pStyle w:val="71R"/>
              <w:rPr>
                <w:sz w:val="17"/>
                <w:szCs w:val="17"/>
                <w:rtl/>
              </w:rPr>
            </w:pPr>
            <w:r w:rsidRPr="005D42D4">
              <w:rPr>
                <w:sz w:val="17"/>
                <w:szCs w:val="17"/>
                <w:rtl/>
              </w:rPr>
              <w:t>לא היה למי מהגורמים אומדנים עדכניים על עלויות המיגון הימי ולא נעשתה בחינה לאומדנים המלאים לביצוע ההגנות הימיות לאורך המצוק.</w:t>
            </w:r>
          </w:p>
        </w:tc>
        <w:tc>
          <w:tcPr>
            <w:tcW w:w="724" w:type="dxa"/>
            <w:tcBorders>
              <w:top w:val="single" w:sz="4" w:space="0" w:color="auto"/>
              <w:bottom w:val="single" w:sz="4" w:space="0" w:color="auto"/>
            </w:tcBorders>
            <w:shd w:val="clear" w:color="auto" w:fill="DBE8EE"/>
          </w:tcPr>
          <w:p w:rsidR="005D42D4" w:rsidRPr="00606EF9" w:rsidP="00A15BA2" w14:paraId="484BBD05" w14:textId="21780DEA">
            <w:pPr>
              <w:pStyle w:val="71R"/>
              <w:spacing w:line="220" w:lineRule="exact"/>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1717632" behindDoc="0" locked="0" layoutInCell="1" allowOverlap="1">
                      <wp:simplePos x="0" y="0"/>
                      <wp:positionH relativeFrom="column">
                        <wp:posOffset>-1521018</wp:posOffset>
                      </wp:positionH>
                      <wp:positionV relativeFrom="paragraph">
                        <wp:posOffset>504742</wp:posOffset>
                      </wp:positionV>
                      <wp:extent cx="1896745" cy="287655"/>
                      <wp:effectExtent l="0" t="0" r="27305" b="17145"/>
                      <wp:wrapNone/>
                      <wp:docPr id="1113575896"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189674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49" type="#_x0000_t66" style="width:149.35pt;height:22.65pt;margin-top:39.75pt;margin-left:-119.75pt;mso-height-percent:0;mso-height-relative:margin;mso-width-percent:0;mso-width-relative:margin;mso-wrap-distance-bottom:0;mso-wrap-distance-left:9pt;mso-wrap-distance-right:9pt;mso-wrap-distance-top:0;mso-wrap-style:square;position:absolute;visibility:visible;v-text-anchor:middle;z-index:251718656" adj="1638" fillcolor="#5f9127" strokecolor="#5f9127" strokeweight="2pt"/>
                  </w:pict>
                </mc:Fallback>
              </mc:AlternateContent>
            </w:r>
          </w:p>
        </w:tc>
        <w:tc>
          <w:tcPr>
            <w:tcW w:w="752" w:type="dxa"/>
            <w:tcBorders>
              <w:top w:val="single" w:sz="4" w:space="0" w:color="auto"/>
              <w:bottom w:val="single" w:sz="4" w:space="0" w:color="auto"/>
            </w:tcBorders>
            <w:shd w:val="clear" w:color="auto" w:fill="DBE8EE"/>
          </w:tcPr>
          <w:p w:rsidR="005D42D4" w:rsidRPr="00F81EDE" w:rsidP="00A15BA2" w14:paraId="1C9F467B" w14:textId="7D7F95A1">
            <w:pPr>
              <w:pStyle w:val="71R"/>
              <w:spacing w:line="220" w:lineRule="exact"/>
              <w:rPr>
                <w:b/>
                <w:rtl/>
              </w:rPr>
            </w:pPr>
          </w:p>
        </w:tc>
        <w:tc>
          <w:tcPr>
            <w:tcW w:w="739" w:type="dxa"/>
            <w:gridSpan w:val="2"/>
            <w:tcBorders>
              <w:top w:val="single" w:sz="4" w:space="0" w:color="auto"/>
              <w:bottom w:val="single" w:sz="4" w:space="0" w:color="auto"/>
            </w:tcBorders>
            <w:shd w:val="clear" w:color="auto" w:fill="DBE8EE"/>
          </w:tcPr>
          <w:p w:rsidR="005D42D4" w:rsidRPr="0027392D" w:rsidP="00A15BA2" w14:paraId="255F921C" w14:textId="2B888697">
            <w:pPr>
              <w:pStyle w:val="71R"/>
              <w:spacing w:line="220" w:lineRule="exact"/>
              <w:rPr>
                <w:b/>
                <w:rtl/>
              </w:rPr>
            </w:pPr>
          </w:p>
        </w:tc>
        <w:tc>
          <w:tcPr>
            <w:tcW w:w="831" w:type="dxa"/>
            <w:tcBorders>
              <w:top w:val="single" w:sz="4" w:space="0" w:color="auto"/>
              <w:bottom w:val="single" w:sz="4" w:space="0" w:color="auto"/>
            </w:tcBorders>
            <w:shd w:val="clear" w:color="auto" w:fill="DBE8EE"/>
          </w:tcPr>
          <w:p w:rsidR="005D42D4" w:rsidRPr="0027392D" w:rsidP="00A15BA2" w14:paraId="5E750334" w14:textId="77777777">
            <w:pPr>
              <w:pStyle w:val="71R"/>
              <w:spacing w:line="220" w:lineRule="exact"/>
              <w:rPr>
                <w:b/>
                <w:rtl/>
              </w:rPr>
            </w:pPr>
          </w:p>
        </w:tc>
      </w:tr>
      <w:tr w14:paraId="06690AB8" w14:textId="77777777" w:rsidTr="00253F4C">
        <w:tblPrEx>
          <w:tblW w:w="7366" w:type="dxa"/>
          <w:jc w:val="center"/>
          <w:tblLook w:val="04A0"/>
        </w:tblPrEx>
        <w:trPr>
          <w:jc w:val="center"/>
        </w:trPr>
        <w:tc>
          <w:tcPr>
            <w:tcW w:w="1369" w:type="dxa"/>
            <w:tcBorders>
              <w:bottom w:val="single" w:sz="4" w:space="0" w:color="auto"/>
            </w:tcBorders>
            <w:shd w:val="clear" w:color="auto" w:fill="ECF4F5"/>
            <w:vAlign w:val="center"/>
          </w:tcPr>
          <w:p w:rsidR="005D42D4" w:rsidRPr="005D42D4" w:rsidP="00A15BA2" w14:paraId="0C72793D" w14:textId="0C1A39D4">
            <w:pPr>
              <w:pStyle w:val="71R"/>
              <w:rPr>
                <w:b/>
                <w:sz w:val="17"/>
                <w:szCs w:val="17"/>
                <w:rtl/>
              </w:rPr>
            </w:pPr>
            <w:r w:rsidRPr="005D42D4">
              <w:rPr>
                <w:b/>
                <w:sz w:val="17"/>
                <w:szCs w:val="17"/>
                <w:rtl/>
              </w:rPr>
              <w:t>תקציב החברה להגנת המצוק</w:t>
            </w:r>
          </w:p>
        </w:tc>
        <w:tc>
          <w:tcPr>
            <w:tcW w:w="1045" w:type="dxa"/>
            <w:tcBorders>
              <w:bottom w:val="single" w:sz="4" w:space="0" w:color="auto"/>
            </w:tcBorders>
            <w:shd w:val="clear" w:color="auto" w:fill="ECF4F5"/>
          </w:tcPr>
          <w:p w:rsidR="005D42D4" w:rsidRPr="002D4A37" w:rsidP="00A15BA2" w14:paraId="1EA1D794" w14:textId="5DBB10E6">
            <w:pPr>
              <w:pStyle w:val="71R"/>
              <w:rPr>
                <w:b/>
                <w:bCs/>
                <w:sz w:val="17"/>
                <w:szCs w:val="17"/>
                <w:rtl/>
              </w:rPr>
            </w:pPr>
            <w:r w:rsidRPr="002D4A37">
              <w:rPr>
                <w:b/>
                <w:bCs/>
                <w:sz w:val="17"/>
                <w:szCs w:val="17"/>
                <w:rtl/>
              </w:rPr>
              <w:t>החברה להגנת המצוק</w:t>
            </w:r>
          </w:p>
        </w:tc>
        <w:tc>
          <w:tcPr>
            <w:tcW w:w="1906" w:type="dxa"/>
            <w:tcBorders>
              <w:bottom w:val="single" w:sz="4" w:space="0" w:color="auto"/>
            </w:tcBorders>
            <w:shd w:val="clear" w:color="auto" w:fill="ECF4F5"/>
          </w:tcPr>
          <w:p w:rsidR="005D42D4" w:rsidRPr="00E274BB" w:rsidP="00A15BA2" w14:paraId="41D80801" w14:textId="73D4813A">
            <w:pPr>
              <w:pStyle w:val="71R"/>
              <w:rPr>
                <w:b/>
                <w:sz w:val="17"/>
                <w:szCs w:val="17"/>
                <w:rtl/>
              </w:rPr>
            </w:pPr>
            <w:r w:rsidRPr="005D42D4">
              <w:rPr>
                <w:b/>
                <w:sz w:val="17"/>
                <w:szCs w:val="17"/>
                <w:rtl/>
              </w:rPr>
              <w:t>ניצול התקציב של החברה להגנת המצוק בסעיף פעולות היה נמוך מאוד ועמד על 5% - 19% מהתקציב בשנים 2016 - 2018</w:t>
            </w:r>
          </w:p>
        </w:tc>
        <w:tc>
          <w:tcPr>
            <w:tcW w:w="724" w:type="dxa"/>
            <w:tcBorders>
              <w:top w:val="single" w:sz="4" w:space="0" w:color="auto"/>
              <w:bottom w:val="single" w:sz="4" w:space="0" w:color="auto"/>
            </w:tcBorders>
            <w:shd w:val="clear" w:color="auto" w:fill="ECF4F5"/>
          </w:tcPr>
          <w:p w:rsidR="005D42D4" w:rsidRPr="00606EF9" w:rsidP="00A15BA2" w14:paraId="17B7F3E5" w14:textId="18ABC2C5">
            <w:pPr>
              <w:pStyle w:val="71R"/>
              <w:spacing w:line="220" w:lineRule="exact"/>
              <w:rPr>
                <w:rFonts w:ascii="Times New Roman" w:hAnsi="Times New Roman" w:cs="David"/>
                <w:noProof/>
                <w:rtl/>
              </w:rPr>
            </w:pPr>
          </w:p>
        </w:tc>
        <w:tc>
          <w:tcPr>
            <w:tcW w:w="752" w:type="dxa"/>
            <w:tcBorders>
              <w:top w:val="single" w:sz="4" w:space="0" w:color="auto"/>
              <w:bottom w:val="single" w:sz="4" w:space="0" w:color="auto"/>
            </w:tcBorders>
            <w:shd w:val="clear" w:color="auto" w:fill="ECF4F5"/>
          </w:tcPr>
          <w:p w:rsidR="005D42D4" w:rsidRPr="006230E9" w:rsidP="00A15BA2" w14:paraId="07145064" w14:textId="47B96FDC">
            <w:pPr>
              <w:pStyle w:val="71R"/>
              <w:spacing w:line="220" w:lineRule="exact"/>
              <w:rPr>
                <w:b/>
                <w:sz w:val="17"/>
                <w:szCs w:val="17"/>
                <w:rtl/>
              </w:rPr>
            </w:pPr>
            <w:r w:rsidRPr="00606EF9">
              <w:rPr>
                <w:rFonts w:ascii="Times New Roman" w:hAnsi="Times New Roman" w:cs="David"/>
                <w:noProof/>
                <w:rtl/>
              </w:rPr>
              <mc:AlternateContent>
                <mc:Choice Requires="wps">
                  <w:drawing>
                    <wp:anchor distT="0" distB="0" distL="114300" distR="114300" simplePos="0" relativeHeight="251727872" behindDoc="0" locked="0" layoutInCell="1" allowOverlap="1">
                      <wp:simplePos x="0" y="0"/>
                      <wp:positionH relativeFrom="column">
                        <wp:posOffset>-510071</wp:posOffset>
                      </wp:positionH>
                      <wp:positionV relativeFrom="paragraph">
                        <wp:posOffset>389338</wp:posOffset>
                      </wp:positionV>
                      <wp:extent cx="1369695" cy="287655"/>
                      <wp:effectExtent l="0" t="0" r="20955" b="17145"/>
                      <wp:wrapNone/>
                      <wp:docPr id="3788742" name="חץ שמאלה 38"/>
                      <wp:cNvGraphicFramePr/>
                      <a:graphic xmlns:a="http://schemas.openxmlformats.org/drawingml/2006/main">
                        <a:graphicData uri="http://schemas.microsoft.com/office/word/2010/wordprocessingShape">
                          <wps:wsp xmlns:wps="http://schemas.microsoft.com/office/word/2010/wordprocessingShape">
                            <wps:cNvSpPr/>
                            <wps:spPr>
                              <a:xfrm>
                                <a:off x="0" y="0"/>
                                <a:ext cx="136969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8" o:spid="_x0000_s1050" type="#_x0000_t66" style="width:107.85pt;height:22.65pt;margin-top:30.65pt;margin-left:-40.15pt;mso-height-percent:0;mso-height-relative:margin;mso-width-percent:0;mso-width-relative:margin;mso-wrap-distance-bottom:0;mso-wrap-distance-left:9pt;mso-wrap-distance-right:9pt;mso-wrap-distance-top:0;mso-wrap-style:square;position:absolute;visibility:visible;v-text-anchor:middle;z-index:251728896" adj="2268" fillcolor="#ded900" strokecolor="#ded900" strokeweight="2pt"/>
                  </w:pict>
                </mc:Fallback>
              </mc:AlternateContent>
            </w:r>
          </w:p>
        </w:tc>
        <w:tc>
          <w:tcPr>
            <w:tcW w:w="739" w:type="dxa"/>
            <w:gridSpan w:val="2"/>
            <w:tcBorders>
              <w:top w:val="single" w:sz="4" w:space="0" w:color="auto"/>
              <w:bottom w:val="single" w:sz="4" w:space="0" w:color="auto"/>
            </w:tcBorders>
            <w:shd w:val="clear" w:color="auto" w:fill="ECF4F5"/>
          </w:tcPr>
          <w:p w:rsidR="005D42D4" w:rsidRPr="0027392D" w:rsidP="00A15BA2" w14:paraId="315CC8A6" w14:textId="77777777">
            <w:pPr>
              <w:pStyle w:val="71R"/>
              <w:spacing w:line="220" w:lineRule="exact"/>
              <w:rPr>
                <w:b/>
                <w:rtl/>
              </w:rPr>
            </w:pPr>
          </w:p>
        </w:tc>
        <w:tc>
          <w:tcPr>
            <w:tcW w:w="831" w:type="dxa"/>
            <w:tcBorders>
              <w:top w:val="single" w:sz="4" w:space="0" w:color="auto"/>
              <w:bottom w:val="single" w:sz="4" w:space="0" w:color="auto"/>
            </w:tcBorders>
            <w:shd w:val="clear" w:color="auto" w:fill="ECF4F5"/>
          </w:tcPr>
          <w:p w:rsidR="005D42D4" w:rsidRPr="0027392D" w:rsidP="00A15BA2" w14:paraId="4F8A443F" w14:textId="1B97BE27">
            <w:pPr>
              <w:pStyle w:val="71R"/>
              <w:spacing w:line="220" w:lineRule="exact"/>
              <w:rPr>
                <w:b/>
                <w:rtl/>
              </w:rPr>
            </w:pPr>
          </w:p>
        </w:tc>
      </w:tr>
    </w:tbl>
    <w:p w:rsidR="000857A8" w:rsidP="00AC4346" w14:paraId="394BD1F5" w14:textId="3EA57420">
      <w:pPr>
        <w:rPr>
          <w:rtl/>
        </w:rPr>
      </w:pPr>
    </w:p>
    <w:p w:rsidR="00F81EDE" w:rsidP="00C46698" w14:paraId="44926124" w14:textId="436A600D">
      <w:pPr>
        <w:bidi w:val="0"/>
        <w:spacing w:after="200" w:line="276" w:lineRule="auto"/>
        <w:rPr>
          <w:rtl/>
        </w:rPr>
      </w:pPr>
    </w:p>
    <w:p w:rsidR="000857A8" w:rsidP="000857A8" w14:paraId="4A4255C2" w14:textId="5791B177">
      <w:pPr>
        <w:pStyle w:val="759"/>
        <w:rPr>
          <w:rtl/>
        </w:rPr>
      </w:pPr>
      <w:r>
        <w:rPr>
          <w:rtl/>
        </w:rPr>
        <w:br w:type="page"/>
      </w:r>
      <w:r w:rsidRPr="00573514" w:rsidR="00C46698">
        <w:rPr>
          <w:noProof/>
        </w:rPr>
        <w:drawing>
          <wp:inline distT="0" distB="0" distL="0" distR="0">
            <wp:extent cx="4679950" cy="4011060"/>
            <wp:effectExtent l="0" t="0" r="6350" b="8890"/>
            <wp:docPr id="3788745" name="תרשים 3">
              <a:extLst xmlns:a="http://schemas.openxmlformats.org/drawingml/2006/main">
                <a:ext xmlns:a="http://schemas.openxmlformats.org/drawingml/2006/main" uri="{FF2B5EF4-FFF2-40B4-BE49-F238E27FC236}">
                  <a16:creationId xmlns:a16="http://schemas.microsoft.com/office/drawing/2014/main" id="{A486CFD4-271F-46CE-9B2E-F37CBA032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A7B4B">
        <w:rPr>
          <w:noProof/>
          <w:rtl/>
        </w:rPr>
        <mc:AlternateContent>
          <mc:Choice Requires="wps">
            <w:drawing>
              <wp:anchor distT="0" distB="0" distL="114300" distR="114300" simplePos="0" relativeHeight="251730944" behindDoc="0" locked="0" layoutInCell="1" allowOverlap="1">
                <wp:simplePos x="0" y="0"/>
                <wp:positionH relativeFrom="column">
                  <wp:posOffset>234315</wp:posOffset>
                </wp:positionH>
                <wp:positionV relativeFrom="paragraph">
                  <wp:posOffset>39370</wp:posOffset>
                </wp:positionV>
                <wp:extent cx="4436745" cy="342900"/>
                <wp:effectExtent l="0" t="0" r="1905" b="0"/>
                <wp:wrapNone/>
                <wp:docPr id="37887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42900"/>
                        </a:xfrm>
                        <a:prstGeom prst="rect">
                          <a:avLst/>
                        </a:prstGeom>
                        <a:solidFill>
                          <a:srgbClr val="F05260"/>
                        </a:solidFill>
                        <a:ln w="9525">
                          <a:noFill/>
                          <a:miter lim="800000"/>
                          <a:headEnd/>
                          <a:tailEnd/>
                        </a:ln>
                      </wps:spPr>
                      <wps:txbx>
                        <w:txbxContent>
                          <w:p w:rsidR="000857A8" w:rsidRPr="00A34CCC" w:rsidP="000857A8" w14:textId="0B51FA5A">
                            <w:pPr>
                              <w:spacing w:after="120" w:line="288" w:lineRule="auto"/>
                              <w:ind w:left="312"/>
                              <w:jc w:val="left"/>
                              <w:rPr>
                                <w:rFonts w:ascii="Tahoma" w:hAnsi="Tahoma" w:cs="Tahoma"/>
                                <w:color w:val="FFFFFF" w:themeColor="background1"/>
                                <w:sz w:val="22"/>
                                <w:szCs w:val="22"/>
                                <w:rtl/>
                              </w:rPr>
                            </w:pPr>
                            <w:r>
                              <w:rPr>
                                <w:rFonts w:ascii="Tahoma" w:hAnsi="Tahoma" w:cs="Tahoma" w:hint="cs"/>
                                <w:b/>
                                <w:bCs/>
                                <w:noProof/>
                                <w:color w:val="FFFFFF" w:themeColor="background1"/>
                                <w:sz w:val="22"/>
                                <w:szCs w:val="22"/>
                                <w:rtl/>
                              </w:rPr>
                              <w:t>שיעור מידת תיקון הליקויים שהועלו בביקורת הקודמת*</w:t>
                            </w:r>
                          </w:p>
                          <w:p w:rsidR="000857A8" w:rsidRPr="005C7ABF" w:rsidP="000857A8" w14:textId="77777777">
                            <w:pPr>
                              <w:pStyle w:val="7327"/>
                              <w:rPr>
                                <w:rtl/>
                              </w:rPr>
                            </w:pP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51" type="#_x0000_t202" style="width:349.35pt;height:27pt;margin-top:3.1pt;margin-left:18.45pt;mso-height-percent:0;mso-height-relative:margin;mso-width-percent:0;mso-width-relative:margin;mso-wrap-distance-bottom:0;mso-wrap-distance-left:9pt;mso-wrap-distance-right:9pt;mso-wrap-distance-top:0;mso-wrap-style:square;position:absolute;visibility:visible;v-text-anchor:middle;z-index:251731968" fillcolor="#f05260" stroked="f">
                <v:textbox>
                  <w:txbxContent>
                    <w:p w:rsidR="000857A8" w:rsidRPr="00A34CCC" w:rsidP="000857A8" w14:paraId="1C329367" w14:textId="0B51FA5A">
                      <w:pPr>
                        <w:spacing w:after="120" w:line="288" w:lineRule="auto"/>
                        <w:ind w:left="312"/>
                        <w:jc w:val="left"/>
                        <w:rPr>
                          <w:rFonts w:ascii="Tahoma" w:hAnsi="Tahoma" w:cs="Tahoma"/>
                          <w:color w:val="FFFFFF" w:themeColor="background1"/>
                          <w:sz w:val="22"/>
                          <w:szCs w:val="22"/>
                          <w:rtl/>
                        </w:rPr>
                      </w:pPr>
                      <w:r>
                        <w:rPr>
                          <w:rFonts w:ascii="Tahoma" w:hAnsi="Tahoma" w:cs="Tahoma" w:hint="cs"/>
                          <w:b/>
                          <w:bCs/>
                          <w:noProof/>
                          <w:color w:val="FFFFFF" w:themeColor="background1"/>
                          <w:sz w:val="22"/>
                          <w:szCs w:val="22"/>
                          <w:rtl/>
                        </w:rPr>
                        <w:t>שיעור מידת תיקון הליקויים שהועלו בביקורת הקודמת*</w:t>
                      </w:r>
                    </w:p>
                    <w:p w:rsidR="000857A8" w:rsidRPr="005C7ABF" w:rsidP="000857A8" w14:paraId="5B4D9462" w14:textId="77777777">
                      <w:pPr>
                        <w:pStyle w:val="7327"/>
                        <w:rPr>
                          <w:rtl/>
                        </w:rPr>
                      </w:pPr>
                    </w:p>
                  </w:txbxContent>
                </v:textbox>
              </v:shape>
            </w:pict>
          </mc:Fallback>
        </mc:AlternateContent>
      </w:r>
      <w:r w:rsidRPr="00BA7B4B">
        <w:rPr>
          <w:noProof/>
          <w:rtl/>
        </w:rPr>
        <w:drawing>
          <wp:anchor distT="0" distB="0" distL="114300" distR="114300" simplePos="0" relativeHeight="251729920" behindDoc="0" locked="0" layoutInCell="1" allowOverlap="1">
            <wp:simplePos x="0" y="0"/>
            <wp:positionH relativeFrom="column">
              <wp:posOffset>1270</wp:posOffset>
            </wp:positionH>
            <wp:positionV relativeFrom="paragraph">
              <wp:posOffset>-96520</wp:posOffset>
            </wp:positionV>
            <wp:extent cx="4774565" cy="704850"/>
            <wp:effectExtent l="0" t="0" r="6985" b="0"/>
            <wp:wrapNone/>
            <wp:docPr id="3788744"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4"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4565" cy="704850"/>
                    </a:xfrm>
                    <a:prstGeom prst="rect">
                      <a:avLst/>
                    </a:prstGeom>
                  </pic:spPr>
                </pic:pic>
              </a:graphicData>
            </a:graphic>
            <wp14:sizeRelH relativeFrom="margin">
              <wp14:pctWidth>0</wp14:pctWidth>
            </wp14:sizeRelH>
            <wp14:sizeRelV relativeFrom="margin">
              <wp14:pctHeight>0</wp14:pctHeight>
            </wp14:sizeRelV>
          </wp:anchor>
        </w:drawing>
      </w:r>
    </w:p>
    <w:p w:rsidR="000857A8" w14:paraId="1332CEB7" w14:textId="50C6AE5E">
      <w:pPr>
        <w:bidi w:val="0"/>
        <w:spacing w:after="200" w:line="276" w:lineRule="auto"/>
        <w:rPr>
          <w:rtl/>
        </w:rPr>
      </w:pPr>
      <w:r>
        <w:rPr>
          <w:noProof/>
          <w:rtl/>
          <w:lang w:val="he-IL"/>
        </w:rPr>
        <w:drawing>
          <wp:anchor distT="0" distB="0" distL="114300" distR="114300" simplePos="0" relativeHeight="251732992" behindDoc="0" locked="0" layoutInCell="1" allowOverlap="1">
            <wp:simplePos x="0" y="0"/>
            <wp:positionH relativeFrom="column">
              <wp:posOffset>57300</wp:posOffset>
            </wp:positionH>
            <wp:positionV relativeFrom="paragraph">
              <wp:posOffset>377825</wp:posOffset>
            </wp:positionV>
            <wp:extent cx="4678690" cy="39593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8690" cy="3959360"/>
                    </a:xfrm>
                    <a:prstGeom prst="rect">
                      <a:avLst/>
                    </a:prstGeom>
                  </pic:spPr>
                </pic:pic>
              </a:graphicData>
            </a:graphic>
          </wp:anchor>
        </w:drawing>
      </w:r>
    </w:p>
    <w:p w:rsidR="00A11CC0" w:rsidP="00A264A1" w14:paraId="1AAECAF8" w14:textId="778D908D">
      <w:pPr>
        <w:pStyle w:val="750"/>
        <w:rPr>
          <w:rtl/>
        </w:rPr>
      </w:pPr>
      <w:r w:rsidRPr="00A264A1">
        <w:rPr>
          <w:rtl/>
        </w:rPr>
        <w:t xml:space="preserve">* בתרשים מוצגים כלל הליקויים </w:t>
      </w:r>
      <w:r w:rsidRPr="00C32802" w:rsidR="00C32802">
        <w:rPr>
          <w:rtl/>
        </w:rPr>
        <w:t>שנבדקו מהדוח הקודם</w:t>
      </w:r>
      <w:r w:rsidRPr="00A264A1">
        <w:rPr>
          <w:rtl/>
        </w:rPr>
        <w:t>.</w:t>
      </w:r>
    </w:p>
    <w:p w:rsidR="00A11CC0" w14:paraId="63F5A37C" w14:textId="77777777">
      <w:pPr>
        <w:bidi w:val="0"/>
        <w:spacing w:after="200" w:line="276" w:lineRule="auto"/>
        <w:rPr>
          <w:rFonts w:ascii="Tahoma" w:hAnsi="Tahoma" w:cs="Tahoma"/>
          <w:color w:val="0D0D0D" w:themeColor="text1" w:themeTint="F2"/>
          <w:sz w:val="16"/>
          <w:szCs w:val="16"/>
          <w:rtl/>
        </w:rPr>
      </w:pPr>
      <w:r>
        <w:rPr>
          <w:rtl/>
        </w:rPr>
        <w:br w:type="page"/>
      </w:r>
    </w:p>
    <w:p w:rsidR="00C46698" w:rsidRPr="00A264A1" w:rsidP="00A264A1" w14:paraId="3AC45388" w14:textId="5C7BC187">
      <w:pPr>
        <w:pStyle w:val="750"/>
        <w:rPr>
          <w:rtl/>
        </w:rPr>
      </w:pPr>
      <w:r>
        <w:rPr>
          <w:noProof/>
          <w:rtl/>
          <w:lang w:val="he-IL"/>
        </w:rPr>
        <mc:AlternateContent>
          <mc:Choice Requires="wps">
            <w:drawing>
              <wp:anchor distT="0" distB="0" distL="114300" distR="114300" simplePos="0" relativeHeight="251736064" behindDoc="0" locked="0" layoutInCell="1" allowOverlap="1">
                <wp:simplePos x="0" y="0"/>
                <wp:positionH relativeFrom="column">
                  <wp:posOffset>-760730</wp:posOffset>
                </wp:positionH>
                <wp:positionV relativeFrom="paragraph">
                  <wp:posOffset>6958330</wp:posOffset>
                </wp:positionV>
                <wp:extent cx="6184900" cy="723900"/>
                <wp:effectExtent l="0" t="0" r="25400" b="19050"/>
                <wp:wrapNone/>
                <wp:docPr id="29"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6184900"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29" o:spid="_x0000_s1052" style="width:487pt;height:57pt;margin-top:547.9pt;margin-left:-59.9pt;mso-width-percent:0;mso-width-relative:margin;mso-wrap-distance-bottom:0;mso-wrap-distance-left:9pt;mso-wrap-distance-right:9pt;mso-wrap-distance-top:0;mso-wrap-style:square;position:absolute;visibility:visible;v-text-anchor:middle;z-index:251737088" fillcolor="white" strokecolor="white" strokeweight="1.25pt"/>
            </w:pict>
          </mc:Fallback>
        </mc:AlternateContent>
      </w:r>
      <w:r>
        <w:rPr>
          <w:noProof/>
          <w:rtl/>
          <w:lang w:val="he-IL"/>
        </w:rPr>
        <mc:AlternateContent>
          <mc:Choice Requires="wps">
            <w:drawing>
              <wp:anchor distT="0" distB="0" distL="114300" distR="114300" simplePos="0" relativeHeight="251734016" behindDoc="0" locked="0" layoutInCell="1" allowOverlap="1">
                <wp:simplePos x="0" y="0"/>
                <wp:positionH relativeFrom="column">
                  <wp:posOffset>-1389380</wp:posOffset>
                </wp:positionH>
                <wp:positionV relativeFrom="paragraph">
                  <wp:posOffset>-712470</wp:posOffset>
                </wp:positionV>
                <wp:extent cx="6623050" cy="723900"/>
                <wp:effectExtent l="0" t="0" r="25400" b="19050"/>
                <wp:wrapNone/>
                <wp:docPr id="2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6623050"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28" o:spid="_x0000_s1053" style="width:521.5pt;height:57pt;margin-top:-56.1pt;margin-left:-109.4pt;mso-width-percent:0;mso-width-relative:margin;mso-wrap-distance-bottom:0;mso-wrap-distance-left:9pt;mso-wrap-distance-right:9pt;mso-wrap-distance-top:0;mso-wrap-style:square;position:absolute;visibility:visible;v-text-anchor:middle;z-index:251735040" fillcolor="white" strokecolor="white" strokeweight="1.25pt"/>
            </w:pict>
          </mc:Fallback>
        </mc:AlternateContent>
      </w:r>
    </w:p>
    <w:sectPr w:rsidSect="00F35B8C">
      <w:headerReference w:type="default" r:id="rId3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A10601" w14:paraId="242ADCB3" w14:textId="77777777">
      <w:pPr>
        <w:spacing w:line="240" w:lineRule="auto"/>
      </w:pPr>
      <w:r>
        <w:separator/>
      </w:r>
    </w:p>
    <w:p w:rsidR="00A10601" w14:paraId="1B618C5C" w14:textId="77777777"/>
    <w:p w:rsidR="00A10601" w14:paraId="08525AED" w14:textId="77777777"/>
    <w:p w:rsidR="00A10601" w14:paraId="5A76DDBC" w14:textId="77777777"/>
  </w:endnote>
  <w:endnote w:type="continuationSeparator" w:id="1">
    <w:p w:rsidR="00A10601" w14:paraId="3BDB1D91" w14:textId="77777777">
      <w:pPr>
        <w:spacing w:line="240" w:lineRule="auto"/>
      </w:pPr>
      <w:r>
        <w:continuationSeparator/>
      </w:r>
    </w:p>
    <w:p w:rsidR="00A10601" w14:paraId="600A236F" w14:textId="77777777"/>
    <w:p w:rsidR="00A10601" w14:paraId="7FFE3868" w14:textId="77777777"/>
    <w:p w:rsidR="00A10601" w14:paraId="56C6DAE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 Cen MT">
    <w:altName w:val="Calibri"/>
    <w:panose1 w:val="020B0602020104020603"/>
    <w:charset w:val="00"/>
    <w:family w:val="swiss"/>
    <w:pitch w:val="variable"/>
    <w:sig w:usb0="00000007" w:usb1="00000000" w:usb2="00000000" w:usb3="00000000" w:csb0="00000003" w:csb1="00000000"/>
  </w:font>
  <w:font w:name="David">
    <w:panose1 w:val="020E05020604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Tw Cen MT Condensed">
    <w:panose1 w:val="020B0606020104020203"/>
    <w:charset w:val="00"/>
    <w:family w:val="swiss"/>
    <w:pitch w:val="variable"/>
    <w:sig w:usb0="00000007" w:usb1="00000000" w:usb2="00000000" w:usb3="00000000" w:csb0="00000003" w:csb1="00000000"/>
  </w:font>
  <w:font w:name="Levenim MT">
    <w:panose1 w:val="00000000000000000000"/>
    <w:charset w:val="B1"/>
    <w:family w:val="auto"/>
    <w:pitch w:val="variable"/>
    <w:sig w:usb0="00000803" w:usb1="00000000" w:usb2="00000000" w:usb3="00000000" w:csb0="00000021" w:csb1="00000000"/>
  </w:font>
  <w:font w:name="Almoni ML Regular AAA">
    <w:altName w:val="Arial"/>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auto"/>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7314E402"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037C10C0" w14:textId="77777777">
    <w:pPr>
      <w:pStyle w:val="Footer"/>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7761496C" w14:textId="3FF32544">
    <w:pPr>
      <w:pStyle w:val="Footer"/>
      <w:spacing w:after="120" w:line="312" w:lineRule="auto"/>
      <w:ind w:left="-510"/>
      <w:jc w:val="left"/>
      <w:rPr>
        <w:rFonts w:ascii="Tahoma" w:hAnsi="Tahoma" w:cs="Tahoma"/>
        <w:sz w:val="18"/>
        <w:szCs w:val="18"/>
        <w:rtl/>
      </w:rPr>
    </w:pPr>
  </w:p>
  <w:p w:rsidR="004E71DD" w:rsidP="004F5417" w14:paraId="6A4AA1EE" w14:textId="28113E6F">
    <w:pPr>
      <w:pStyle w:val="Footer"/>
      <w:tabs>
        <w:tab w:val="left" w:pos="488"/>
        <w:tab w:val="left" w:pos="522"/>
        <w:tab w:val="clear" w:pos="4153"/>
        <w:tab w:val="clear" w:pos="8306"/>
      </w:tabs>
      <w:spacing w:after="30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4C3309D7" w14:textId="519A8E3D">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10601" w:rsidP="00E7235E" w14:paraId="1DC4B056" w14:textId="77777777">
      <w:pPr>
        <w:spacing w:line="240" w:lineRule="auto"/>
      </w:pPr>
      <w:r>
        <w:separator/>
      </w:r>
    </w:p>
  </w:footnote>
  <w:footnote w:type="continuationSeparator" w:id="1">
    <w:p w:rsidR="00A10601" w:rsidP="00C23CC9" w14:paraId="2851ED46" w14:textId="77777777">
      <w:pPr>
        <w:spacing w:line="240" w:lineRule="auto"/>
      </w:pPr>
      <w:r>
        <w:continuationSeparator/>
      </w:r>
    </w:p>
    <w:p w:rsidR="00A10601" w14:paraId="6A084BDA" w14:textId="77777777"/>
    <w:p w:rsidR="00A10601" w14:paraId="5B52D797" w14:textId="77777777"/>
    <w:p w:rsidR="00A10601" w14:paraId="14259D31" w14:textId="77777777"/>
  </w:footnote>
  <w:footnote w:id="2">
    <w:p w:rsidR="00154FB8" w:rsidRPr="00154FB8" w:rsidP="00154FB8" w14:paraId="10BB4774" w14:textId="77777777">
      <w:pPr>
        <w:pStyle w:val="754"/>
        <w:rPr>
          <w:rtl/>
        </w:rPr>
      </w:pPr>
      <w:r w:rsidRPr="00154FB8">
        <w:rPr>
          <w:rStyle w:val="FootnoteReference1"/>
          <w:vertAlign w:val="baseline"/>
        </w:rPr>
        <w:footnoteRef/>
      </w:r>
      <w:r w:rsidRPr="00154FB8">
        <w:rPr>
          <w:rtl/>
        </w:rPr>
        <w:t xml:space="preserve"> </w:t>
      </w:r>
      <w:r w:rsidRPr="00154FB8">
        <w:rPr>
          <w:rtl/>
        </w:rPr>
        <w:tab/>
        <w:t>מתוך מסמך מדיניות בנושא "התמוטטות המצוק בחופי ישראל - דרכים להתמודדות, והמשמעויות הכלכליות, הציבוריות והסביבתיות", המשרד להגנת הסביבה ומכון ירושלים לחקר ישראל (אפריל 2010).</w:t>
      </w:r>
    </w:p>
  </w:footnote>
  <w:footnote w:id="3">
    <w:p w:rsidR="00154FB8" w:rsidRPr="00154FB8" w:rsidP="00154FB8" w14:paraId="7BB0E7BB" w14:textId="77777777">
      <w:pPr>
        <w:pStyle w:val="754"/>
        <w:rPr>
          <w:rtl/>
        </w:rPr>
      </w:pPr>
      <w:r w:rsidRPr="00154FB8">
        <w:rPr>
          <w:rStyle w:val="FootnoteReference1"/>
          <w:vertAlign w:val="baseline"/>
        </w:rPr>
        <w:footnoteRef/>
      </w:r>
      <w:r w:rsidRPr="00154FB8">
        <w:rPr>
          <w:rtl/>
        </w:rPr>
        <w:t xml:space="preserve"> </w:t>
      </w:r>
      <w:r w:rsidRPr="00154FB8">
        <w:rPr>
          <w:rtl/>
        </w:rPr>
        <w:tab/>
        <w:t xml:space="preserve">מבקר המדינה, </w:t>
      </w:r>
      <w:r w:rsidRPr="00154FB8">
        <w:rPr>
          <w:b/>
          <w:bCs/>
          <w:rtl/>
        </w:rPr>
        <w:t>דוחות על הביקורת בשלטון המקומי לשנת 2009</w:t>
      </w:r>
      <w:r w:rsidRPr="00154FB8">
        <w:rPr>
          <w:rtl/>
        </w:rPr>
        <w:t xml:space="preserve"> (2010), בפרק "התמודדותן של רשויות השלטון עם תהליכי הרס המצוק החופי", עמ' 345 - 408; ומבקר המדינה, </w:t>
      </w:r>
      <w:r w:rsidRPr="00154FB8">
        <w:rPr>
          <w:b/>
          <w:bCs/>
          <w:rtl/>
        </w:rPr>
        <w:t>דוחות על הביקורת בשלטון המקומי לשנת 2020</w:t>
      </w:r>
      <w:r w:rsidRPr="00154FB8">
        <w:rPr>
          <w:rtl/>
        </w:rPr>
        <w:t xml:space="preserve"> (2020), "התמודדותן של רשויות השלטון עם תהליכי הרס המצוק החופי".</w:t>
      </w:r>
    </w:p>
  </w:footnote>
  <w:footnote w:id="4">
    <w:p w:rsidR="00903BD8" w:rsidRPr="001F0511" w:rsidP="001F0511" w14:paraId="58A04B6B" w14:textId="77777777">
      <w:pPr>
        <w:pStyle w:val="754"/>
        <w:rPr>
          <w:rtl/>
        </w:rPr>
      </w:pPr>
      <w:r w:rsidRPr="001F0511">
        <w:rPr>
          <w:rStyle w:val="FootnoteReference1"/>
          <w:vertAlign w:val="baseline"/>
        </w:rPr>
        <w:footnoteRef/>
      </w:r>
      <w:r w:rsidRPr="001F0511">
        <w:rPr>
          <w:rtl/>
        </w:rPr>
        <w:t xml:space="preserve"> </w:t>
      </w:r>
      <w:r w:rsidRPr="001F0511">
        <w:rPr>
          <w:rtl/>
        </w:rPr>
        <w:tab/>
        <w:t xml:space="preserve">הרשויות </w:t>
      </w:r>
      <w:r w:rsidRPr="001F0511">
        <w:rPr>
          <w:rFonts w:hint="cs"/>
          <w:rtl/>
        </w:rPr>
        <w:t>ש</w:t>
      </w:r>
      <w:r w:rsidRPr="001F0511">
        <w:rPr>
          <w:rtl/>
        </w:rPr>
        <w:t>בהן בוצעו הגנות יבשתיות או ימיות חלקיות: אשקלון, בת</w:t>
      </w:r>
      <w:r w:rsidRPr="001F0511">
        <w:rPr>
          <w:rFonts w:hint="cs"/>
          <w:rtl/>
        </w:rPr>
        <w:t xml:space="preserve"> </w:t>
      </w:r>
      <w:r w:rsidRPr="001F0511">
        <w:rPr>
          <w:rtl/>
        </w:rPr>
        <w:t>ים, נתניה, תל אביב-יפו ו</w:t>
      </w:r>
      <w:r w:rsidRPr="001F0511">
        <w:rPr>
          <w:rFonts w:hint="cs"/>
          <w:rtl/>
        </w:rPr>
        <w:t>ה</w:t>
      </w:r>
      <w:r w:rsidRPr="001F0511">
        <w:rPr>
          <w:rtl/>
        </w:rPr>
        <w:t xml:space="preserve">מועצה </w:t>
      </w:r>
      <w:r w:rsidRPr="001F0511">
        <w:rPr>
          <w:rFonts w:hint="cs"/>
          <w:rtl/>
        </w:rPr>
        <w:t>ה</w:t>
      </w:r>
      <w:r w:rsidRPr="001F0511">
        <w:rPr>
          <w:rtl/>
        </w:rPr>
        <w:t>אזורית עמק חפר. ברשויות חדרה, הרצלייה וגן רווה לא בוצעו הגנות כלל.</w:t>
      </w:r>
    </w:p>
  </w:footnote>
  <w:footnote w:id="5">
    <w:p w:rsidR="00903BD8" w:rsidRPr="001F0511" w:rsidP="001F0511" w14:paraId="20A79BFF" w14:textId="77777777">
      <w:pPr>
        <w:pStyle w:val="754"/>
        <w:rPr>
          <w:rtl/>
        </w:rPr>
      </w:pPr>
      <w:r w:rsidRPr="001F0511">
        <w:rPr>
          <w:rStyle w:val="FootnoteReference1"/>
          <w:vertAlign w:val="baseline"/>
        </w:rPr>
        <w:footnoteRef/>
      </w:r>
      <w:r w:rsidRPr="001F0511">
        <w:rPr>
          <w:rtl/>
        </w:rPr>
        <w:t xml:space="preserve"> </w:t>
      </w:r>
      <w:r w:rsidRPr="001F0511">
        <w:rPr>
          <w:rtl/>
        </w:rPr>
        <w:tab/>
        <w:t>תאי השטח הם 39 קטעי מצוק, שהוגדרו בת</w:t>
      </w:r>
      <w:r w:rsidRPr="001F0511">
        <w:rPr>
          <w:rFonts w:hint="cs"/>
          <w:rtl/>
        </w:rPr>
        <w:t>ו</w:t>
      </w:r>
      <w:r w:rsidRPr="001F0511">
        <w:rPr>
          <w:rtl/>
        </w:rPr>
        <w:t>כנית מתאר ארצית 9/13/א - ת</w:t>
      </w:r>
      <w:r w:rsidRPr="001F0511">
        <w:rPr>
          <w:rFonts w:hint="cs"/>
          <w:rtl/>
        </w:rPr>
        <w:t>ו</w:t>
      </w:r>
      <w:r w:rsidRPr="001F0511">
        <w:rPr>
          <w:rtl/>
        </w:rPr>
        <w:t>כנית מתאר מפורטת למצוק החוף לאורך הים התיכון כקטעי מצוק הנזקקים לטיפול לפי דרגת דחיפות.</w:t>
      </w:r>
    </w:p>
  </w:footnote>
  <w:footnote w:id="6">
    <w:p w:rsidR="00732BD8" w:rsidRPr="001F0511" w:rsidP="001F0511" w14:paraId="7E0321C9" w14:textId="77777777">
      <w:pPr>
        <w:pStyle w:val="754"/>
        <w:rPr>
          <w:rtl/>
        </w:rPr>
      </w:pPr>
      <w:r w:rsidRPr="001F0511">
        <w:rPr>
          <w:rStyle w:val="FootnoteReference1"/>
          <w:vertAlign w:val="baseline"/>
        </w:rPr>
        <w:footnoteRef/>
      </w:r>
      <w:r w:rsidRPr="001F0511">
        <w:rPr>
          <w:rtl/>
        </w:rPr>
        <w:t xml:space="preserve"> </w:t>
      </w:r>
      <w:r w:rsidRPr="001F0511">
        <w:rPr>
          <w:rtl/>
        </w:rPr>
        <w:tab/>
        <w:t>עיריות חדרה ונתניה ו</w:t>
      </w:r>
      <w:r w:rsidRPr="001F0511">
        <w:rPr>
          <w:rFonts w:hint="cs"/>
          <w:rtl/>
        </w:rPr>
        <w:t>ה</w:t>
      </w:r>
      <w:r w:rsidRPr="001F0511">
        <w:rPr>
          <w:rtl/>
        </w:rPr>
        <w:t xml:space="preserve">מועצות </w:t>
      </w:r>
      <w:r w:rsidRPr="001F0511">
        <w:rPr>
          <w:rFonts w:hint="cs"/>
          <w:rtl/>
        </w:rPr>
        <w:t>ה</w:t>
      </w:r>
      <w:r w:rsidRPr="001F0511">
        <w:rPr>
          <w:rtl/>
        </w:rPr>
        <w:t>אזוריות חוף השרון וגן רווה. עיריות אשקלון, בת</w:t>
      </w:r>
      <w:r w:rsidRPr="001F0511">
        <w:rPr>
          <w:rFonts w:hint="cs"/>
          <w:rtl/>
        </w:rPr>
        <w:t xml:space="preserve"> </w:t>
      </w:r>
      <w:r w:rsidRPr="001F0511">
        <w:rPr>
          <w:rtl/>
        </w:rPr>
        <w:t>ים והרצלייה ניצלו את התקציב באופן חלקי. עיריית תל אביב-יפו ו</w:t>
      </w:r>
      <w:r w:rsidRPr="001F0511">
        <w:rPr>
          <w:rFonts w:hint="cs"/>
          <w:rtl/>
        </w:rPr>
        <w:t>ה</w:t>
      </w:r>
      <w:r w:rsidRPr="001F0511">
        <w:rPr>
          <w:rtl/>
        </w:rPr>
        <w:t xml:space="preserve">מועצה </w:t>
      </w:r>
      <w:r w:rsidRPr="001F0511">
        <w:rPr>
          <w:rFonts w:hint="cs"/>
          <w:rtl/>
        </w:rPr>
        <w:t>ה</w:t>
      </w:r>
      <w:r w:rsidRPr="001F0511">
        <w:rPr>
          <w:rtl/>
        </w:rPr>
        <w:t>אזורית עמק חפר ניצלו את התקציב כמעט במלואו.</w:t>
      </w:r>
    </w:p>
  </w:footnote>
  <w:footnote w:id="7">
    <w:p w:rsidR="00914243" w:rsidRPr="00914243" w:rsidP="00914243" w14:paraId="151A1D01" w14:textId="77777777">
      <w:pPr>
        <w:pStyle w:val="754"/>
        <w:rPr>
          <w:rtl/>
        </w:rPr>
      </w:pPr>
      <w:r w:rsidRPr="00914243">
        <w:rPr>
          <w:rStyle w:val="FootnoteReference1"/>
          <w:vertAlign w:val="baseline"/>
        </w:rPr>
        <w:footnoteRef/>
      </w:r>
      <w:r w:rsidRPr="00914243">
        <w:rPr>
          <w:rtl/>
        </w:rPr>
        <w:t xml:space="preserve"> </w:t>
      </w:r>
      <w:r w:rsidRPr="00914243">
        <w:rPr>
          <w:rtl/>
        </w:rPr>
        <w:tab/>
        <w:t>הרשות פועלת מתוקף חוק גנים לאומיים, שמורות טבע, אתרים לאומיים ואתרי הנצחה, התשנ"ח-1998.</w:t>
      </w:r>
    </w:p>
  </w:footnote>
  <w:footnote w:id="8">
    <w:p w:rsidR="00914243" w:rsidRPr="00914243" w:rsidP="00914243" w14:paraId="25D76996" w14:textId="77777777">
      <w:pPr>
        <w:pStyle w:val="754"/>
      </w:pPr>
      <w:r w:rsidRPr="00914243">
        <w:rPr>
          <w:rStyle w:val="FootnoteReference1"/>
          <w:vertAlign w:val="baseline"/>
        </w:rPr>
        <w:footnoteRef/>
      </w:r>
      <w:r w:rsidRPr="00914243">
        <w:rPr>
          <w:rtl/>
        </w:rPr>
        <w:t xml:space="preserve"> </w:t>
      </w:r>
      <w:r w:rsidRPr="00914243">
        <w:rPr>
          <w:rtl/>
        </w:rPr>
        <w:tab/>
        <w:t>פורום המייצג את כלל רשויות חוף הים בישראל. מטרת הפורום לרשת בין רשויות החוף בישראל, לקידום שיתוף פעולה ודיון בסוגיות עקרוניות ומעשיות המעסיקות את רשויות החוף. הפורום משמש בין היתר ללמידת עמיתים ולפיתוח תכנים ומייצג את רשויות החוף בפני מקבלי החלטות ורגולטורים. הפורום פועל תחת מרכז השלטון המקומי ומרכז השלטון האזורי ובחסות המכון לשלטון מקומי באוניברסיטת תל אביב.</w:t>
      </w:r>
    </w:p>
  </w:footnote>
  <w:footnote w:id="9">
    <w:p w:rsidR="00BA162E" w:rsidRPr="00BC4492" w:rsidP="00BC4492" w14:paraId="3A35B0FB" w14:textId="77777777">
      <w:pPr>
        <w:pStyle w:val="754"/>
      </w:pPr>
      <w:r w:rsidRPr="00BC4492">
        <w:rPr>
          <w:rStyle w:val="FootnoteReference1"/>
          <w:vertAlign w:val="baseline"/>
        </w:rPr>
        <w:footnoteRef/>
      </w:r>
      <w:r w:rsidRPr="00BC4492">
        <w:rPr>
          <w:rtl/>
        </w:rPr>
        <w:t xml:space="preserve"> </w:t>
      </w:r>
      <w:r w:rsidRPr="00BC4492">
        <w:rPr>
          <w:rtl/>
        </w:rPr>
        <w:tab/>
        <w:t>עיריות חדרה ונתניה ומועצות אזוריות חוף השרון וגן רווה.</w:t>
      </w:r>
    </w:p>
  </w:footnote>
  <w:footnote w:id="10">
    <w:p w:rsidR="00BC4492" w:rsidRPr="00BC4492" w:rsidP="00BC4492" w14:paraId="5567081D" w14:textId="6A99623F">
      <w:pPr>
        <w:pStyle w:val="754"/>
        <w:spacing w:line="200" w:lineRule="exact"/>
      </w:pPr>
      <w:r w:rsidRPr="00BC4492">
        <w:rPr>
          <w:rStyle w:val="FootnoteReference1"/>
          <w:vertAlign w:val="baseline"/>
        </w:rPr>
        <w:footnoteRef/>
      </w:r>
      <w:r w:rsidRPr="00BC4492">
        <w:rPr>
          <w:rtl/>
        </w:rPr>
        <w:t xml:space="preserve"> </w:t>
      </w:r>
      <w:r w:rsidRPr="00BC4492">
        <w:rPr>
          <w:rtl/>
        </w:rPr>
        <w:tab/>
        <w:t xml:space="preserve">מוסד תכנון ארצי שהוקם מתוקף חוק שמירת הסביבה החופית התשס"ד-2004 והתוספת השנייה לחוק התכנון והבנייה, </w:t>
      </w:r>
      <w:r w:rsidRPr="00BC4492">
        <w:rPr>
          <w:rFonts w:hint="eastAsia"/>
          <w:rtl/>
        </w:rPr>
        <w:t>התשכ</w:t>
      </w:r>
      <w:r w:rsidRPr="00BC4492">
        <w:rPr>
          <w:rtl/>
        </w:rPr>
        <w:t>"ה</w:t>
      </w:r>
      <w:r w:rsidR="00BF21FD">
        <w:rPr>
          <w:rFonts w:hint="cs"/>
          <w:rtl/>
        </w:rPr>
        <w:t>-</w:t>
      </w:r>
      <w:r w:rsidRPr="00BC4492">
        <w:rPr>
          <w:rtl/>
        </w:rPr>
        <w:t xml:space="preserve">1965. הוועדה מופקדת על שמירה ואיזון בין שיקולי התכנון לבין הערך של השמירה על הסביבה החופית. </w:t>
      </w:r>
      <w:r w:rsidRPr="00BC4492">
        <w:rPr>
          <w:rFonts w:hint="eastAsia"/>
          <w:rtl/>
        </w:rPr>
        <w:t>בחוק</w:t>
      </w:r>
      <w:r w:rsidRPr="00BC4492">
        <w:rPr>
          <w:rtl/>
        </w:rPr>
        <w:t xml:space="preserve"> שמירת הסביבה החופית מוגדרת סביבה חופית "</w:t>
      </w:r>
      <w:r w:rsidRPr="00BC4492">
        <w:rPr>
          <w:rFonts w:hint="eastAsia"/>
          <w:rtl/>
        </w:rPr>
        <w:t>תחום</w:t>
      </w:r>
      <w:r w:rsidRPr="00BC4492">
        <w:rPr>
          <w:rtl/>
        </w:rPr>
        <w:t xml:space="preserve"> </w:t>
      </w:r>
      <w:r w:rsidRPr="00BC4492">
        <w:rPr>
          <w:rFonts w:hint="eastAsia"/>
          <w:rtl/>
        </w:rPr>
        <w:t>של</w:t>
      </w:r>
      <w:r w:rsidRPr="00BC4492">
        <w:rPr>
          <w:rtl/>
        </w:rPr>
        <w:t xml:space="preserve"> 300 </w:t>
      </w:r>
      <w:r w:rsidRPr="00BC4492">
        <w:rPr>
          <w:rFonts w:hint="eastAsia"/>
          <w:rtl/>
        </w:rPr>
        <w:t>מטר</w:t>
      </w:r>
      <w:r w:rsidRPr="00BC4492">
        <w:rPr>
          <w:rtl/>
        </w:rPr>
        <w:t xml:space="preserve"> </w:t>
      </w:r>
      <w:r w:rsidRPr="00BC4492">
        <w:rPr>
          <w:rFonts w:hint="eastAsia"/>
          <w:rtl/>
        </w:rPr>
        <w:t>שיימדד</w:t>
      </w:r>
      <w:r w:rsidRPr="00BC4492">
        <w:rPr>
          <w:rtl/>
        </w:rPr>
        <w:t xml:space="preserve"> </w:t>
      </w:r>
      <w:r w:rsidRPr="00BC4492">
        <w:rPr>
          <w:rFonts w:hint="eastAsia"/>
          <w:rtl/>
        </w:rPr>
        <w:t>מקו</w:t>
      </w:r>
      <w:r w:rsidRPr="00BC4492">
        <w:rPr>
          <w:rtl/>
        </w:rPr>
        <w:t xml:space="preserve"> </w:t>
      </w:r>
      <w:r w:rsidRPr="00BC4492">
        <w:rPr>
          <w:rFonts w:hint="eastAsia"/>
          <w:rtl/>
        </w:rPr>
        <w:t>החוף</w:t>
      </w:r>
      <w:r w:rsidRPr="00BC4492">
        <w:rPr>
          <w:rtl/>
        </w:rPr>
        <w:t xml:space="preserve"> </w:t>
      </w:r>
      <w:r w:rsidRPr="00BC4492">
        <w:rPr>
          <w:rFonts w:hint="eastAsia"/>
          <w:rtl/>
        </w:rPr>
        <w:t>של</w:t>
      </w:r>
      <w:r w:rsidRPr="00BC4492">
        <w:rPr>
          <w:rtl/>
        </w:rPr>
        <w:t xml:space="preserve"> </w:t>
      </w:r>
      <w:r w:rsidRPr="00BC4492">
        <w:rPr>
          <w:rFonts w:hint="eastAsia"/>
          <w:rtl/>
        </w:rPr>
        <w:t>הים</w:t>
      </w:r>
      <w:r w:rsidRPr="00BC4492">
        <w:rPr>
          <w:rtl/>
        </w:rPr>
        <w:t xml:space="preserve"> </w:t>
      </w:r>
      <w:r w:rsidRPr="00BC4492">
        <w:rPr>
          <w:rFonts w:hint="eastAsia"/>
          <w:rtl/>
        </w:rPr>
        <w:t>התיכון</w:t>
      </w:r>
      <w:r w:rsidRPr="00BC4492">
        <w:rPr>
          <w:rtl/>
        </w:rPr>
        <w:t xml:space="preserve"> </w:t>
      </w:r>
      <w:r w:rsidRPr="00BC4492">
        <w:rPr>
          <w:rFonts w:hint="eastAsia"/>
          <w:rtl/>
        </w:rPr>
        <w:t>מקו</w:t>
      </w:r>
      <w:r w:rsidRPr="00BC4492">
        <w:rPr>
          <w:rtl/>
        </w:rPr>
        <w:t xml:space="preserve"> </w:t>
      </w:r>
      <w:r w:rsidRPr="00BC4492">
        <w:rPr>
          <w:rFonts w:hint="eastAsia"/>
          <w:rtl/>
        </w:rPr>
        <w:t>החוף</w:t>
      </w:r>
      <w:r w:rsidRPr="00BC4492">
        <w:rPr>
          <w:rtl/>
        </w:rPr>
        <w:t xml:space="preserve"> </w:t>
      </w:r>
      <w:r w:rsidRPr="00BC4492">
        <w:rPr>
          <w:rFonts w:hint="eastAsia"/>
          <w:rtl/>
        </w:rPr>
        <w:t>של</w:t>
      </w:r>
      <w:r w:rsidRPr="00BC4492">
        <w:rPr>
          <w:rtl/>
        </w:rPr>
        <w:t xml:space="preserve"> </w:t>
      </w:r>
      <w:r w:rsidRPr="00BC4492">
        <w:rPr>
          <w:rFonts w:hint="eastAsia"/>
          <w:rtl/>
        </w:rPr>
        <w:t>ים</w:t>
      </w:r>
      <w:r w:rsidRPr="00BC4492">
        <w:rPr>
          <w:rtl/>
        </w:rPr>
        <w:t xml:space="preserve"> </w:t>
      </w:r>
      <w:r w:rsidRPr="00BC4492">
        <w:rPr>
          <w:rFonts w:hint="eastAsia"/>
          <w:rtl/>
        </w:rPr>
        <w:t>סוף</w:t>
      </w:r>
      <w:r w:rsidRPr="00BC4492">
        <w:rPr>
          <w:rtl/>
        </w:rPr>
        <w:t xml:space="preserve"> </w:t>
      </w:r>
      <w:r w:rsidRPr="00BC4492">
        <w:rPr>
          <w:rFonts w:hint="eastAsia"/>
          <w:rtl/>
        </w:rPr>
        <w:t>או</w:t>
      </w:r>
      <w:r w:rsidRPr="00BC4492">
        <w:rPr>
          <w:rtl/>
        </w:rPr>
        <w:t xml:space="preserve"> </w:t>
      </w:r>
      <w:r w:rsidRPr="00BC4492">
        <w:rPr>
          <w:rFonts w:hint="eastAsia"/>
          <w:rtl/>
        </w:rPr>
        <w:t>מקו</w:t>
      </w:r>
      <w:r w:rsidRPr="00BC4492">
        <w:rPr>
          <w:rtl/>
        </w:rPr>
        <w:t xml:space="preserve"> </w:t>
      </w:r>
      <w:r w:rsidRPr="00BC4492">
        <w:rPr>
          <w:rFonts w:hint="eastAsia"/>
          <w:rtl/>
        </w:rPr>
        <w:t>החוף</w:t>
      </w:r>
      <w:r w:rsidRPr="00BC4492">
        <w:rPr>
          <w:rtl/>
        </w:rPr>
        <w:t xml:space="preserve"> </w:t>
      </w:r>
      <w:r w:rsidRPr="00BC4492">
        <w:rPr>
          <w:rFonts w:hint="eastAsia"/>
          <w:rtl/>
        </w:rPr>
        <w:t>של</w:t>
      </w:r>
      <w:r w:rsidRPr="00BC4492">
        <w:rPr>
          <w:rtl/>
        </w:rPr>
        <w:t xml:space="preserve"> </w:t>
      </w:r>
      <w:r w:rsidRPr="00BC4492">
        <w:rPr>
          <w:rFonts w:hint="eastAsia"/>
          <w:rtl/>
        </w:rPr>
        <w:t>ים</w:t>
      </w:r>
      <w:r w:rsidRPr="00BC4492">
        <w:rPr>
          <w:rtl/>
        </w:rPr>
        <w:t xml:space="preserve"> </w:t>
      </w:r>
      <w:r w:rsidRPr="00BC4492">
        <w:rPr>
          <w:rFonts w:hint="eastAsia"/>
          <w:rtl/>
        </w:rPr>
        <w:t>כנרת</w:t>
      </w:r>
      <w:r w:rsidRPr="00BC4492">
        <w:rPr>
          <w:rtl/>
        </w:rPr>
        <w:t xml:space="preserve">, </w:t>
      </w:r>
      <w:r w:rsidRPr="00BC4492">
        <w:rPr>
          <w:rFonts w:hint="eastAsia"/>
          <w:rtl/>
        </w:rPr>
        <w:t>לפי</w:t>
      </w:r>
      <w:r w:rsidRPr="00BC4492">
        <w:rPr>
          <w:rtl/>
        </w:rPr>
        <w:t xml:space="preserve"> </w:t>
      </w:r>
      <w:r w:rsidRPr="00BC4492">
        <w:rPr>
          <w:rFonts w:hint="eastAsia"/>
          <w:rtl/>
        </w:rPr>
        <w:t>העניין</w:t>
      </w:r>
      <w:r w:rsidRPr="00BC4492">
        <w:rPr>
          <w:rtl/>
        </w:rPr>
        <w:t xml:space="preserve">, </w:t>
      </w:r>
      <w:r w:rsidRPr="00BC4492">
        <w:rPr>
          <w:rFonts w:hint="eastAsia"/>
          <w:rtl/>
        </w:rPr>
        <w:t>לכיוון</w:t>
      </w:r>
      <w:r w:rsidRPr="00BC4492">
        <w:rPr>
          <w:rtl/>
        </w:rPr>
        <w:t xml:space="preserve"> </w:t>
      </w:r>
      <w:r w:rsidRPr="00BC4492">
        <w:rPr>
          <w:rFonts w:hint="eastAsia"/>
          <w:rtl/>
        </w:rPr>
        <w:t>היבשה</w:t>
      </w:r>
      <w:r w:rsidRPr="00BC4492">
        <w:rPr>
          <w:rtl/>
        </w:rPr>
        <w:t xml:space="preserve"> </w:t>
      </w:r>
      <w:r w:rsidRPr="00BC4492">
        <w:rPr>
          <w:rFonts w:hint="eastAsia"/>
          <w:rtl/>
        </w:rPr>
        <w:t>וכן</w:t>
      </w:r>
      <w:r w:rsidRPr="00BC4492">
        <w:rPr>
          <w:rtl/>
        </w:rPr>
        <w:t xml:space="preserve"> </w:t>
      </w:r>
      <w:r w:rsidRPr="00BC4492">
        <w:rPr>
          <w:rFonts w:hint="eastAsia"/>
          <w:rtl/>
        </w:rPr>
        <w:t>התחום</w:t>
      </w:r>
      <w:r w:rsidRPr="00BC4492">
        <w:rPr>
          <w:rtl/>
        </w:rPr>
        <w:t xml:space="preserve"> </w:t>
      </w:r>
      <w:r w:rsidRPr="00BC4492">
        <w:rPr>
          <w:rFonts w:hint="eastAsia"/>
          <w:rtl/>
        </w:rPr>
        <w:t>שיימדד</w:t>
      </w:r>
      <w:r w:rsidRPr="00BC4492">
        <w:rPr>
          <w:rtl/>
        </w:rPr>
        <w:t xml:space="preserve"> </w:t>
      </w:r>
      <w:r w:rsidRPr="00BC4492">
        <w:rPr>
          <w:rFonts w:hint="eastAsia"/>
          <w:rtl/>
        </w:rPr>
        <w:t>מקו</w:t>
      </w:r>
      <w:r w:rsidRPr="00BC4492">
        <w:rPr>
          <w:rtl/>
        </w:rPr>
        <w:t xml:space="preserve"> </w:t>
      </w:r>
      <w:r w:rsidRPr="00BC4492">
        <w:rPr>
          <w:rFonts w:hint="eastAsia"/>
          <w:rtl/>
        </w:rPr>
        <w:t>החוף</w:t>
      </w:r>
      <w:r w:rsidRPr="00BC4492">
        <w:rPr>
          <w:rtl/>
        </w:rPr>
        <w:t xml:space="preserve"> </w:t>
      </w:r>
      <w:r w:rsidRPr="00BC4492">
        <w:rPr>
          <w:rFonts w:hint="eastAsia"/>
          <w:rtl/>
        </w:rPr>
        <w:t>של</w:t>
      </w:r>
      <w:r w:rsidRPr="00BC4492">
        <w:rPr>
          <w:rtl/>
        </w:rPr>
        <w:t xml:space="preserve"> </w:t>
      </w:r>
      <w:r w:rsidRPr="00BC4492">
        <w:rPr>
          <w:rFonts w:hint="eastAsia"/>
          <w:rtl/>
        </w:rPr>
        <w:t>הים</w:t>
      </w:r>
      <w:r w:rsidRPr="00BC4492">
        <w:rPr>
          <w:rtl/>
        </w:rPr>
        <w:t xml:space="preserve"> </w:t>
      </w:r>
      <w:r w:rsidRPr="00BC4492">
        <w:rPr>
          <w:rFonts w:hint="eastAsia"/>
          <w:rtl/>
        </w:rPr>
        <w:t>התיכון</w:t>
      </w:r>
      <w:r w:rsidRPr="00BC4492">
        <w:rPr>
          <w:rtl/>
        </w:rPr>
        <w:t xml:space="preserve"> </w:t>
      </w:r>
      <w:r w:rsidRPr="00BC4492">
        <w:rPr>
          <w:rFonts w:hint="eastAsia"/>
          <w:rtl/>
        </w:rPr>
        <w:t>או</w:t>
      </w:r>
      <w:r w:rsidRPr="00BC4492">
        <w:rPr>
          <w:rtl/>
        </w:rPr>
        <w:t xml:space="preserve"> </w:t>
      </w:r>
      <w:r w:rsidRPr="00BC4492">
        <w:rPr>
          <w:rFonts w:hint="eastAsia"/>
          <w:rtl/>
        </w:rPr>
        <w:t>מקו</w:t>
      </w:r>
      <w:r w:rsidRPr="00BC4492">
        <w:rPr>
          <w:rtl/>
        </w:rPr>
        <w:t xml:space="preserve"> </w:t>
      </w:r>
      <w:r w:rsidRPr="00BC4492">
        <w:rPr>
          <w:rFonts w:hint="eastAsia"/>
          <w:rtl/>
        </w:rPr>
        <w:t>החוף</w:t>
      </w:r>
      <w:r w:rsidRPr="00BC4492">
        <w:rPr>
          <w:rtl/>
        </w:rPr>
        <w:t xml:space="preserve"> </w:t>
      </w:r>
      <w:r w:rsidRPr="00BC4492">
        <w:rPr>
          <w:rFonts w:hint="eastAsia"/>
          <w:rtl/>
        </w:rPr>
        <w:t>של</w:t>
      </w:r>
      <w:r w:rsidRPr="00BC4492">
        <w:rPr>
          <w:rtl/>
        </w:rPr>
        <w:t xml:space="preserve"> </w:t>
      </w:r>
      <w:r w:rsidRPr="00BC4492">
        <w:rPr>
          <w:rFonts w:hint="eastAsia"/>
          <w:rtl/>
        </w:rPr>
        <w:t>ים</w:t>
      </w:r>
      <w:r w:rsidRPr="00BC4492">
        <w:rPr>
          <w:rtl/>
        </w:rPr>
        <w:t xml:space="preserve"> </w:t>
      </w:r>
      <w:r w:rsidRPr="00BC4492">
        <w:rPr>
          <w:rFonts w:hint="eastAsia"/>
          <w:rtl/>
        </w:rPr>
        <w:t>סוף</w:t>
      </w:r>
      <w:r w:rsidRPr="00BC4492">
        <w:rPr>
          <w:rtl/>
        </w:rPr>
        <w:t xml:space="preserve">, </w:t>
      </w:r>
      <w:r w:rsidRPr="00BC4492">
        <w:rPr>
          <w:rFonts w:hint="eastAsia"/>
          <w:rtl/>
        </w:rPr>
        <w:t>לפי</w:t>
      </w:r>
      <w:r w:rsidRPr="00BC4492">
        <w:rPr>
          <w:rtl/>
        </w:rPr>
        <w:t xml:space="preserve"> </w:t>
      </w:r>
      <w:r w:rsidRPr="00BC4492">
        <w:rPr>
          <w:rFonts w:hint="eastAsia"/>
          <w:rtl/>
        </w:rPr>
        <w:t>העניין</w:t>
      </w:r>
      <w:r w:rsidRPr="00BC4492">
        <w:rPr>
          <w:rtl/>
        </w:rPr>
        <w:t xml:space="preserve">, </w:t>
      </w:r>
      <w:r w:rsidRPr="00BC4492">
        <w:rPr>
          <w:rFonts w:hint="eastAsia"/>
          <w:rtl/>
        </w:rPr>
        <w:t>לכיוון</w:t>
      </w:r>
      <w:r w:rsidRPr="00BC4492">
        <w:rPr>
          <w:rtl/>
        </w:rPr>
        <w:t xml:space="preserve"> </w:t>
      </w:r>
      <w:r w:rsidRPr="00BC4492">
        <w:rPr>
          <w:rFonts w:hint="eastAsia"/>
          <w:rtl/>
        </w:rPr>
        <w:t>הים</w:t>
      </w:r>
      <w:r w:rsidRPr="00BC4492">
        <w:rPr>
          <w:rtl/>
        </w:rPr>
        <w:t xml:space="preserve"> </w:t>
      </w:r>
      <w:r w:rsidRPr="00BC4492">
        <w:rPr>
          <w:rFonts w:hint="eastAsia"/>
          <w:rtl/>
        </w:rPr>
        <w:t>עד</w:t>
      </w:r>
      <w:r w:rsidRPr="00BC4492">
        <w:rPr>
          <w:rtl/>
        </w:rPr>
        <w:t xml:space="preserve"> </w:t>
      </w:r>
      <w:r w:rsidRPr="00BC4492">
        <w:rPr>
          <w:rFonts w:hint="eastAsia"/>
          <w:rtl/>
        </w:rPr>
        <w:t>סוף</w:t>
      </w:r>
      <w:r w:rsidRPr="00BC4492">
        <w:rPr>
          <w:rtl/>
        </w:rPr>
        <w:t xml:space="preserve"> </w:t>
      </w:r>
      <w:r w:rsidRPr="00BC4492">
        <w:rPr>
          <w:rFonts w:hint="eastAsia"/>
          <w:rtl/>
        </w:rPr>
        <w:t>מימי</w:t>
      </w:r>
      <w:r w:rsidRPr="00BC4492">
        <w:rPr>
          <w:rtl/>
        </w:rPr>
        <w:t xml:space="preserve"> </w:t>
      </w:r>
      <w:r w:rsidRPr="00BC4492">
        <w:rPr>
          <w:rFonts w:hint="eastAsia"/>
          <w:rtl/>
        </w:rPr>
        <w:t>החופין</w:t>
      </w:r>
      <w:r w:rsidRPr="00BC4492">
        <w:rPr>
          <w:rtl/>
        </w:rPr>
        <w:t xml:space="preserve">, </w:t>
      </w:r>
      <w:r w:rsidRPr="00BC4492">
        <w:rPr>
          <w:rFonts w:hint="eastAsia"/>
          <w:rtl/>
        </w:rPr>
        <w:t>ולעניין</w:t>
      </w:r>
      <w:r w:rsidRPr="00BC4492">
        <w:rPr>
          <w:rtl/>
        </w:rPr>
        <w:t xml:space="preserve"> </w:t>
      </w:r>
      <w:r w:rsidRPr="00BC4492">
        <w:rPr>
          <w:rFonts w:hint="eastAsia"/>
          <w:rtl/>
        </w:rPr>
        <w:t>ים</w:t>
      </w:r>
      <w:r w:rsidRPr="00BC4492">
        <w:rPr>
          <w:rtl/>
        </w:rPr>
        <w:t xml:space="preserve"> </w:t>
      </w:r>
      <w:r w:rsidRPr="00BC4492">
        <w:rPr>
          <w:rFonts w:hint="eastAsia"/>
          <w:rtl/>
        </w:rPr>
        <w:t>כנרת</w:t>
      </w:r>
      <w:r w:rsidRPr="00BC4492">
        <w:rPr>
          <w:rtl/>
        </w:rPr>
        <w:t xml:space="preserve"> </w:t>
      </w:r>
      <w:r w:rsidRPr="00BC4492">
        <w:rPr>
          <w:rFonts w:hint="eastAsia"/>
          <w:rtl/>
        </w:rPr>
        <w:t>–</w:t>
      </w:r>
      <w:r w:rsidRPr="00BC4492">
        <w:rPr>
          <w:rtl/>
        </w:rPr>
        <w:t xml:space="preserve"> </w:t>
      </w:r>
      <w:r w:rsidRPr="00BC4492">
        <w:rPr>
          <w:rFonts w:hint="eastAsia"/>
          <w:rtl/>
        </w:rPr>
        <w:t>כל</w:t>
      </w:r>
      <w:r w:rsidRPr="00BC4492">
        <w:rPr>
          <w:rtl/>
        </w:rPr>
        <w:t xml:space="preserve"> </w:t>
      </w:r>
      <w:r w:rsidRPr="00BC4492">
        <w:rPr>
          <w:rFonts w:hint="eastAsia"/>
          <w:rtl/>
        </w:rPr>
        <w:t>תחום</w:t>
      </w:r>
      <w:r w:rsidRPr="00BC4492">
        <w:rPr>
          <w:rtl/>
        </w:rPr>
        <w:t xml:space="preserve"> </w:t>
      </w:r>
      <w:r w:rsidRPr="00BC4492">
        <w:rPr>
          <w:rFonts w:hint="eastAsia"/>
          <w:rtl/>
        </w:rPr>
        <w:t>ים</w:t>
      </w:r>
      <w:r w:rsidRPr="00BC4492">
        <w:rPr>
          <w:rtl/>
        </w:rPr>
        <w:t xml:space="preserve"> </w:t>
      </w:r>
      <w:r w:rsidRPr="00BC4492">
        <w:rPr>
          <w:rFonts w:hint="eastAsia"/>
          <w:rtl/>
        </w:rPr>
        <w:t>כנרת</w:t>
      </w:r>
      <w:r w:rsidRPr="00BC4492">
        <w:rPr>
          <w:rtl/>
        </w:rPr>
        <w:t xml:space="preserve">, </w:t>
      </w:r>
      <w:r w:rsidRPr="00BC4492">
        <w:rPr>
          <w:rFonts w:hint="eastAsia"/>
          <w:rtl/>
        </w:rPr>
        <w:t>והכל</w:t>
      </w:r>
      <w:r w:rsidRPr="00BC4492">
        <w:rPr>
          <w:rtl/>
        </w:rPr>
        <w:t xml:space="preserve"> </w:t>
      </w:r>
      <w:r w:rsidRPr="00BC4492">
        <w:rPr>
          <w:rFonts w:hint="eastAsia"/>
          <w:rtl/>
        </w:rPr>
        <w:t>לרבות</w:t>
      </w:r>
      <w:r w:rsidRPr="00BC4492">
        <w:rPr>
          <w:rtl/>
        </w:rPr>
        <w:t xml:space="preserve">, </w:t>
      </w:r>
      <w:r w:rsidRPr="00BC4492">
        <w:rPr>
          <w:rFonts w:hint="eastAsia"/>
          <w:rtl/>
        </w:rPr>
        <w:t>ביבשה</w:t>
      </w:r>
      <w:r w:rsidRPr="00BC4492">
        <w:rPr>
          <w:rtl/>
        </w:rPr>
        <w:t xml:space="preserve"> </w:t>
      </w:r>
      <w:r w:rsidRPr="00BC4492">
        <w:rPr>
          <w:rFonts w:hint="eastAsia"/>
          <w:rtl/>
        </w:rPr>
        <w:t>–</w:t>
      </w:r>
      <w:r w:rsidRPr="00BC4492">
        <w:rPr>
          <w:rtl/>
        </w:rPr>
        <w:t xml:space="preserve"> </w:t>
      </w:r>
      <w:r w:rsidRPr="00BC4492">
        <w:rPr>
          <w:rFonts w:hint="eastAsia"/>
          <w:rtl/>
        </w:rPr>
        <w:t>פני</w:t>
      </w:r>
      <w:r w:rsidRPr="00BC4492">
        <w:rPr>
          <w:rtl/>
        </w:rPr>
        <w:t xml:space="preserve"> </w:t>
      </w:r>
      <w:r w:rsidRPr="00BC4492">
        <w:rPr>
          <w:rFonts w:hint="eastAsia"/>
          <w:rtl/>
        </w:rPr>
        <w:t>הקרקע</w:t>
      </w:r>
      <w:r w:rsidRPr="00BC4492">
        <w:rPr>
          <w:rtl/>
        </w:rPr>
        <w:t xml:space="preserve"> </w:t>
      </w:r>
      <w:r w:rsidRPr="00BC4492">
        <w:rPr>
          <w:rFonts w:hint="eastAsia"/>
          <w:rtl/>
        </w:rPr>
        <w:t>ותת</w:t>
      </w:r>
      <w:r w:rsidRPr="00BC4492">
        <w:rPr>
          <w:rtl/>
        </w:rPr>
        <w:t xml:space="preserve"> </w:t>
      </w:r>
      <w:r w:rsidRPr="00BC4492">
        <w:rPr>
          <w:rFonts w:hint="eastAsia"/>
          <w:rtl/>
        </w:rPr>
        <w:t>הקרקע</w:t>
      </w:r>
      <w:r w:rsidRPr="00BC4492">
        <w:rPr>
          <w:rtl/>
        </w:rPr>
        <w:t xml:space="preserve">, </w:t>
      </w:r>
      <w:r w:rsidRPr="00BC4492">
        <w:rPr>
          <w:rFonts w:hint="eastAsia"/>
          <w:rtl/>
        </w:rPr>
        <w:t>בים</w:t>
      </w:r>
      <w:r w:rsidRPr="00BC4492">
        <w:rPr>
          <w:rtl/>
        </w:rPr>
        <w:t xml:space="preserve"> </w:t>
      </w:r>
      <w:r w:rsidRPr="00BC4492">
        <w:rPr>
          <w:rFonts w:hint="eastAsia"/>
          <w:rtl/>
        </w:rPr>
        <w:t>–</w:t>
      </w:r>
      <w:r w:rsidRPr="00BC4492">
        <w:rPr>
          <w:rtl/>
        </w:rPr>
        <w:t xml:space="preserve"> </w:t>
      </w:r>
      <w:r w:rsidRPr="00BC4492">
        <w:rPr>
          <w:rFonts w:hint="eastAsia"/>
          <w:rtl/>
        </w:rPr>
        <w:t>קרקעית</w:t>
      </w:r>
      <w:r w:rsidRPr="00BC4492">
        <w:rPr>
          <w:rtl/>
        </w:rPr>
        <w:t xml:space="preserve"> </w:t>
      </w:r>
      <w:r w:rsidRPr="00BC4492">
        <w:rPr>
          <w:rFonts w:hint="eastAsia"/>
          <w:rtl/>
        </w:rPr>
        <w:t>הים</w:t>
      </w:r>
      <w:r w:rsidRPr="00BC4492">
        <w:rPr>
          <w:rtl/>
        </w:rPr>
        <w:t xml:space="preserve"> </w:t>
      </w:r>
      <w:r w:rsidRPr="00BC4492">
        <w:rPr>
          <w:rFonts w:hint="eastAsia"/>
          <w:rtl/>
        </w:rPr>
        <w:t>ותת</w:t>
      </w:r>
      <w:r w:rsidRPr="00BC4492">
        <w:rPr>
          <w:rtl/>
        </w:rPr>
        <w:t xml:space="preserve"> </w:t>
      </w:r>
      <w:r w:rsidRPr="00BC4492">
        <w:rPr>
          <w:rFonts w:hint="eastAsia"/>
          <w:rtl/>
        </w:rPr>
        <w:t>הקרקעית</w:t>
      </w:r>
      <w:r w:rsidRPr="00BC4492">
        <w:rPr>
          <w:rtl/>
        </w:rPr>
        <w:t xml:space="preserve">, </w:t>
      </w:r>
      <w:r w:rsidRPr="00BC4492">
        <w:rPr>
          <w:rFonts w:hint="eastAsia"/>
          <w:rtl/>
        </w:rPr>
        <w:t>וכן</w:t>
      </w:r>
      <w:r w:rsidRPr="00BC4492">
        <w:rPr>
          <w:rtl/>
        </w:rPr>
        <w:t xml:space="preserve"> </w:t>
      </w:r>
      <w:r w:rsidRPr="00BC4492">
        <w:rPr>
          <w:rFonts w:hint="eastAsia"/>
          <w:rtl/>
        </w:rPr>
        <w:t>משאבי</w:t>
      </w:r>
      <w:r w:rsidRPr="00BC4492">
        <w:rPr>
          <w:rtl/>
        </w:rPr>
        <w:t xml:space="preserve"> </w:t>
      </w:r>
      <w:r w:rsidRPr="00BC4492">
        <w:rPr>
          <w:rFonts w:hint="eastAsia"/>
          <w:rtl/>
        </w:rPr>
        <w:t>הטבע</w:t>
      </w:r>
      <w:r w:rsidRPr="00BC4492">
        <w:rPr>
          <w:rtl/>
        </w:rPr>
        <w:t xml:space="preserve"> </w:t>
      </w:r>
      <w:r w:rsidRPr="00BC4492">
        <w:rPr>
          <w:rFonts w:hint="eastAsia"/>
          <w:rtl/>
        </w:rPr>
        <w:t>והנוף</w:t>
      </w:r>
      <w:r w:rsidRPr="00BC4492">
        <w:rPr>
          <w:rtl/>
        </w:rPr>
        <w:t xml:space="preserve">, </w:t>
      </w:r>
      <w:r w:rsidRPr="00BC4492">
        <w:rPr>
          <w:rFonts w:hint="eastAsia"/>
          <w:rtl/>
        </w:rPr>
        <w:t>וערכי</w:t>
      </w:r>
      <w:r w:rsidRPr="00BC4492">
        <w:rPr>
          <w:rtl/>
        </w:rPr>
        <w:t xml:space="preserve"> </w:t>
      </w:r>
      <w:r w:rsidRPr="00BC4492">
        <w:rPr>
          <w:rFonts w:hint="eastAsia"/>
          <w:rtl/>
        </w:rPr>
        <w:t>הטבע</w:t>
      </w:r>
      <w:r w:rsidRPr="00BC4492">
        <w:rPr>
          <w:rtl/>
        </w:rPr>
        <w:t xml:space="preserve"> </w:t>
      </w:r>
      <w:r w:rsidRPr="00BC4492">
        <w:rPr>
          <w:rFonts w:hint="eastAsia"/>
          <w:rtl/>
        </w:rPr>
        <w:t>והמורשת</w:t>
      </w:r>
      <w:r w:rsidRPr="00BC4492">
        <w:rPr>
          <w:rtl/>
        </w:rPr>
        <w:t xml:space="preserve">, </w:t>
      </w:r>
      <w:r w:rsidRPr="00BC4492">
        <w:rPr>
          <w:rFonts w:hint="eastAsia"/>
          <w:rtl/>
        </w:rPr>
        <w:t>ועתיקות</w:t>
      </w:r>
      <w:r w:rsidRPr="00BC4492">
        <w:rPr>
          <w:rtl/>
        </w:rPr>
        <w:t xml:space="preserve"> </w:t>
      </w:r>
      <w:r w:rsidRPr="00BC4492">
        <w:rPr>
          <w:rFonts w:hint="eastAsia"/>
          <w:rtl/>
        </w:rPr>
        <w:t>כהגדרתן</w:t>
      </w:r>
      <w:r w:rsidRPr="00BC4492">
        <w:rPr>
          <w:rtl/>
        </w:rPr>
        <w:t xml:space="preserve"> </w:t>
      </w:r>
      <w:r w:rsidRPr="00BC4492">
        <w:rPr>
          <w:rFonts w:hint="eastAsia"/>
          <w:rtl/>
        </w:rPr>
        <w:t>בחוק</w:t>
      </w:r>
      <w:r w:rsidRPr="00BC4492">
        <w:rPr>
          <w:rtl/>
        </w:rPr>
        <w:t xml:space="preserve"> </w:t>
      </w:r>
      <w:r w:rsidRPr="00BC4492">
        <w:rPr>
          <w:rFonts w:hint="eastAsia"/>
          <w:rtl/>
        </w:rPr>
        <w:t>העתיקות</w:t>
      </w:r>
      <w:r w:rsidRPr="00BC4492">
        <w:rPr>
          <w:rtl/>
        </w:rPr>
        <w:t xml:space="preserve">, </w:t>
      </w:r>
      <w:r w:rsidRPr="00BC4492">
        <w:rPr>
          <w:rFonts w:hint="eastAsia"/>
          <w:rtl/>
        </w:rPr>
        <w:t>שבהם</w:t>
      </w:r>
      <w:r w:rsidRPr="00BC4492">
        <w:rPr>
          <w:rtl/>
        </w:rPr>
        <w:t xml:space="preserve"> </w:t>
      </w:r>
      <w:r w:rsidRPr="00BC4492">
        <w:rPr>
          <w:rFonts w:hint="eastAsia"/>
          <w:rtl/>
        </w:rPr>
        <w:t>ומעליהם</w:t>
      </w:r>
      <w:r w:rsidRPr="00BC4492">
        <w:rPr>
          <w:rtl/>
        </w:rPr>
        <w:t xml:space="preserve">". </w:t>
      </w:r>
      <w:r w:rsidRPr="00BC4492">
        <w:rPr>
          <w:rFonts w:hint="eastAsia"/>
          <w:rtl/>
        </w:rPr>
        <w:t>בסעיף</w:t>
      </w:r>
      <w:r w:rsidRPr="00BC4492">
        <w:rPr>
          <w:rtl/>
        </w:rPr>
        <w:t xml:space="preserve"> 1 לחוק התכנון והבניה מוגדרת סביבה חופית: תחום של 300 מטר שיימדד מקו החוף של הים התיכון לכיוון היבשה וכן התחום שיימדד מקו החוף של הים התיכון לכיוון הים עד סוף מימי החופין, לרבות ביבשה - פני הקרקע ותת הקרקע, בים - קרקעית הים ותת הקרקעית, וכן משאבי הטבע והנוף - וערכי הטבע והמורשת, לרבות עתיקות כהגדרתן בחוק העתיקות, שבהם ומעליהם. תוכניות ובקשות להקלות ושימושים חורגים בתחום הסביבה החופית טעונות אישור של </w:t>
      </w:r>
      <w:r w:rsidRPr="00BC4492">
        <w:rPr>
          <w:rFonts w:hint="eastAsia"/>
          <w:rtl/>
        </w:rPr>
        <w:t>הוולחו</w:t>
      </w:r>
      <w:r w:rsidRPr="00BC4492">
        <w:rPr>
          <w:rtl/>
        </w:rPr>
        <w:t xml:space="preserve">"ף, מלבד מקרים מסוימים שהוגדרו </w:t>
      </w:r>
      <w:r w:rsidRPr="00BC4492">
        <w:rPr>
          <w:rFonts w:hint="eastAsia"/>
          <w:rtl/>
        </w:rPr>
        <w:t>על</w:t>
      </w:r>
      <w:r w:rsidRPr="00BC4492">
        <w:rPr>
          <w:rtl/>
        </w:rPr>
        <w:t xml:space="preserve"> ידי הוועדה כפטורים. חלק מהבקשות להקלה נדרשות לאישור הוולחו"ף רק אם הן בתחום חוף הים לפי הגדרתו בחוק.</w:t>
      </w:r>
    </w:p>
  </w:footnote>
  <w:footnote w:id="11">
    <w:p w:rsidR="00704AAD" w:rsidRPr="00704AAD" w:rsidP="00704AAD" w14:paraId="543FA354" w14:textId="77777777">
      <w:pPr>
        <w:pStyle w:val="754"/>
      </w:pPr>
      <w:r w:rsidRPr="00704AAD">
        <w:rPr>
          <w:rStyle w:val="FootnoteReference1"/>
          <w:vertAlign w:val="baseline"/>
        </w:rPr>
        <w:footnoteRef/>
      </w:r>
      <w:r w:rsidRPr="00704AAD">
        <w:rPr>
          <w:rtl/>
        </w:rPr>
        <w:t xml:space="preserve"> </w:t>
      </w:r>
      <w:r w:rsidRPr="00704AAD">
        <w:rPr>
          <w:rtl/>
        </w:rPr>
        <w:tab/>
        <w:t>החלק התחתון של המצוק, החשוף לפעולת הגלים. מתוך תמ"א</w:t>
      </w:r>
      <w:r w:rsidRPr="00704AAD">
        <w:rPr>
          <w:rFonts w:hint="cs"/>
          <w:rtl/>
        </w:rPr>
        <w:t xml:space="preserve"> 9/13/א</w:t>
      </w:r>
      <w:r w:rsidRPr="00704AAD">
        <w:rPr>
          <w:rtl/>
        </w:rPr>
        <w:t xml:space="preserve"> - תוכנית מתאר ארצית חלקית ברמה מפורטת להגנה על מצוקי החוף לאורך הים התיכון (תמ"א הגנות דחופות).</w:t>
      </w:r>
    </w:p>
  </w:footnote>
  <w:footnote w:id="12">
    <w:p w:rsidR="00704AAD" w:rsidRPr="00704AAD" w:rsidP="00704AAD" w14:paraId="74804056" w14:textId="77777777">
      <w:pPr>
        <w:pStyle w:val="754"/>
        <w:rPr>
          <w:rtl/>
        </w:rPr>
      </w:pPr>
      <w:r w:rsidRPr="00704AAD">
        <w:rPr>
          <w:rStyle w:val="FootnoteReference1"/>
          <w:vertAlign w:val="baseline"/>
        </w:rPr>
        <w:footnoteRef/>
      </w:r>
      <w:r w:rsidRPr="00704AAD">
        <w:rPr>
          <w:rtl/>
        </w:rPr>
        <w:t xml:space="preserve"> </w:t>
      </w:r>
      <w:r w:rsidRPr="00704AAD">
        <w:rPr>
          <w:rtl/>
        </w:rPr>
        <w:tab/>
      </w:r>
      <w:r w:rsidRPr="00704AAD">
        <w:rPr>
          <w:rFonts w:hint="cs"/>
          <w:rtl/>
        </w:rPr>
        <w:t>שרוולים מיריעה גיאוטכנית ממולאים חול, המיוצבים לקרקעית הים ויכול שיהיו בולטים על פני הים כדי להפחית את פעולות הגלים. מתוך תמ"א ההגנות הדחופות.</w:t>
      </w:r>
    </w:p>
  </w:footnote>
  <w:footnote w:id="13">
    <w:p w:rsidR="00704AAD" w:rsidRPr="00714D15" w:rsidP="00714D15" w14:paraId="1F0DFD64" w14:textId="6CF4E783">
      <w:pPr>
        <w:pStyle w:val="754"/>
      </w:pPr>
      <w:r w:rsidRPr="00714D15">
        <w:rPr>
          <w:rStyle w:val="FootnoteReference1"/>
          <w:vertAlign w:val="baseline"/>
        </w:rPr>
        <w:footnoteRef/>
      </w:r>
      <w:r w:rsidRPr="00714D15">
        <w:rPr>
          <w:rtl/>
        </w:rPr>
        <w:t xml:space="preserve"> </w:t>
      </w:r>
      <w:r w:rsidRPr="00714D15">
        <w:rPr>
          <w:rtl/>
        </w:rPr>
        <w:tab/>
      </w:r>
      <w:r w:rsidRPr="00714D15">
        <w:rPr>
          <w:rFonts w:hint="eastAsia"/>
          <w:rtl/>
        </w:rPr>
        <w:t>החלטת</w:t>
      </w:r>
      <w:r w:rsidRPr="00714D15">
        <w:rPr>
          <w:rtl/>
        </w:rPr>
        <w:t xml:space="preserve"> ממשלה 1851 בנושא "הארכת </w:t>
      </w:r>
      <w:r w:rsidRPr="00714D15">
        <w:rPr>
          <w:rFonts w:hint="eastAsia"/>
          <w:rtl/>
        </w:rPr>
        <w:t>פעילותה</w:t>
      </w:r>
      <w:r w:rsidRPr="00714D15">
        <w:rPr>
          <w:rtl/>
        </w:rPr>
        <w:t xml:space="preserve"> </w:t>
      </w:r>
      <w:r w:rsidRPr="00714D15">
        <w:rPr>
          <w:rFonts w:hint="eastAsia"/>
          <w:rtl/>
        </w:rPr>
        <w:t>של</w:t>
      </w:r>
      <w:r w:rsidRPr="00714D15">
        <w:rPr>
          <w:rtl/>
        </w:rPr>
        <w:t xml:space="preserve"> </w:t>
      </w:r>
      <w:r w:rsidRPr="00714D15">
        <w:rPr>
          <w:rFonts w:hint="eastAsia"/>
          <w:rtl/>
        </w:rPr>
        <w:t>החברה</w:t>
      </w:r>
      <w:r w:rsidRPr="00714D15">
        <w:rPr>
          <w:rtl/>
        </w:rPr>
        <w:t xml:space="preserve"> </w:t>
      </w:r>
      <w:r w:rsidRPr="00714D15">
        <w:rPr>
          <w:rFonts w:hint="eastAsia"/>
          <w:rtl/>
        </w:rPr>
        <w:t>הממשלתית</w:t>
      </w:r>
      <w:r w:rsidRPr="00714D15">
        <w:rPr>
          <w:rtl/>
        </w:rPr>
        <w:t xml:space="preserve"> </w:t>
      </w:r>
      <w:r w:rsidRPr="00714D15">
        <w:rPr>
          <w:rFonts w:hint="eastAsia"/>
          <w:rtl/>
        </w:rPr>
        <w:t>להגנות</w:t>
      </w:r>
      <w:r w:rsidRPr="00714D15">
        <w:rPr>
          <w:rtl/>
        </w:rPr>
        <w:t xml:space="preserve"> </w:t>
      </w:r>
      <w:r w:rsidRPr="00714D15">
        <w:rPr>
          <w:rFonts w:hint="eastAsia"/>
          <w:rtl/>
        </w:rPr>
        <w:t>מצוקי</w:t>
      </w:r>
      <w:r w:rsidRPr="00714D15">
        <w:rPr>
          <w:rtl/>
        </w:rPr>
        <w:t xml:space="preserve"> </w:t>
      </w:r>
      <w:r w:rsidRPr="00714D15">
        <w:rPr>
          <w:rFonts w:hint="eastAsia"/>
          <w:rtl/>
        </w:rPr>
        <w:t>חוף</w:t>
      </w:r>
      <w:r w:rsidRPr="00714D15">
        <w:rPr>
          <w:rtl/>
        </w:rPr>
        <w:t xml:space="preserve"> </w:t>
      </w:r>
      <w:r w:rsidRPr="00714D15">
        <w:rPr>
          <w:rFonts w:hint="eastAsia"/>
          <w:rtl/>
        </w:rPr>
        <w:t>הים</w:t>
      </w:r>
      <w:r w:rsidRPr="00714D15">
        <w:rPr>
          <w:rtl/>
        </w:rPr>
        <w:t xml:space="preserve"> </w:t>
      </w:r>
      <w:r w:rsidRPr="00714D15">
        <w:rPr>
          <w:rFonts w:hint="eastAsia"/>
          <w:rtl/>
        </w:rPr>
        <w:t>התיכון</w:t>
      </w:r>
      <w:r w:rsidRPr="00714D15">
        <w:rPr>
          <w:rtl/>
        </w:rPr>
        <w:t xml:space="preserve"> </w:t>
      </w:r>
      <w:r w:rsidRPr="00714D15">
        <w:rPr>
          <w:rFonts w:hint="eastAsia"/>
          <w:rtl/>
        </w:rPr>
        <w:t>בע</w:t>
      </w:r>
      <w:r w:rsidRPr="00714D15">
        <w:rPr>
          <w:rtl/>
        </w:rPr>
        <w:t>"מ</w:t>
      </w:r>
      <w:r w:rsidR="009D1A50">
        <w:rPr>
          <w:rFonts w:hint="cs"/>
          <w:rtl/>
        </w:rPr>
        <w:t>"</w:t>
      </w:r>
      <w:r w:rsidRPr="00714D15">
        <w:rPr>
          <w:rtl/>
        </w:rPr>
        <w:t xml:space="preserve"> </w:t>
      </w:r>
      <w:r w:rsidRPr="00714D15">
        <w:rPr>
          <w:rFonts w:hint="eastAsia"/>
          <w:rtl/>
        </w:rPr>
        <w:t>מיום</w:t>
      </w:r>
      <w:r w:rsidRPr="00714D15">
        <w:rPr>
          <w:rtl/>
        </w:rPr>
        <w:t xml:space="preserve"> 9.6.24.</w:t>
      </w:r>
    </w:p>
  </w:footnote>
  <w:footnote w:id="14">
    <w:p w:rsidR="00704AAD" w:rsidRPr="00714D15" w:rsidP="00714D15" w14:paraId="47D787C2" w14:textId="77777777">
      <w:pPr>
        <w:pStyle w:val="754"/>
      </w:pPr>
      <w:r w:rsidRPr="00714D15">
        <w:rPr>
          <w:rStyle w:val="FootnoteReference1"/>
          <w:vertAlign w:val="baseline"/>
        </w:rPr>
        <w:footnoteRef/>
      </w:r>
      <w:r w:rsidRPr="00714D15">
        <w:rPr>
          <w:rtl/>
        </w:rPr>
        <w:t xml:space="preserve"> </w:t>
      </w:r>
      <w:r w:rsidRPr="00714D15">
        <w:rPr>
          <w:rtl/>
        </w:rPr>
        <w:tab/>
      </w:r>
      <w:r w:rsidRPr="00714D15">
        <w:rPr>
          <w:rFonts w:hint="cs"/>
          <w:rtl/>
        </w:rPr>
        <w:t>ארוזיה - סחיפה.</w:t>
      </w:r>
    </w:p>
  </w:footnote>
  <w:footnote w:id="15">
    <w:p w:rsidR="004F5000" w:rsidRPr="00714D15" w:rsidP="00714D15" w14:paraId="0BDE84B4" w14:textId="77777777">
      <w:pPr>
        <w:pStyle w:val="754"/>
        <w:rPr>
          <w:rtl/>
        </w:rPr>
      </w:pPr>
      <w:r w:rsidRPr="00714D15">
        <w:rPr>
          <w:rStyle w:val="FootnoteReference1"/>
          <w:vertAlign w:val="baseline"/>
        </w:rPr>
        <w:footnoteRef/>
      </w:r>
      <w:r w:rsidRPr="00714D15">
        <w:rPr>
          <w:rtl/>
        </w:rPr>
        <w:t xml:space="preserve"> </w:t>
      </w:r>
      <w:r w:rsidRPr="00714D15">
        <w:rPr>
          <w:rtl/>
        </w:rPr>
        <w:tab/>
        <w:t>לאחר שהוקמה החברה להגנת המצוק, הוקמה ועד</w:t>
      </w:r>
      <w:r w:rsidRPr="00714D15">
        <w:rPr>
          <w:rFonts w:hint="cs"/>
          <w:rtl/>
        </w:rPr>
        <w:t>ת היגוי</w:t>
      </w:r>
      <w:r w:rsidRPr="00714D15">
        <w:rPr>
          <w:rtl/>
        </w:rPr>
        <w:t xml:space="preserve"> בין-משרדית בהשתתפות נציגים מהמשרד להגנת הסביבה, מ</w:t>
      </w:r>
      <w:r w:rsidRPr="00714D15">
        <w:rPr>
          <w:rFonts w:hint="cs"/>
          <w:rtl/>
        </w:rPr>
        <w:t>הרשות למקרקעי ישראל</w:t>
      </w:r>
      <w:r w:rsidRPr="00714D15">
        <w:rPr>
          <w:rtl/>
        </w:rPr>
        <w:t xml:space="preserve"> ומאגף התקציבים במשרד האוצר לעקוב אחר התקדמות הטיפול בהתמוטטות המצוק החופי. ועדה זו היא גם הגורם הדן בתוכניות העבודה של החברה ומאשר אותן.</w:t>
      </w:r>
    </w:p>
  </w:footnote>
  <w:footnote w:id="16">
    <w:p w:rsidR="004F5000" w:rsidRPr="009B5387" w:rsidP="009B5387" w14:paraId="7295B11F" w14:textId="77777777">
      <w:pPr>
        <w:pStyle w:val="754"/>
        <w:rPr>
          <w:rtl/>
        </w:rPr>
      </w:pPr>
      <w:r w:rsidRPr="009B5387">
        <w:rPr>
          <w:rStyle w:val="FootnoteReference1"/>
          <w:vertAlign w:val="baseline"/>
        </w:rPr>
        <w:footnoteRef/>
      </w:r>
      <w:r w:rsidRPr="009B5387">
        <w:rPr>
          <w:rtl/>
        </w:rPr>
        <w:t xml:space="preserve"> </w:t>
      </w:r>
      <w:r w:rsidRPr="009B5387">
        <w:rPr>
          <w:rtl/>
        </w:rPr>
        <w:tab/>
        <w:t>התקציב השנתי לשנת 2023 עמד על 71.2 מיליון ש"ח.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7898F99C"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1FACDDD2" w14:textId="77777777">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45C6766A"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69B99207"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F24085D" w14:textId="77777777">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2CEA5D81"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5CA700D4"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6961512F"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042893" w14:textId="0C78C6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00975F02">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042893" w14:paraId="6BC4C0AD" w14:textId="0C78C6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00975F02">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txbxContent>
              </v:textbox>
              <w10:wrap type="square"/>
            </v:shape>
          </w:pict>
        </mc:Fallback>
      </mc:AlternateContent>
    </w:r>
  </w:p>
  <w:p w:rsidR="00F73EE0" w:rsidP="001526AC" w14:paraId="0DD7BE7A"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28B312A8"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5DD7C681">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sidR="005268F9">
                            <w:rPr>
                              <w:rFonts w:ascii="Tahoma" w:hAnsi="Tahoma" w:cs="Tahoma"/>
                              <w:color w:val="0D0D0D"/>
                              <w:sz w:val="16"/>
                              <w:szCs w:val="16"/>
                              <w:rtl/>
                            </w:rPr>
                            <w:t xml:space="preserve">דוח </w:t>
                          </w:r>
                          <w:r w:rsidR="00484297">
                            <w:rPr>
                              <w:rFonts w:ascii="Tahoma" w:hAnsi="Tahoma" w:cs="Tahoma" w:hint="cs"/>
                              <w:color w:val="0D0D0D"/>
                              <w:sz w:val="16"/>
                              <w:szCs w:val="16"/>
                              <w:rtl/>
                            </w:rPr>
                            <w:t>על הביקורת בשלטון המקומי</w:t>
                          </w:r>
                          <w:r w:rsidRPr="00AE7EA4" w:rsidR="005268F9">
                            <w:rPr>
                              <w:rFonts w:ascii="Tahoma" w:hAnsi="Tahoma" w:cs="Tahoma"/>
                              <w:color w:val="0D0D0D"/>
                              <w:sz w:val="16"/>
                              <w:szCs w:val="16"/>
                              <w:rtl/>
                            </w:rPr>
                            <w:t xml:space="preserve"> </w:t>
                          </w:r>
                          <w:r w:rsidRPr="00AE7EA4" w:rsidR="00235CF1">
                            <w:rPr>
                              <w:rFonts w:ascii="Tahoma" w:hAnsi="Tahoma" w:cs="Tahoma"/>
                              <w:color w:val="0D0D0D"/>
                              <w:sz w:val="16"/>
                              <w:szCs w:val="16"/>
                              <w:rtl/>
                            </w:rPr>
                            <w:t>| התשפ״ד</w:t>
                          </w:r>
                          <w:r>
                            <w:rPr>
                              <w:rFonts w:ascii="Tahoma" w:hAnsi="Tahoma" w:cs="Tahoma" w:hint="cs"/>
                              <w:color w:val="0D0D0D"/>
                              <w:sz w:val="16"/>
                              <w:szCs w:val="16"/>
                              <w:rtl/>
                            </w:rPr>
                            <w:t>-</w:t>
                          </w:r>
                          <w:r w:rsidRPr="00AE7EA4" w:rsidR="00235CF1">
                            <w:rPr>
                              <w:rFonts w:ascii="Tahoma" w:hAnsi="Tahoma" w:cs="Tahoma"/>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5BE3FCC4" w14:textId="5DD7C681">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sidR="005268F9">
                      <w:rPr>
                        <w:rFonts w:ascii="Tahoma" w:hAnsi="Tahoma" w:cs="Tahoma"/>
                        <w:color w:val="0D0D0D"/>
                        <w:sz w:val="16"/>
                        <w:szCs w:val="16"/>
                        <w:rtl/>
                      </w:rPr>
                      <w:t xml:space="preserve">דוח </w:t>
                    </w:r>
                    <w:r w:rsidR="00484297">
                      <w:rPr>
                        <w:rFonts w:ascii="Tahoma" w:hAnsi="Tahoma" w:cs="Tahoma" w:hint="cs"/>
                        <w:color w:val="0D0D0D"/>
                        <w:sz w:val="16"/>
                        <w:szCs w:val="16"/>
                        <w:rtl/>
                      </w:rPr>
                      <w:t>על הביקורת בשלטון המקומי</w:t>
                    </w:r>
                    <w:r w:rsidRPr="00AE7EA4" w:rsidR="005268F9">
                      <w:rPr>
                        <w:rFonts w:ascii="Tahoma" w:hAnsi="Tahoma" w:cs="Tahoma"/>
                        <w:color w:val="0D0D0D"/>
                        <w:sz w:val="16"/>
                        <w:szCs w:val="16"/>
                        <w:rtl/>
                      </w:rPr>
                      <w:t xml:space="preserve"> </w:t>
                    </w:r>
                    <w:r w:rsidRPr="00AE7EA4" w:rsidR="00235CF1">
                      <w:rPr>
                        <w:rFonts w:ascii="Tahoma" w:hAnsi="Tahoma" w:cs="Tahoma"/>
                        <w:color w:val="0D0D0D"/>
                        <w:sz w:val="16"/>
                        <w:szCs w:val="16"/>
                        <w:rtl/>
                      </w:rPr>
                      <w:t>| התשפ״ד</w:t>
                    </w:r>
                    <w:r>
                      <w:rPr>
                        <w:rFonts w:ascii="Tahoma" w:hAnsi="Tahoma" w:cs="Tahoma" w:hint="cs"/>
                        <w:color w:val="0D0D0D"/>
                        <w:sz w:val="16"/>
                        <w:szCs w:val="16"/>
                        <w:rtl/>
                      </w:rPr>
                      <w:t>-</w:t>
                    </w:r>
                    <w:r w:rsidRPr="00AE7EA4" w:rsidR="00235CF1">
                      <w:rPr>
                        <w:rFonts w:ascii="Tahoma" w:hAnsi="Tahoma" w:cs="Tahoma"/>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03DC109" w14:textId="77777777">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39DF3D8C"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2C232BD8" w14:textId="77777777">
    <w:pPr>
      <w:pStyle w:val="Header"/>
      <w:ind w:firstLine="720"/>
      <w:rPr>
        <w:rtl/>
      </w:rPr>
    </w:pPr>
  </w:p>
  <w:p w:rsidR="00F73EE0" w14:paraId="5C55D270" w14:textId="77777777">
    <w:pPr>
      <w:pStyle w:val="Header"/>
      <w:rPr>
        <w:rtl/>
      </w:rPr>
    </w:pPr>
  </w:p>
  <w:p w:rsidR="00F73EE0" w14:paraId="6376EBC7"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7777777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3DC99E41" w14:textId="7777777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64400A02" w14:textId="7777777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56933035"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0A2EEE2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67AD5038" w14:textId="77777777">
    <w:pPr>
      <w:pStyle w:val="Header"/>
      <w:ind w:firstLine="720"/>
      <w:rPr>
        <w:rtl/>
      </w:rPr>
    </w:pPr>
  </w:p>
  <w:p w:rsidR="004E71DD" w:rsidP="004E71DD" w14:paraId="7EEB74EB" w14:textId="77777777">
    <w:pPr>
      <w:pStyle w:val="Header"/>
      <w:rPr>
        <w:rtl/>
      </w:rPr>
    </w:pPr>
  </w:p>
  <w:p w:rsidR="004E71DD" w:rsidP="004E71DD" w14:paraId="29F14FE3"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10D511F9">
                          <w:pPr>
                            <w:pStyle w:val="Heading1"/>
                            <w:spacing w:line="269" w:lineRule="auto"/>
                            <w:jc w:val="left"/>
                            <w:rPr>
                              <w:rFonts w:ascii="Tahoma" w:hAnsi="Tahoma" w:eastAsiaTheme="minorHAnsi" w:cs="Tahoma"/>
                              <w:bCs w:val="0"/>
                              <w:color w:val="0D0D0D" w:themeColor="text1" w:themeTint="F2"/>
                              <w:sz w:val="16"/>
                              <w:szCs w:val="16"/>
                              <w:u w:val="none"/>
                            </w:rPr>
                          </w:pPr>
                          <w:r w:rsidRPr="00080EB5">
                            <w:rPr>
                              <w:rFonts w:ascii="Tahoma" w:hAnsi="Tahoma" w:eastAsiaTheme="minorHAnsi" w:cs="Tahoma"/>
                              <w:bCs w:val="0"/>
                              <w:color w:val="0D0D0D" w:themeColor="text1" w:themeTint="F2"/>
                              <w:sz w:val="16"/>
                              <w:szCs w:val="16"/>
                              <w:u w:val="none"/>
                              <w:rtl/>
                            </w:rPr>
                            <w:t>התמודדותן של רשויות השלטון עם תהליכי הרס המצוק החופי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5EC6D3B2" w14:textId="10D511F9">
                    <w:pPr>
                      <w:pStyle w:val="Heading1"/>
                      <w:spacing w:line="269" w:lineRule="auto"/>
                      <w:jc w:val="left"/>
                      <w:rPr>
                        <w:rFonts w:ascii="Tahoma" w:hAnsi="Tahoma" w:eastAsiaTheme="minorHAnsi" w:cs="Tahoma"/>
                        <w:bCs w:val="0"/>
                        <w:color w:val="0D0D0D" w:themeColor="text1" w:themeTint="F2"/>
                        <w:sz w:val="16"/>
                        <w:szCs w:val="16"/>
                        <w:u w:val="none"/>
                      </w:rPr>
                    </w:pPr>
                    <w:r w:rsidRPr="00080EB5">
                      <w:rPr>
                        <w:rFonts w:ascii="Tahoma" w:hAnsi="Tahoma" w:eastAsiaTheme="minorHAnsi" w:cs="Tahoma"/>
                        <w:bCs w:val="0"/>
                        <w:color w:val="0D0D0D" w:themeColor="text1" w:themeTint="F2"/>
                        <w:sz w:val="16"/>
                        <w:szCs w:val="16"/>
                        <w:u w:val="none"/>
                        <w:rtl/>
                      </w:rPr>
                      <w:t>התמודדותן של רשויות השלטון עם תהליכי הרס המצוק החופי - ביקורת מעקב</w:t>
                    </w:r>
                  </w:p>
                </w:txbxContent>
              </v:textbox>
              <w10:wrap type="square"/>
            </v:shape>
          </w:pict>
        </mc:Fallback>
      </mc:AlternateContent>
    </w:r>
  </w:p>
  <w:p w:rsidR="004E71DD" w:rsidP="004E71DD" w14:paraId="29927C53"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9"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73B85337" w14:textId="776B8773">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66A492DD"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76E0C3EE"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D04C0B" w:rsidP="00582DA9" w14:textId="4DE4EACD">
                          <w:pPr>
                            <w:pStyle w:val="Bodytext70"/>
                            <w:shd w:val="clear" w:color="auto" w:fill="003060"/>
                            <w:rPr>
                              <w:rFonts w:ascii="Tahoma" w:hAnsi="Tahoma" w:cs="Tahoma"/>
                              <w:b/>
                              <w:bCs/>
                              <w:sz w:val="21"/>
                              <w:szCs w:val="21"/>
                              <w:rtl/>
                            </w:rPr>
                          </w:pPr>
                          <w:r>
                            <w:rPr>
                              <w:rStyle w:val="Bodytext7NotBoldExact"/>
                              <w:rFonts w:hint="cs"/>
                              <w:rtl/>
                            </w:rPr>
                            <w:t>....ה</w:t>
                          </w:r>
                          <w:r>
                            <w:rPr>
                              <w:rFonts w:hint="cs"/>
                              <w:rtl/>
                            </w:rPr>
                            <w:t xml:space="preserve">                                         </w:t>
                          </w:r>
                          <w:r w:rsidR="00820929">
                            <w:rPr>
                              <w:rFonts w:hint="cs"/>
                              <w:rtl/>
                            </w:rPr>
                            <w:t xml:space="preserve"> </w:t>
                          </w:r>
                          <w:r>
                            <w:rPr>
                              <w:rFonts w:ascii="Tahoma" w:hAnsi="Tahoma" w:cs="Tahoma" w:hint="cs"/>
                              <w:sz w:val="24"/>
                              <w:szCs w:val="24"/>
                              <w:rtl/>
                            </w:rPr>
                            <w:t xml:space="preserve"> </w:t>
                          </w:r>
                          <w:r w:rsidR="00820929">
                            <w:rPr>
                              <w:rFonts w:ascii="Tahoma" w:hAnsi="Tahoma" w:cs="Tahoma" w:hint="cs"/>
                              <w:sz w:val="24"/>
                              <w:szCs w:val="24"/>
                              <w:rtl/>
                            </w:rPr>
                            <w:t xml:space="preserve"> </w:t>
                          </w:r>
                          <w:r w:rsidR="00EE210F">
                            <w:rPr>
                              <w:rFonts w:ascii="Tahoma" w:hAnsi="Tahoma" w:cs="Tahoma" w:hint="cs"/>
                              <w:sz w:val="24"/>
                              <w:szCs w:val="24"/>
                              <w:rtl/>
                            </w:rPr>
                            <w:t xml:space="preserve"> </w:t>
                          </w:r>
                          <w:r w:rsidRPr="00EE210F" w:rsidR="00820929">
                            <w:rPr>
                              <w:rFonts w:ascii="Tahoma" w:hAnsi="Tahoma" w:cs="Tahoma" w:hint="cs"/>
                              <w:sz w:val="21"/>
                              <w:szCs w:val="21"/>
                              <w:rtl/>
                            </w:rPr>
                            <w:t xml:space="preserve">תקציר </w:t>
                          </w:r>
                          <w:r w:rsidRPr="00EE210F">
                            <w:rPr>
                              <w:rFonts w:ascii="Tahoma" w:hAnsi="Tahoma" w:cs="Tahoma" w:hint="cs"/>
                              <w:sz w:val="21"/>
                              <w:szCs w:val="21"/>
                              <w:rtl/>
                            </w:rPr>
                            <w:t xml:space="preserve">|  </w:t>
                          </w:r>
                          <w:r w:rsidRPr="00D04C0B" w:rsidR="00D04C0B">
                            <w:rPr>
                              <w:rFonts w:ascii="Tahoma" w:hAnsi="Tahoma" w:cs="Tahoma"/>
                              <w:b/>
                              <w:bCs/>
                              <w:sz w:val="21"/>
                              <w:szCs w:val="21"/>
                              <w:rtl/>
                            </w:rPr>
                            <w:t>התמודדותן של רשויות השלטון עם תהליכי הרס המצוק החופי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D04C0B" w:rsidP="00582DA9" w14:paraId="766F404C" w14:textId="4DE4EACD">
                    <w:pPr>
                      <w:pStyle w:val="Bodytext70"/>
                      <w:shd w:val="clear" w:color="auto" w:fill="003060"/>
                      <w:rPr>
                        <w:rFonts w:ascii="Tahoma" w:hAnsi="Tahoma" w:cs="Tahoma"/>
                        <w:b/>
                        <w:bCs/>
                        <w:sz w:val="21"/>
                        <w:szCs w:val="21"/>
                        <w:rtl/>
                      </w:rPr>
                    </w:pPr>
                    <w:r>
                      <w:rPr>
                        <w:rStyle w:val="Bodytext7NotBoldExact"/>
                        <w:rFonts w:hint="cs"/>
                        <w:rtl/>
                      </w:rPr>
                      <w:t>....ה</w:t>
                    </w:r>
                    <w:r>
                      <w:rPr>
                        <w:rFonts w:hint="cs"/>
                        <w:rtl/>
                      </w:rPr>
                      <w:t xml:space="preserve">                                         </w:t>
                    </w:r>
                    <w:r w:rsidR="00820929">
                      <w:rPr>
                        <w:rFonts w:hint="cs"/>
                        <w:rtl/>
                      </w:rPr>
                      <w:t xml:space="preserve"> </w:t>
                    </w:r>
                    <w:r>
                      <w:rPr>
                        <w:rFonts w:ascii="Tahoma" w:hAnsi="Tahoma" w:cs="Tahoma" w:hint="cs"/>
                        <w:sz w:val="24"/>
                        <w:szCs w:val="24"/>
                        <w:rtl/>
                      </w:rPr>
                      <w:t xml:space="preserve"> </w:t>
                    </w:r>
                    <w:r w:rsidR="00820929">
                      <w:rPr>
                        <w:rFonts w:ascii="Tahoma" w:hAnsi="Tahoma" w:cs="Tahoma" w:hint="cs"/>
                        <w:sz w:val="24"/>
                        <w:szCs w:val="24"/>
                        <w:rtl/>
                      </w:rPr>
                      <w:t xml:space="preserve"> </w:t>
                    </w:r>
                    <w:r w:rsidR="00EE210F">
                      <w:rPr>
                        <w:rFonts w:ascii="Tahoma" w:hAnsi="Tahoma" w:cs="Tahoma" w:hint="cs"/>
                        <w:sz w:val="24"/>
                        <w:szCs w:val="24"/>
                        <w:rtl/>
                      </w:rPr>
                      <w:t xml:space="preserve"> </w:t>
                    </w:r>
                    <w:r w:rsidRPr="00EE210F" w:rsidR="00820929">
                      <w:rPr>
                        <w:rFonts w:ascii="Tahoma" w:hAnsi="Tahoma" w:cs="Tahoma" w:hint="cs"/>
                        <w:sz w:val="21"/>
                        <w:szCs w:val="21"/>
                        <w:rtl/>
                      </w:rPr>
                      <w:t xml:space="preserve">תקציר </w:t>
                    </w:r>
                    <w:r w:rsidRPr="00EE210F">
                      <w:rPr>
                        <w:rFonts w:ascii="Tahoma" w:hAnsi="Tahoma" w:cs="Tahoma" w:hint="cs"/>
                        <w:sz w:val="21"/>
                        <w:szCs w:val="21"/>
                        <w:rtl/>
                      </w:rPr>
                      <w:t xml:space="preserve">|  </w:t>
                    </w:r>
                    <w:r w:rsidRPr="00D04C0B" w:rsidR="00D04C0B">
                      <w:rPr>
                        <w:rFonts w:ascii="Tahoma" w:hAnsi="Tahoma" w:cs="Tahoma"/>
                        <w:b/>
                        <w:bCs/>
                        <w:sz w:val="21"/>
                        <w:szCs w:val="21"/>
                        <w:rtl/>
                      </w:rPr>
                      <w:t>התמודדותן של רשויות השלטון עם תהליכי הרס המצוק החופי - ביקורת מעקב</w:t>
                    </w:r>
                  </w:p>
                </w:txbxContent>
              </v:textbox>
              <w10:wrap type="square"/>
            </v:shape>
          </w:pict>
        </mc:Fallback>
      </mc:AlternateContent>
    </w:r>
  </w:p>
  <w:p w:rsidR="00E56721" w:rsidP="001526AC" w14:paraId="52A32138"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573E41A0"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6C6D17AB">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התשפ״ד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70F458A6" w14:textId="6C6D17AB">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התשפ״ד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3AE863C8"/>
    <w:lvl w:ilvl="0">
      <w:start w:val="1"/>
      <w:numFmt w:val="decimal"/>
      <w:lvlText w:val="%1."/>
      <w:lvlJc w:val="left"/>
      <w:pPr>
        <w:tabs>
          <w:tab w:val="num" w:pos="1492"/>
        </w:tabs>
        <w:ind w:left="1492" w:hanging="360"/>
      </w:pPr>
    </w:lvl>
  </w:abstractNum>
  <w:abstractNum w:abstractNumId="1">
    <w:nsid w:val="FFFFFF7D"/>
    <w:multiLevelType w:val="singleLevel"/>
    <w:tmpl w:val="500AF72E"/>
    <w:lvl w:ilvl="0">
      <w:start w:val="1"/>
      <w:numFmt w:val="decimal"/>
      <w:lvlText w:val="%1."/>
      <w:lvlJc w:val="left"/>
      <w:pPr>
        <w:tabs>
          <w:tab w:val="num" w:pos="1209"/>
        </w:tabs>
        <w:ind w:left="1209" w:hanging="360"/>
      </w:pPr>
    </w:lvl>
  </w:abstractNum>
  <w:abstractNum w:abstractNumId="2">
    <w:nsid w:val="FFFFFF7F"/>
    <w:multiLevelType w:val="singleLevel"/>
    <w:tmpl w:val="6A0226EA"/>
    <w:lvl w:ilvl="0">
      <w:start w:val="1"/>
      <w:numFmt w:val="decimal"/>
      <w:lvlText w:val="%1."/>
      <w:lvlJc w:val="left"/>
      <w:pPr>
        <w:tabs>
          <w:tab w:val="num" w:pos="643"/>
        </w:tabs>
        <w:ind w:left="643" w:hanging="360"/>
      </w:pPr>
    </w:lvl>
  </w:abstractNum>
  <w:abstractNum w:abstractNumId="3">
    <w:nsid w:val="FFFFFF80"/>
    <w:multiLevelType w:val="singleLevel"/>
    <w:tmpl w:val="E7CC3AE8"/>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3D2E09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46B2748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71CB5C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6DB089EE"/>
    <w:lvl w:ilvl="0">
      <w:start w:val="1"/>
      <w:numFmt w:val="bullet"/>
      <w:lvlText w:val=""/>
      <w:lvlJc w:val="left"/>
      <w:pPr>
        <w:tabs>
          <w:tab w:val="num" w:pos="360"/>
        </w:tabs>
        <w:ind w:left="360" w:hanging="360"/>
      </w:pPr>
      <w:rPr>
        <w:rFonts w:ascii="Symbol" w:hAnsi="Symbol" w:hint="default"/>
      </w:rPr>
    </w:lvl>
  </w:abstractNum>
  <w:abstractNum w:abstractNumId="8">
    <w:nsid w:val="020A70F9"/>
    <w:multiLevelType w:val="hybridMultilevel"/>
    <w:tmpl w:val="A748F26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07C54509"/>
    <w:multiLevelType w:val="multilevel"/>
    <w:tmpl w:val="3030E6FC"/>
    <w:lvl w:ilvl="0">
      <w:start w:val="1"/>
      <w:numFmt w:val="decimal"/>
      <w:pStyle w:val="732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8216AB"/>
    <w:multiLevelType w:val="hybridMultilevel"/>
    <w:tmpl w:val="BB7ADECA"/>
    <w:lvl w:ilvl="0">
      <w:start w:val="1"/>
      <w:numFmt w:val="hebrew1"/>
      <w:pStyle w:val="123"/>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CE47C9F"/>
    <w:multiLevelType w:val="hybridMultilevel"/>
    <w:tmpl w:val="5DD64334"/>
    <w:lvl w:ilvl="0">
      <w:start w:val="1"/>
      <w:numFmt w:val="bullet"/>
      <w:lvlText w:val=""/>
      <w:lvlJc w:val="left"/>
      <w:pPr>
        <w:ind w:left="217" w:hanging="360"/>
      </w:pPr>
      <w:rPr>
        <w:rFonts w:ascii="Symbol" w:hAnsi="Symbol" w:cs="Symbol" w:hint="default"/>
        <w:b/>
        <w:bCs/>
        <w:color w:val="FF0000"/>
        <w:szCs w:val="28"/>
      </w:rPr>
    </w:lvl>
    <w:lvl w:ilvl="1" w:tentative="1">
      <w:start w:val="1"/>
      <w:numFmt w:val="bullet"/>
      <w:lvlText w:val="o"/>
      <w:lvlJc w:val="left"/>
      <w:pPr>
        <w:ind w:left="937" w:hanging="360"/>
      </w:pPr>
      <w:rPr>
        <w:rFonts w:ascii="Courier New" w:hAnsi="Courier New" w:cs="Courier New" w:hint="default"/>
      </w:rPr>
    </w:lvl>
    <w:lvl w:ilvl="2" w:tentative="1">
      <w:start w:val="1"/>
      <w:numFmt w:val="bullet"/>
      <w:lvlText w:val=""/>
      <w:lvlJc w:val="left"/>
      <w:pPr>
        <w:ind w:left="1657" w:hanging="360"/>
      </w:pPr>
      <w:rPr>
        <w:rFonts w:ascii="Wingdings" w:hAnsi="Wingdings" w:hint="default"/>
      </w:rPr>
    </w:lvl>
    <w:lvl w:ilvl="3" w:tentative="1">
      <w:start w:val="1"/>
      <w:numFmt w:val="bullet"/>
      <w:lvlText w:val=""/>
      <w:lvlJc w:val="left"/>
      <w:pPr>
        <w:ind w:left="2377" w:hanging="360"/>
      </w:pPr>
      <w:rPr>
        <w:rFonts w:ascii="Symbol" w:hAnsi="Symbol" w:hint="default"/>
      </w:rPr>
    </w:lvl>
    <w:lvl w:ilvl="4" w:tentative="1">
      <w:start w:val="1"/>
      <w:numFmt w:val="bullet"/>
      <w:lvlText w:val="o"/>
      <w:lvlJc w:val="left"/>
      <w:pPr>
        <w:ind w:left="3097" w:hanging="360"/>
      </w:pPr>
      <w:rPr>
        <w:rFonts w:ascii="Courier New" w:hAnsi="Courier New" w:cs="Courier New" w:hint="default"/>
      </w:rPr>
    </w:lvl>
    <w:lvl w:ilvl="5" w:tentative="1">
      <w:start w:val="1"/>
      <w:numFmt w:val="bullet"/>
      <w:lvlText w:val=""/>
      <w:lvlJc w:val="left"/>
      <w:pPr>
        <w:ind w:left="3817" w:hanging="360"/>
      </w:pPr>
      <w:rPr>
        <w:rFonts w:ascii="Wingdings" w:hAnsi="Wingdings" w:hint="default"/>
      </w:rPr>
    </w:lvl>
    <w:lvl w:ilvl="6" w:tentative="1">
      <w:start w:val="1"/>
      <w:numFmt w:val="bullet"/>
      <w:lvlText w:val=""/>
      <w:lvlJc w:val="left"/>
      <w:pPr>
        <w:ind w:left="4537" w:hanging="360"/>
      </w:pPr>
      <w:rPr>
        <w:rFonts w:ascii="Symbol" w:hAnsi="Symbol" w:hint="default"/>
      </w:rPr>
    </w:lvl>
    <w:lvl w:ilvl="7" w:tentative="1">
      <w:start w:val="1"/>
      <w:numFmt w:val="bullet"/>
      <w:lvlText w:val="o"/>
      <w:lvlJc w:val="left"/>
      <w:pPr>
        <w:ind w:left="5257" w:hanging="360"/>
      </w:pPr>
      <w:rPr>
        <w:rFonts w:ascii="Courier New" w:hAnsi="Courier New" w:cs="Courier New" w:hint="default"/>
      </w:rPr>
    </w:lvl>
    <w:lvl w:ilvl="8" w:tentative="1">
      <w:start w:val="1"/>
      <w:numFmt w:val="bullet"/>
      <w:lvlText w:val=""/>
      <w:lvlJc w:val="left"/>
      <w:pPr>
        <w:ind w:left="5977" w:hanging="360"/>
      </w:pPr>
      <w:rPr>
        <w:rFonts w:ascii="Wingdings" w:hAnsi="Wingdings" w:hint="default"/>
      </w:rPr>
    </w:lvl>
  </w:abstractNum>
  <w:abstractNum w:abstractNumId="13">
    <w:nsid w:val="25C11F8F"/>
    <w:multiLevelType w:val="hybridMultilevel"/>
    <w:tmpl w:val="723AA1A8"/>
    <w:lvl w:ilvl="0">
      <w:start w:val="1"/>
      <w:numFmt w:val="bullet"/>
      <w:pStyle w:val="755"/>
      <w:lvlText w:val=""/>
      <w:lvlJc w:val="left"/>
      <w:pPr>
        <w:ind w:left="927" w:hanging="360"/>
      </w:pPr>
      <w:rPr>
        <w:rFonts w:ascii="Symbol" w:hAnsi="Symbol" w:cs="Symbol" w:hint="default"/>
        <w:b/>
        <w:bCs/>
        <w:color w:val="FF0000"/>
        <w:sz w:val="19"/>
        <w:szCs w:val="19"/>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nsid w:val="30D17255"/>
    <w:multiLevelType w:val="hybridMultilevel"/>
    <w:tmpl w:val="F1AE1FFC"/>
    <w:lvl w:ilvl="0">
      <w:start w:val="1"/>
      <w:numFmt w:val="decimal"/>
      <w:pStyle w:val="a57"/>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6">
    <w:nsid w:val="316B14B9"/>
    <w:multiLevelType w:val="hybridMultilevel"/>
    <w:tmpl w:val="378E9214"/>
    <w:lvl w:ilvl="0">
      <w:start w:val="1"/>
      <w:numFmt w:val="decimal"/>
      <w:pStyle w:val="a55"/>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7">
    <w:nsid w:val="33A86F96"/>
    <w:multiLevelType w:val="hybridMultilevel"/>
    <w:tmpl w:val="220A2AB2"/>
    <w:lvl w:ilvl="0">
      <w:start w:val="1"/>
      <w:numFmt w:val="decimal"/>
      <w:pStyle w:val="a59"/>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8">
    <w:nsid w:val="35EE30E9"/>
    <w:multiLevelType w:val="hybridMultilevel"/>
    <w:tmpl w:val="D2E4FDCC"/>
    <w:lvl w:ilvl="0">
      <w:start w:val="2"/>
      <w:numFmt w:val="bullet"/>
      <w:lvlText w:val=""/>
      <w:lvlJc w:val="left"/>
      <w:pPr>
        <w:ind w:left="397" w:hanging="397"/>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A923526"/>
    <w:multiLevelType w:val="hybridMultilevel"/>
    <w:tmpl w:val="4E74417E"/>
    <w:lvl w:ilvl="0">
      <w:start w:val="1"/>
      <w:numFmt w:val="decimal"/>
      <w:pStyle w:val="a53"/>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40DC7E01"/>
    <w:multiLevelType w:val="hybridMultilevel"/>
    <w:tmpl w:val="5D24C320"/>
    <w:lvl w:ilvl="0">
      <w:start w:val="1"/>
      <w:numFmt w:val="decimal"/>
      <w:pStyle w:val="33"/>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2">
    <w:nsid w:val="441A6670"/>
    <w:multiLevelType w:val="hybridMultilevel"/>
    <w:tmpl w:val="369C82D6"/>
    <w:lvl w:ilvl="0">
      <w:start w:val="1"/>
      <w:numFmt w:val="hebrew1"/>
      <w:pStyle w:val="35"/>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3">
    <w:nsid w:val="459C2999"/>
    <w:multiLevelType w:val="multilevel"/>
    <w:tmpl w:val="065C52B0"/>
    <w:lvl w:ilvl="0">
      <w:start w:val="1"/>
      <w:numFmt w:val="hebrew1"/>
      <w:pStyle w:val="732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4DD35436"/>
    <w:multiLevelType w:val="hybridMultilevel"/>
    <w:tmpl w:val="EC1EC164"/>
    <w:lvl w:ilvl="0">
      <w:start w:val="1"/>
      <w:numFmt w:val="decimal"/>
      <w:pStyle w:val="24"/>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5">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6">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F743717"/>
    <w:multiLevelType w:val="multilevel"/>
    <w:tmpl w:val="54B40DD4"/>
    <w:lvl w:ilvl="0">
      <w:start w:val="1"/>
      <w:numFmt w:val="decimal"/>
      <w:pStyle w:val="a15"/>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nsid w:val="665B09CB"/>
    <w:multiLevelType w:val="hybridMultilevel"/>
    <w:tmpl w:val="F98283A0"/>
    <w:lvl w:ilvl="0">
      <w:start w:val="1"/>
      <w:numFmt w:val="bullet"/>
      <w:pStyle w:val="52"/>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7C023892"/>
    <w:multiLevelType w:val="hybridMultilevel"/>
    <w:tmpl w:val="8C4CE6C4"/>
    <w:lvl w:ilvl="0">
      <w:start w:val="1"/>
      <w:numFmt w:val="bullet"/>
      <w:lvlText w:val=""/>
      <w:lvlJc w:val="left"/>
      <w:pPr>
        <w:ind w:left="417"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D365B29"/>
    <w:multiLevelType w:val="multilevel"/>
    <w:tmpl w:val="E3AA6D54"/>
    <w:lvl w:ilvl="0">
      <w:start w:val="1"/>
      <w:numFmt w:val="hebrew1"/>
      <w:pStyle w:val="7322"/>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2">
    <w:nsid w:val="7E431D00"/>
    <w:multiLevelType w:val="hybridMultilevel"/>
    <w:tmpl w:val="7576C230"/>
    <w:lvl w:ilvl="0">
      <w:start w:val="1"/>
      <w:numFmt w:val="decimal"/>
      <w:pStyle w:val="120"/>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5"/>
  </w:num>
  <w:num w:numId="2">
    <w:abstractNumId w:val="14"/>
  </w:num>
  <w:num w:numId="3">
    <w:abstractNumId w:val="20"/>
  </w:num>
  <w:num w:numId="4">
    <w:abstractNumId w:val="31"/>
  </w:num>
  <w:num w:numId="5">
    <w:abstractNumId w:val="9"/>
  </w:num>
  <w:num w:numId="6">
    <w:abstractNumId w:val="23"/>
  </w:num>
  <w:num w:numId="7">
    <w:abstractNumId w:val="27"/>
  </w:num>
  <w:num w:numId="8">
    <w:abstractNumId w:val="11"/>
  </w:num>
  <w:num w:numId="9">
    <w:abstractNumId w:val="26"/>
  </w:num>
  <w:num w:numId="10">
    <w:abstractNumId w:val="30"/>
  </w:num>
  <w:num w:numId="11">
    <w:abstractNumId w:val="8"/>
  </w:num>
  <w:num w:numId="12">
    <w:abstractNumId w:val="18"/>
  </w:num>
  <w:num w:numId="13">
    <w:abstractNumId w:val="32"/>
  </w:num>
  <w:num w:numId="14">
    <w:abstractNumId w:val="24"/>
  </w:num>
  <w:num w:numId="15">
    <w:abstractNumId w:val="21"/>
  </w:num>
  <w:num w:numId="16">
    <w:abstractNumId w:val="10"/>
  </w:num>
  <w:num w:numId="17">
    <w:abstractNumId w:val="22"/>
  </w:num>
  <w:num w:numId="18">
    <w:abstractNumId w:val="28"/>
  </w:num>
  <w:num w:numId="19">
    <w:abstractNumId w:val="19"/>
  </w:num>
  <w:num w:numId="20">
    <w:abstractNumId w:val="16"/>
  </w:num>
  <w:num w:numId="21">
    <w:abstractNumId w:val="15"/>
  </w:num>
  <w:num w:numId="22">
    <w:abstractNumId w:val="17"/>
  </w:num>
  <w:num w:numId="23">
    <w:abstractNumId w:val="7"/>
  </w:num>
  <w:num w:numId="24">
    <w:abstractNumId w:val="6"/>
  </w:num>
  <w:num w:numId="25">
    <w:abstractNumId w:val="5"/>
  </w:num>
  <w:num w:numId="26">
    <w:abstractNumId w:val="4"/>
  </w:num>
  <w:num w:numId="27">
    <w:abstractNumId w:val="3"/>
  </w:num>
  <w:num w:numId="28">
    <w:abstractNumId w:val="2"/>
  </w:num>
  <w:num w:numId="29">
    <w:abstractNumId w:val="1"/>
  </w:num>
  <w:num w:numId="30">
    <w:abstractNumId w:val="0"/>
  </w:num>
  <w:num w:numId="31">
    <w:abstractNumId w:val="13"/>
  </w:num>
  <w:num w:numId="32">
    <w:abstractNumId w:val="13"/>
  </w:num>
  <w:num w:numId="33">
    <w:abstractNumId w:val="12"/>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displayBackgroundShape/>
  <w:gutterAtTop/>
  <w:proofState w:spelling="clean" w:grammar="clean"/>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116"/>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461"/>
    <w:rsid w:val="00013641"/>
    <w:rsid w:val="00013BC3"/>
    <w:rsid w:val="00013E84"/>
    <w:rsid w:val="0001431C"/>
    <w:rsid w:val="0001482C"/>
    <w:rsid w:val="00014D29"/>
    <w:rsid w:val="000152F7"/>
    <w:rsid w:val="00015564"/>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BF9"/>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058"/>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893"/>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5E"/>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9BB"/>
    <w:rsid w:val="00076ED7"/>
    <w:rsid w:val="0007717F"/>
    <w:rsid w:val="0007762A"/>
    <w:rsid w:val="000779CE"/>
    <w:rsid w:val="00077B79"/>
    <w:rsid w:val="00080072"/>
    <w:rsid w:val="000803F2"/>
    <w:rsid w:val="00080C22"/>
    <w:rsid w:val="00080EB5"/>
    <w:rsid w:val="00081D0E"/>
    <w:rsid w:val="000821CA"/>
    <w:rsid w:val="000824F8"/>
    <w:rsid w:val="0008345D"/>
    <w:rsid w:val="00083692"/>
    <w:rsid w:val="000837F2"/>
    <w:rsid w:val="00083A12"/>
    <w:rsid w:val="00083FD0"/>
    <w:rsid w:val="00084E3A"/>
    <w:rsid w:val="00085086"/>
    <w:rsid w:val="000857A8"/>
    <w:rsid w:val="00085A22"/>
    <w:rsid w:val="00085B99"/>
    <w:rsid w:val="0008625B"/>
    <w:rsid w:val="00086738"/>
    <w:rsid w:val="00086BCD"/>
    <w:rsid w:val="00087176"/>
    <w:rsid w:val="00087686"/>
    <w:rsid w:val="00087F13"/>
    <w:rsid w:val="000901C8"/>
    <w:rsid w:val="0009042C"/>
    <w:rsid w:val="00090633"/>
    <w:rsid w:val="000907D0"/>
    <w:rsid w:val="00091397"/>
    <w:rsid w:val="0009149F"/>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6E4E"/>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68E"/>
    <w:rsid w:val="000C3BAD"/>
    <w:rsid w:val="000C3EE2"/>
    <w:rsid w:val="000C404B"/>
    <w:rsid w:val="000C43E0"/>
    <w:rsid w:val="000C492E"/>
    <w:rsid w:val="000C50A1"/>
    <w:rsid w:val="000C54C6"/>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102"/>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4FA5"/>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DB4"/>
    <w:rsid w:val="000F2E36"/>
    <w:rsid w:val="000F2F7E"/>
    <w:rsid w:val="000F3700"/>
    <w:rsid w:val="000F441E"/>
    <w:rsid w:val="000F4578"/>
    <w:rsid w:val="000F4B6E"/>
    <w:rsid w:val="000F4C79"/>
    <w:rsid w:val="000F5023"/>
    <w:rsid w:val="000F53C2"/>
    <w:rsid w:val="000F59F3"/>
    <w:rsid w:val="000F5EDB"/>
    <w:rsid w:val="000F60AB"/>
    <w:rsid w:val="000F62A9"/>
    <w:rsid w:val="000F62EF"/>
    <w:rsid w:val="000F6CAD"/>
    <w:rsid w:val="000F6F38"/>
    <w:rsid w:val="000F7636"/>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3B7"/>
    <w:rsid w:val="00131CCD"/>
    <w:rsid w:val="00131EDD"/>
    <w:rsid w:val="00132126"/>
    <w:rsid w:val="001321A1"/>
    <w:rsid w:val="0013302E"/>
    <w:rsid w:val="0013406B"/>
    <w:rsid w:val="00134F83"/>
    <w:rsid w:val="001354CB"/>
    <w:rsid w:val="00135695"/>
    <w:rsid w:val="00135742"/>
    <w:rsid w:val="001357C3"/>
    <w:rsid w:val="00135A23"/>
    <w:rsid w:val="00135B1B"/>
    <w:rsid w:val="00136479"/>
    <w:rsid w:val="00136496"/>
    <w:rsid w:val="0013664A"/>
    <w:rsid w:val="0013667B"/>
    <w:rsid w:val="0013696C"/>
    <w:rsid w:val="00136A10"/>
    <w:rsid w:val="00136A3E"/>
    <w:rsid w:val="0013702C"/>
    <w:rsid w:val="001370CF"/>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95A"/>
    <w:rsid w:val="00152C2F"/>
    <w:rsid w:val="00153149"/>
    <w:rsid w:val="00153A60"/>
    <w:rsid w:val="00153D95"/>
    <w:rsid w:val="00154091"/>
    <w:rsid w:val="0015454A"/>
    <w:rsid w:val="00154682"/>
    <w:rsid w:val="00154827"/>
    <w:rsid w:val="00154F60"/>
    <w:rsid w:val="00154FB8"/>
    <w:rsid w:val="001551DD"/>
    <w:rsid w:val="00155501"/>
    <w:rsid w:val="001560B9"/>
    <w:rsid w:val="00156CAA"/>
    <w:rsid w:val="00156DEF"/>
    <w:rsid w:val="0015702B"/>
    <w:rsid w:val="00157577"/>
    <w:rsid w:val="00157D86"/>
    <w:rsid w:val="00160155"/>
    <w:rsid w:val="001602D0"/>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47"/>
    <w:rsid w:val="001674FF"/>
    <w:rsid w:val="001675AA"/>
    <w:rsid w:val="00167D07"/>
    <w:rsid w:val="00170230"/>
    <w:rsid w:val="00170320"/>
    <w:rsid w:val="00170625"/>
    <w:rsid w:val="0017091D"/>
    <w:rsid w:val="00170DCB"/>
    <w:rsid w:val="0017146B"/>
    <w:rsid w:val="00171552"/>
    <w:rsid w:val="00171B4A"/>
    <w:rsid w:val="00171F57"/>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B5E"/>
    <w:rsid w:val="00182D37"/>
    <w:rsid w:val="00182DC0"/>
    <w:rsid w:val="00183085"/>
    <w:rsid w:val="001839FA"/>
    <w:rsid w:val="00183DDC"/>
    <w:rsid w:val="0018505D"/>
    <w:rsid w:val="001850C6"/>
    <w:rsid w:val="0018586A"/>
    <w:rsid w:val="001858E5"/>
    <w:rsid w:val="00185AE7"/>
    <w:rsid w:val="00185B85"/>
    <w:rsid w:val="00185C35"/>
    <w:rsid w:val="00185DF7"/>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1E"/>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AF0"/>
    <w:rsid w:val="001B4B0A"/>
    <w:rsid w:val="001B4E87"/>
    <w:rsid w:val="001B4EA7"/>
    <w:rsid w:val="001B5656"/>
    <w:rsid w:val="001B5DFF"/>
    <w:rsid w:val="001B65B8"/>
    <w:rsid w:val="001B6F86"/>
    <w:rsid w:val="001B70CA"/>
    <w:rsid w:val="001B75F0"/>
    <w:rsid w:val="001C00D8"/>
    <w:rsid w:val="001C057E"/>
    <w:rsid w:val="001C0B1B"/>
    <w:rsid w:val="001C1095"/>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307"/>
    <w:rsid w:val="001D223A"/>
    <w:rsid w:val="001D2243"/>
    <w:rsid w:val="001D228F"/>
    <w:rsid w:val="001D2793"/>
    <w:rsid w:val="001D2F2A"/>
    <w:rsid w:val="001D3679"/>
    <w:rsid w:val="001D3CC2"/>
    <w:rsid w:val="001D4015"/>
    <w:rsid w:val="001D4406"/>
    <w:rsid w:val="001D461F"/>
    <w:rsid w:val="001D46D3"/>
    <w:rsid w:val="001D6714"/>
    <w:rsid w:val="001D6BF7"/>
    <w:rsid w:val="001D713E"/>
    <w:rsid w:val="001D77E6"/>
    <w:rsid w:val="001E0306"/>
    <w:rsid w:val="001E076C"/>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511"/>
    <w:rsid w:val="001F068F"/>
    <w:rsid w:val="001F0BBB"/>
    <w:rsid w:val="001F0DE8"/>
    <w:rsid w:val="001F2E3B"/>
    <w:rsid w:val="001F3363"/>
    <w:rsid w:val="001F3815"/>
    <w:rsid w:val="001F4057"/>
    <w:rsid w:val="001F407D"/>
    <w:rsid w:val="001F4183"/>
    <w:rsid w:val="001F4340"/>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07AC8"/>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CF1"/>
    <w:rsid w:val="00235D75"/>
    <w:rsid w:val="002366CE"/>
    <w:rsid w:val="00236D0B"/>
    <w:rsid w:val="00236F10"/>
    <w:rsid w:val="002375D3"/>
    <w:rsid w:val="00237F59"/>
    <w:rsid w:val="0024001A"/>
    <w:rsid w:val="00240887"/>
    <w:rsid w:val="00240A1C"/>
    <w:rsid w:val="00241142"/>
    <w:rsid w:val="00241958"/>
    <w:rsid w:val="002419F2"/>
    <w:rsid w:val="00242326"/>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3F4C"/>
    <w:rsid w:val="00254CF4"/>
    <w:rsid w:val="00254EF4"/>
    <w:rsid w:val="00255877"/>
    <w:rsid w:val="0025598F"/>
    <w:rsid w:val="0025701A"/>
    <w:rsid w:val="002575ED"/>
    <w:rsid w:val="002576EB"/>
    <w:rsid w:val="00257DE5"/>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2D"/>
    <w:rsid w:val="002739B2"/>
    <w:rsid w:val="00273FDF"/>
    <w:rsid w:val="0027424D"/>
    <w:rsid w:val="00275141"/>
    <w:rsid w:val="00275281"/>
    <w:rsid w:val="002753C7"/>
    <w:rsid w:val="00275A79"/>
    <w:rsid w:val="002760DC"/>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BB4"/>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7B5"/>
    <w:rsid w:val="00293FC3"/>
    <w:rsid w:val="00294150"/>
    <w:rsid w:val="00294251"/>
    <w:rsid w:val="00294322"/>
    <w:rsid w:val="00294784"/>
    <w:rsid w:val="00294AF0"/>
    <w:rsid w:val="00296A9F"/>
    <w:rsid w:val="00296C97"/>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140"/>
    <w:rsid w:val="002B12C0"/>
    <w:rsid w:val="002B1394"/>
    <w:rsid w:val="002B30DB"/>
    <w:rsid w:val="002B3A8C"/>
    <w:rsid w:val="002B524D"/>
    <w:rsid w:val="002B55FA"/>
    <w:rsid w:val="002B5A1F"/>
    <w:rsid w:val="002B5C10"/>
    <w:rsid w:val="002B5C6F"/>
    <w:rsid w:val="002B5D65"/>
    <w:rsid w:val="002B5EF2"/>
    <w:rsid w:val="002B637F"/>
    <w:rsid w:val="002B65DC"/>
    <w:rsid w:val="002B6803"/>
    <w:rsid w:val="002B6BE3"/>
    <w:rsid w:val="002B6FB4"/>
    <w:rsid w:val="002B730D"/>
    <w:rsid w:val="002B7BE6"/>
    <w:rsid w:val="002B7EC3"/>
    <w:rsid w:val="002C06EB"/>
    <w:rsid w:val="002C169F"/>
    <w:rsid w:val="002C1BB5"/>
    <w:rsid w:val="002C1D86"/>
    <w:rsid w:val="002C1EE0"/>
    <w:rsid w:val="002C234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3EF1"/>
    <w:rsid w:val="002D4617"/>
    <w:rsid w:val="002D4A3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1EAF"/>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2A"/>
    <w:rsid w:val="00324BC1"/>
    <w:rsid w:val="00324C2A"/>
    <w:rsid w:val="00324F0D"/>
    <w:rsid w:val="003257C6"/>
    <w:rsid w:val="0032587B"/>
    <w:rsid w:val="00325F44"/>
    <w:rsid w:val="00326ABF"/>
    <w:rsid w:val="00326C7C"/>
    <w:rsid w:val="00326EF0"/>
    <w:rsid w:val="00326F6A"/>
    <w:rsid w:val="003271AB"/>
    <w:rsid w:val="00327593"/>
    <w:rsid w:val="0032765C"/>
    <w:rsid w:val="00327D99"/>
    <w:rsid w:val="003303FB"/>
    <w:rsid w:val="003318C2"/>
    <w:rsid w:val="00331924"/>
    <w:rsid w:val="00331A96"/>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AC1"/>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1BC"/>
    <w:rsid w:val="00354469"/>
    <w:rsid w:val="0035448A"/>
    <w:rsid w:val="003547DE"/>
    <w:rsid w:val="00355453"/>
    <w:rsid w:val="003555D2"/>
    <w:rsid w:val="003559A1"/>
    <w:rsid w:val="00355B59"/>
    <w:rsid w:val="00356540"/>
    <w:rsid w:val="003566E6"/>
    <w:rsid w:val="00356926"/>
    <w:rsid w:val="00356ABC"/>
    <w:rsid w:val="00356B09"/>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0C4D"/>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77C9B"/>
    <w:rsid w:val="00380052"/>
    <w:rsid w:val="003801D8"/>
    <w:rsid w:val="0038065D"/>
    <w:rsid w:val="003806AE"/>
    <w:rsid w:val="003806D8"/>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703"/>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5AEF"/>
    <w:rsid w:val="00395BB1"/>
    <w:rsid w:val="00396082"/>
    <w:rsid w:val="00396AAF"/>
    <w:rsid w:val="00396D3F"/>
    <w:rsid w:val="00396EB2"/>
    <w:rsid w:val="00396F8D"/>
    <w:rsid w:val="003971AD"/>
    <w:rsid w:val="00397234"/>
    <w:rsid w:val="00397B41"/>
    <w:rsid w:val="00397C56"/>
    <w:rsid w:val="003A042B"/>
    <w:rsid w:val="003A065D"/>
    <w:rsid w:val="003A0852"/>
    <w:rsid w:val="003A08AE"/>
    <w:rsid w:val="003A1C2B"/>
    <w:rsid w:val="003A22C1"/>
    <w:rsid w:val="003A239E"/>
    <w:rsid w:val="003A24CA"/>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2C2"/>
    <w:rsid w:val="003B166B"/>
    <w:rsid w:val="003B1F61"/>
    <w:rsid w:val="003B23BE"/>
    <w:rsid w:val="003B30AD"/>
    <w:rsid w:val="003B4099"/>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B3C"/>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4F02"/>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A00"/>
    <w:rsid w:val="003F0C61"/>
    <w:rsid w:val="003F0C8F"/>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182"/>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3B4"/>
    <w:rsid w:val="00430AA9"/>
    <w:rsid w:val="00431AA5"/>
    <w:rsid w:val="00431C39"/>
    <w:rsid w:val="00432941"/>
    <w:rsid w:val="00432A56"/>
    <w:rsid w:val="00433D69"/>
    <w:rsid w:val="00433DC5"/>
    <w:rsid w:val="00434C19"/>
    <w:rsid w:val="00435183"/>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790"/>
    <w:rsid w:val="00457ADE"/>
    <w:rsid w:val="00460179"/>
    <w:rsid w:val="00460407"/>
    <w:rsid w:val="00460B1C"/>
    <w:rsid w:val="00460FB8"/>
    <w:rsid w:val="004617CF"/>
    <w:rsid w:val="004622BB"/>
    <w:rsid w:val="00462348"/>
    <w:rsid w:val="004626B6"/>
    <w:rsid w:val="00462D41"/>
    <w:rsid w:val="00463683"/>
    <w:rsid w:val="00463FD6"/>
    <w:rsid w:val="00464D56"/>
    <w:rsid w:val="00464DF0"/>
    <w:rsid w:val="00465562"/>
    <w:rsid w:val="00465DDF"/>
    <w:rsid w:val="004661DB"/>
    <w:rsid w:val="004663C7"/>
    <w:rsid w:val="00466ACD"/>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7E7"/>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49C"/>
    <w:rsid w:val="00483526"/>
    <w:rsid w:val="004836A0"/>
    <w:rsid w:val="00483BD1"/>
    <w:rsid w:val="00483D0D"/>
    <w:rsid w:val="00484297"/>
    <w:rsid w:val="004845B2"/>
    <w:rsid w:val="00485309"/>
    <w:rsid w:val="00485787"/>
    <w:rsid w:val="00486172"/>
    <w:rsid w:val="004862BA"/>
    <w:rsid w:val="004865D8"/>
    <w:rsid w:val="0048673E"/>
    <w:rsid w:val="00486D58"/>
    <w:rsid w:val="00487083"/>
    <w:rsid w:val="00487169"/>
    <w:rsid w:val="004875EB"/>
    <w:rsid w:val="004878FE"/>
    <w:rsid w:val="0049015A"/>
    <w:rsid w:val="004902C9"/>
    <w:rsid w:val="00490D8B"/>
    <w:rsid w:val="00490E40"/>
    <w:rsid w:val="00491199"/>
    <w:rsid w:val="00491607"/>
    <w:rsid w:val="004917DE"/>
    <w:rsid w:val="004919A3"/>
    <w:rsid w:val="00491D1E"/>
    <w:rsid w:val="00492A59"/>
    <w:rsid w:val="00492B5D"/>
    <w:rsid w:val="00492D47"/>
    <w:rsid w:val="004930AA"/>
    <w:rsid w:val="004939B6"/>
    <w:rsid w:val="00493AE1"/>
    <w:rsid w:val="00493CBE"/>
    <w:rsid w:val="004945A4"/>
    <w:rsid w:val="00494C49"/>
    <w:rsid w:val="00495214"/>
    <w:rsid w:val="00495276"/>
    <w:rsid w:val="0049546D"/>
    <w:rsid w:val="004955D7"/>
    <w:rsid w:val="0049574B"/>
    <w:rsid w:val="00495B2E"/>
    <w:rsid w:val="004964BE"/>
    <w:rsid w:val="004964E5"/>
    <w:rsid w:val="004965B9"/>
    <w:rsid w:val="00496644"/>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190"/>
    <w:rsid w:val="004A7203"/>
    <w:rsid w:val="004A7751"/>
    <w:rsid w:val="004A77C4"/>
    <w:rsid w:val="004A7ABE"/>
    <w:rsid w:val="004B0303"/>
    <w:rsid w:val="004B039B"/>
    <w:rsid w:val="004B09A3"/>
    <w:rsid w:val="004B117A"/>
    <w:rsid w:val="004B1737"/>
    <w:rsid w:val="004B18AE"/>
    <w:rsid w:val="004B21B0"/>
    <w:rsid w:val="004B2564"/>
    <w:rsid w:val="004B2D77"/>
    <w:rsid w:val="004B2F85"/>
    <w:rsid w:val="004B3850"/>
    <w:rsid w:val="004B3910"/>
    <w:rsid w:val="004B3A7A"/>
    <w:rsid w:val="004B42DF"/>
    <w:rsid w:val="004B4502"/>
    <w:rsid w:val="004B4756"/>
    <w:rsid w:val="004B5F52"/>
    <w:rsid w:val="004B5F7A"/>
    <w:rsid w:val="004B6164"/>
    <w:rsid w:val="004B63AE"/>
    <w:rsid w:val="004B7C1A"/>
    <w:rsid w:val="004C056A"/>
    <w:rsid w:val="004C0FFF"/>
    <w:rsid w:val="004C1260"/>
    <w:rsid w:val="004C1653"/>
    <w:rsid w:val="004C1BDC"/>
    <w:rsid w:val="004C209B"/>
    <w:rsid w:val="004C2149"/>
    <w:rsid w:val="004C2531"/>
    <w:rsid w:val="004C2B02"/>
    <w:rsid w:val="004C2E2E"/>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3FB"/>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379D"/>
    <w:rsid w:val="004F431D"/>
    <w:rsid w:val="004F43AB"/>
    <w:rsid w:val="004F45C7"/>
    <w:rsid w:val="004F4C67"/>
    <w:rsid w:val="004F4F1F"/>
    <w:rsid w:val="004F4F7A"/>
    <w:rsid w:val="004F4F85"/>
    <w:rsid w:val="004F5000"/>
    <w:rsid w:val="004F532F"/>
    <w:rsid w:val="004F539A"/>
    <w:rsid w:val="004F5417"/>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195"/>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09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68F9"/>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21"/>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014"/>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E2F"/>
    <w:rsid w:val="00572E40"/>
    <w:rsid w:val="0057319D"/>
    <w:rsid w:val="00573514"/>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2DA9"/>
    <w:rsid w:val="00583471"/>
    <w:rsid w:val="00583B95"/>
    <w:rsid w:val="005850FD"/>
    <w:rsid w:val="0058515C"/>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22"/>
    <w:rsid w:val="005A5A70"/>
    <w:rsid w:val="005A7389"/>
    <w:rsid w:val="005A777B"/>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2EF"/>
    <w:rsid w:val="005B4811"/>
    <w:rsid w:val="005B4C75"/>
    <w:rsid w:val="005B529D"/>
    <w:rsid w:val="005B52D1"/>
    <w:rsid w:val="005B53E0"/>
    <w:rsid w:val="005B554D"/>
    <w:rsid w:val="005B5853"/>
    <w:rsid w:val="005B5E6C"/>
    <w:rsid w:val="005B63E4"/>
    <w:rsid w:val="005B69CA"/>
    <w:rsid w:val="005B6AB5"/>
    <w:rsid w:val="005B6CCC"/>
    <w:rsid w:val="005B71CE"/>
    <w:rsid w:val="005B74F3"/>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0FB"/>
    <w:rsid w:val="005D24A9"/>
    <w:rsid w:val="005D25B7"/>
    <w:rsid w:val="005D25BE"/>
    <w:rsid w:val="005D293C"/>
    <w:rsid w:val="005D2A58"/>
    <w:rsid w:val="005D30B8"/>
    <w:rsid w:val="005D3ED4"/>
    <w:rsid w:val="005D42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155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098"/>
    <w:rsid w:val="005F14B1"/>
    <w:rsid w:val="005F16C0"/>
    <w:rsid w:val="005F1D95"/>
    <w:rsid w:val="005F1FA4"/>
    <w:rsid w:val="005F2129"/>
    <w:rsid w:val="005F22F1"/>
    <w:rsid w:val="005F27EF"/>
    <w:rsid w:val="005F2BA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0C5"/>
    <w:rsid w:val="005F7321"/>
    <w:rsid w:val="005F7CC7"/>
    <w:rsid w:val="00600F74"/>
    <w:rsid w:val="00601269"/>
    <w:rsid w:val="00601459"/>
    <w:rsid w:val="00601C2F"/>
    <w:rsid w:val="00602763"/>
    <w:rsid w:val="00602BBC"/>
    <w:rsid w:val="00603003"/>
    <w:rsid w:val="00603ABE"/>
    <w:rsid w:val="00603B97"/>
    <w:rsid w:val="00603D36"/>
    <w:rsid w:val="00603F19"/>
    <w:rsid w:val="0060433E"/>
    <w:rsid w:val="00604D69"/>
    <w:rsid w:val="006052E4"/>
    <w:rsid w:val="00605442"/>
    <w:rsid w:val="0060549B"/>
    <w:rsid w:val="00605538"/>
    <w:rsid w:val="00605776"/>
    <w:rsid w:val="006059E7"/>
    <w:rsid w:val="006061DB"/>
    <w:rsid w:val="006061F3"/>
    <w:rsid w:val="0060683C"/>
    <w:rsid w:val="00606EF9"/>
    <w:rsid w:val="00607532"/>
    <w:rsid w:val="00607C9B"/>
    <w:rsid w:val="006104FE"/>
    <w:rsid w:val="00610930"/>
    <w:rsid w:val="00610B37"/>
    <w:rsid w:val="00611216"/>
    <w:rsid w:val="006112E4"/>
    <w:rsid w:val="0061223F"/>
    <w:rsid w:val="006125B0"/>
    <w:rsid w:val="00612C20"/>
    <w:rsid w:val="00612DA5"/>
    <w:rsid w:val="00612E61"/>
    <w:rsid w:val="00612FC6"/>
    <w:rsid w:val="00613D28"/>
    <w:rsid w:val="0061404F"/>
    <w:rsid w:val="0061424C"/>
    <w:rsid w:val="00614C2C"/>
    <w:rsid w:val="00614E96"/>
    <w:rsid w:val="00614EA9"/>
    <w:rsid w:val="00615072"/>
    <w:rsid w:val="00615EA0"/>
    <w:rsid w:val="00615F30"/>
    <w:rsid w:val="00616E27"/>
    <w:rsid w:val="00617088"/>
    <w:rsid w:val="00617396"/>
    <w:rsid w:val="00617831"/>
    <w:rsid w:val="0061794C"/>
    <w:rsid w:val="0062007E"/>
    <w:rsid w:val="00620205"/>
    <w:rsid w:val="006202CC"/>
    <w:rsid w:val="0062030A"/>
    <w:rsid w:val="00620470"/>
    <w:rsid w:val="00620736"/>
    <w:rsid w:val="006212E4"/>
    <w:rsid w:val="00621EF4"/>
    <w:rsid w:val="00622128"/>
    <w:rsid w:val="006229D3"/>
    <w:rsid w:val="006230E9"/>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62D"/>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099"/>
    <w:rsid w:val="006541A6"/>
    <w:rsid w:val="00654347"/>
    <w:rsid w:val="00654926"/>
    <w:rsid w:val="00654BA4"/>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5C29"/>
    <w:rsid w:val="006662AD"/>
    <w:rsid w:val="006668CA"/>
    <w:rsid w:val="00666E99"/>
    <w:rsid w:val="0066760C"/>
    <w:rsid w:val="00667ABB"/>
    <w:rsid w:val="006708C9"/>
    <w:rsid w:val="00670B88"/>
    <w:rsid w:val="00670E84"/>
    <w:rsid w:val="0067123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AB7"/>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D79"/>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538"/>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033"/>
    <w:rsid w:val="006C4287"/>
    <w:rsid w:val="006C431D"/>
    <w:rsid w:val="006C4D54"/>
    <w:rsid w:val="006C58DF"/>
    <w:rsid w:val="006C6452"/>
    <w:rsid w:val="006C6CE3"/>
    <w:rsid w:val="006C6D27"/>
    <w:rsid w:val="006C7199"/>
    <w:rsid w:val="006C7422"/>
    <w:rsid w:val="006D0087"/>
    <w:rsid w:val="006D04D2"/>
    <w:rsid w:val="006D09D9"/>
    <w:rsid w:val="006D131F"/>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AAD"/>
    <w:rsid w:val="00704B68"/>
    <w:rsid w:val="00704C87"/>
    <w:rsid w:val="00704E3E"/>
    <w:rsid w:val="00705DA7"/>
    <w:rsid w:val="00706096"/>
    <w:rsid w:val="00706400"/>
    <w:rsid w:val="00706474"/>
    <w:rsid w:val="007068AF"/>
    <w:rsid w:val="007069D0"/>
    <w:rsid w:val="0070704B"/>
    <w:rsid w:val="00707989"/>
    <w:rsid w:val="00710AF8"/>
    <w:rsid w:val="00710BF9"/>
    <w:rsid w:val="00710F65"/>
    <w:rsid w:val="00711425"/>
    <w:rsid w:val="007123F2"/>
    <w:rsid w:val="00712ACD"/>
    <w:rsid w:val="0071327A"/>
    <w:rsid w:val="00713714"/>
    <w:rsid w:val="0071397B"/>
    <w:rsid w:val="007139D1"/>
    <w:rsid w:val="00713E05"/>
    <w:rsid w:val="007149F9"/>
    <w:rsid w:val="00714D15"/>
    <w:rsid w:val="00715002"/>
    <w:rsid w:val="007158E1"/>
    <w:rsid w:val="007159B9"/>
    <w:rsid w:val="00715C7C"/>
    <w:rsid w:val="007163C0"/>
    <w:rsid w:val="007167BA"/>
    <w:rsid w:val="00716B1B"/>
    <w:rsid w:val="0071719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5EE5"/>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BD8"/>
    <w:rsid w:val="00732E66"/>
    <w:rsid w:val="0073326F"/>
    <w:rsid w:val="0073378E"/>
    <w:rsid w:val="00733F2B"/>
    <w:rsid w:val="007343B1"/>
    <w:rsid w:val="00734516"/>
    <w:rsid w:val="00734D2F"/>
    <w:rsid w:val="00735043"/>
    <w:rsid w:val="007350EE"/>
    <w:rsid w:val="007354C5"/>
    <w:rsid w:val="007356CC"/>
    <w:rsid w:val="0073630E"/>
    <w:rsid w:val="0073631E"/>
    <w:rsid w:val="00736983"/>
    <w:rsid w:val="007374FB"/>
    <w:rsid w:val="00737520"/>
    <w:rsid w:val="0073756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25D"/>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64F"/>
    <w:rsid w:val="007657FC"/>
    <w:rsid w:val="00765971"/>
    <w:rsid w:val="0076677C"/>
    <w:rsid w:val="00766829"/>
    <w:rsid w:val="00766A81"/>
    <w:rsid w:val="00766AEC"/>
    <w:rsid w:val="0076737F"/>
    <w:rsid w:val="00767502"/>
    <w:rsid w:val="007678E6"/>
    <w:rsid w:val="00767B25"/>
    <w:rsid w:val="007702E5"/>
    <w:rsid w:val="00770AC7"/>
    <w:rsid w:val="0077118C"/>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5F19"/>
    <w:rsid w:val="00786364"/>
    <w:rsid w:val="00787591"/>
    <w:rsid w:val="007877E8"/>
    <w:rsid w:val="00787AC0"/>
    <w:rsid w:val="00787EAD"/>
    <w:rsid w:val="0079068D"/>
    <w:rsid w:val="00790822"/>
    <w:rsid w:val="00790A1C"/>
    <w:rsid w:val="00790BF1"/>
    <w:rsid w:val="00791581"/>
    <w:rsid w:val="00792AFA"/>
    <w:rsid w:val="00792B80"/>
    <w:rsid w:val="007938BB"/>
    <w:rsid w:val="00794DDE"/>
    <w:rsid w:val="00795121"/>
    <w:rsid w:val="00795C02"/>
    <w:rsid w:val="00795E68"/>
    <w:rsid w:val="00795F23"/>
    <w:rsid w:val="00796843"/>
    <w:rsid w:val="0079701E"/>
    <w:rsid w:val="0079764A"/>
    <w:rsid w:val="00797A48"/>
    <w:rsid w:val="00797D0E"/>
    <w:rsid w:val="00797D14"/>
    <w:rsid w:val="00797DAD"/>
    <w:rsid w:val="007A029E"/>
    <w:rsid w:val="007A0926"/>
    <w:rsid w:val="007A09E2"/>
    <w:rsid w:val="007A1E36"/>
    <w:rsid w:val="007A2FCF"/>
    <w:rsid w:val="007A3128"/>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6F"/>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5C1"/>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D38"/>
    <w:rsid w:val="007F34DE"/>
    <w:rsid w:val="007F34EB"/>
    <w:rsid w:val="007F3B20"/>
    <w:rsid w:val="007F3B2C"/>
    <w:rsid w:val="007F3C16"/>
    <w:rsid w:val="007F4051"/>
    <w:rsid w:val="007F42D5"/>
    <w:rsid w:val="007F48AD"/>
    <w:rsid w:val="007F4A1B"/>
    <w:rsid w:val="007F4A1C"/>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B3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B3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929"/>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C20"/>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2FE5"/>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09"/>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4DDF"/>
    <w:rsid w:val="00855D0F"/>
    <w:rsid w:val="008565BC"/>
    <w:rsid w:val="00856648"/>
    <w:rsid w:val="00856A67"/>
    <w:rsid w:val="00856B26"/>
    <w:rsid w:val="00856B71"/>
    <w:rsid w:val="00856C36"/>
    <w:rsid w:val="00856C93"/>
    <w:rsid w:val="008573F9"/>
    <w:rsid w:val="00857D59"/>
    <w:rsid w:val="00861572"/>
    <w:rsid w:val="00861731"/>
    <w:rsid w:val="0086190F"/>
    <w:rsid w:val="00861974"/>
    <w:rsid w:val="00861EB1"/>
    <w:rsid w:val="0086219D"/>
    <w:rsid w:val="00862402"/>
    <w:rsid w:val="00862660"/>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3B7C"/>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0B4"/>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2FA"/>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0D30"/>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D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1BDA"/>
    <w:rsid w:val="008E20F1"/>
    <w:rsid w:val="008E2F17"/>
    <w:rsid w:val="008E3175"/>
    <w:rsid w:val="008E32CE"/>
    <w:rsid w:val="008E3CC4"/>
    <w:rsid w:val="008E3DDC"/>
    <w:rsid w:val="008E417F"/>
    <w:rsid w:val="008E4F24"/>
    <w:rsid w:val="008E52B9"/>
    <w:rsid w:val="008E5512"/>
    <w:rsid w:val="008E566F"/>
    <w:rsid w:val="008E57FE"/>
    <w:rsid w:val="008E58B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3E44"/>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C68"/>
    <w:rsid w:val="008F7DE6"/>
    <w:rsid w:val="00900FAB"/>
    <w:rsid w:val="009014C8"/>
    <w:rsid w:val="009015B2"/>
    <w:rsid w:val="00901881"/>
    <w:rsid w:val="00901D1D"/>
    <w:rsid w:val="00901EF9"/>
    <w:rsid w:val="009022AF"/>
    <w:rsid w:val="009022F5"/>
    <w:rsid w:val="00902914"/>
    <w:rsid w:val="0090297B"/>
    <w:rsid w:val="00902EB6"/>
    <w:rsid w:val="009033E0"/>
    <w:rsid w:val="00903496"/>
    <w:rsid w:val="009037F5"/>
    <w:rsid w:val="00903BD8"/>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243"/>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56D"/>
    <w:rsid w:val="00930866"/>
    <w:rsid w:val="0093107E"/>
    <w:rsid w:val="009313EE"/>
    <w:rsid w:val="00931A9D"/>
    <w:rsid w:val="00931E55"/>
    <w:rsid w:val="009328F8"/>
    <w:rsid w:val="00932F82"/>
    <w:rsid w:val="009336A3"/>
    <w:rsid w:val="00933910"/>
    <w:rsid w:val="00933A3E"/>
    <w:rsid w:val="009348FC"/>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14C"/>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3C3"/>
    <w:rsid w:val="0095242E"/>
    <w:rsid w:val="009532F6"/>
    <w:rsid w:val="009538A9"/>
    <w:rsid w:val="00953A7B"/>
    <w:rsid w:val="00953B97"/>
    <w:rsid w:val="00954408"/>
    <w:rsid w:val="00954D0E"/>
    <w:rsid w:val="00954FE1"/>
    <w:rsid w:val="0095542B"/>
    <w:rsid w:val="009556AE"/>
    <w:rsid w:val="00955DD9"/>
    <w:rsid w:val="009565BD"/>
    <w:rsid w:val="00956939"/>
    <w:rsid w:val="00956AAC"/>
    <w:rsid w:val="00956AB0"/>
    <w:rsid w:val="00956B15"/>
    <w:rsid w:val="00956BC0"/>
    <w:rsid w:val="009578F0"/>
    <w:rsid w:val="009615B0"/>
    <w:rsid w:val="00961878"/>
    <w:rsid w:val="00961B62"/>
    <w:rsid w:val="00961EF6"/>
    <w:rsid w:val="009620E7"/>
    <w:rsid w:val="00962780"/>
    <w:rsid w:val="00962B87"/>
    <w:rsid w:val="00962E13"/>
    <w:rsid w:val="00962FF1"/>
    <w:rsid w:val="009630CE"/>
    <w:rsid w:val="00963209"/>
    <w:rsid w:val="009641AD"/>
    <w:rsid w:val="009641EB"/>
    <w:rsid w:val="009642EC"/>
    <w:rsid w:val="009647A2"/>
    <w:rsid w:val="00964E73"/>
    <w:rsid w:val="00965248"/>
    <w:rsid w:val="00965427"/>
    <w:rsid w:val="00965842"/>
    <w:rsid w:val="00966017"/>
    <w:rsid w:val="0096653F"/>
    <w:rsid w:val="009679D9"/>
    <w:rsid w:val="009703F8"/>
    <w:rsid w:val="0097067B"/>
    <w:rsid w:val="00970F6D"/>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5F02"/>
    <w:rsid w:val="00976190"/>
    <w:rsid w:val="00976469"/>
    <w:rsid w:val="00976532"/>
    <w:rsid w:val="0097654B"/>
    <w:rsid w:val="00976809"/>
    <w:rsid w:val="00976A43"/>
    <w:rsid w:val="00976B93"/>
    <w:rsid w:val="00976DDE"/>
    <w:rsid w:val="009770B8"/>
    <w:rsid w:val="00977265"/>
    <w:rsid w:val="00977266"/>
    <w:rsid w:val="00977BEC"/>
    <w:rsid w:val="00977C6D"/>
    <w:rsid w:val="00977F17"/>
    <w:rsid w:val="00980499"/>
    <w:rsid w:val="00980BF6"/>
    <w:rsid w:val="00981170"/>
    <w:rsid w:val="00981469"/>
    <w:rsid w:val="00981AF3"/>
    <w:rsid w:val="00982497"/>
    <w:rsid w:val="00982885"/>
    <w:rsid w:val="009828CF"/>
    <w:rsid w:val="00982C61"/>
    <w:rsid w:val="00982CD1"/>
    <w:rsid w:val="0098342A"/>
    <w:rsid w:val="00983819"/>
    <w:rsid w:val="00983AE1"/>
    <w:rsid w:val="00983E85"/>
    <w:rsid w:val="00984082"/>
    <w:rsid w:val="009854B6"/>
    <w:rsid w:val="00985829"/>
    <w:rsid w:val="00985ACC"/>
    <w:rsid w:val="00985D36"/>
    <w:rsid w:val="00985DBA"/>
    <w:rsid w:val="009865D6"/>
    <w:rsid w:val="009865F3"/>
    <w:rsid w:val="00986975"/>
    <w:rsid w:val="00986A54"/>
    <w:rsid w:val="0098757B"/>
    <w:rsid w:val="00987708"/>
    <w:rsid w:val="00987CA0"/>
    <w:rsid w:val="00990506"/>
    <w:rsid w:val="00990883"/>
    <w:rsid w:val="00990F79"/>
    <w:rsid w:val="009910DC"/>
    <w:rsid w:val="00991584"/>
    <w:rsid w:val="0099172C"/>
    <w:rsid w:val="00991B19"/>
    <w:rsid w:val="00991E0C"/>
    <w:rsid w:val="00991F23"/>
    <w:rsid w:val="00992605"/>
    <w:rsid w:val="00992CD6"/>
    <w:rsid w:val="0099339C"/>
    <w:rsid w:val="00993599"/>
    <w:rsid w:val="00994CCA"/>
    <w:rsid w:val="00996FFF"/>
    <w:rsid w:val="009974A8"/>
    <w:rsid w:val="009975C9"/>
    <w:rsid w:val="009A0A09"/>
    <w:rsid w:val="009A0A9F"/>
    <w:rsid w:val="009A1489"/>
    <w:rsid w:val="009A14E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058"/>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387"/>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A50"/>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4C6"/>
    <w:rsid w:val="009F0A3A"/>
    <w:rsid w:val="009F0BD3"/>
    <w:rsid w:val="009F1A72"/>
    <w:rsid w:val="009F1A79"/>
    <w:rsid w:val="009F1F49"/>
    <w:rsid w:val="009F254C"/>
    <w:rsid w:val="009F2CB1"/>
    <w:rsid w:val="009F3218"/>
    <w:rsid w:val="009F354F"/>
    <w:rsid w:val="009F394C"/>
    <w:rsid w:val="009F3A44"/>
    <w:rsid w:val="009F4F1D"/>
    <w:rsid w:val="009F4F93"/>
    <w:rsid w:val="009F556C"/>
    <w:rsid w:val="009F63EE"/>
    <w:rsid w:val="009F711E"/>
    <w:rsid w:val="009F79F8"/>
    <w:rsid w:val="009F7F2B"/>
    <w:rsid w:val="00A0001D"/>
    <w:rsid w:val="00A01037"/>
    <w:rsid w:val="00A0119C"/>
    <w:rsid w:val="00A017D4"/>
    <w:rsid w:val="00A01C9C"/>
    <w:rsid w:val="00A01E3D"/>
    <w:rsid w:val="00A01F05"/>
    <w:rsid w:val="00A0267D"/>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601"/>
    <w:rsid w:val="00A10848"/>
    <w:rsid w:val="00A10996"/>
    <w:rsid w:val="00A10B74"/>
    <w:rsid w:val="00A10C18"/>
    <w:rsid w:val="00A10EC9"/>
    <w:rsid w:val="00A112D6"/>
    <w:rsid w:val="00A11CC0"/>
    <w:rsid w:val="00A11E8D"/>
    <w:rsid w:val="00A11F7F"/>
    <w:rsid w:val="00A1206E"/>
    <w:rsid w:val="00A12648"/>
    <w:rsid w:val="00A13130"/>
    <w:rsid w:val="00A136A9"/>
    <w:rsid w:val="00A13855"/>
    <w:rsid w:val="00A140A3"/>
    <w:rsid w:val="00A15500"/>
    <w:rsid w:val="00A155A6"/>
    <w:rsid w:val="00A15B34"/>
    <w:rsid w:val="00A15BA2"/>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A1"/>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4CCC"/>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3AD"/>
    <w:rsid w:val="00A52796"/>
    <w:rsid w:val="00A53AB4"/>
    <w:rsid w:val="00A53DBB"/>
    <w:rsid w:val="00A53FB6"/>
    <w:rsid w:val="00A541A4"/>
    <w:rsid w:val="00A5498C"/>
    <w:rsid w:val="00A549E2"/>
    <w:rsid w:val="00A54FE4"/>
    <w:rsid w:val="00A5541A"/>
    <w:rsid w:val="00A56092"/>
    <w:rsid w:val="00A567CB"/>
    <w:rsid w:val="00A57263"/>
    <w:rsid w:val="00A57B23"/>
    <w:rsid w:val="00A57DEC"/>
    <w:rsid w:val="00A6094A"/>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964"/>
    <w:rsid w:val="00A93F51"/>
    <w:rsid w:val="00A940CD"/>
    <w:rsid w:val="00A94153"/>
    <w:rsid w:val="00A94747"/>
    <w:rsid w:val="00A947D6"/>
    <w:rsid w:val="00A955C0"/>
    <w:rsid w:val="00A95C9D"/>
    <w:rsid w:val="00A96010"/>
    <w:rsid w:val="00A9684D"/>
    <w:rsid w:val="00A97402"/>
    <w:rsid w:val="00A97873"/>
    <w:rsid w:val="00A979F1"/>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233"/>
    <w:rsid w:val="00AB4DCD"/>
    <w:rsid w:val="00AB4F87"/>
    <w:rsid w:val="00AB5377"/>
    <w:rsid w:val="00AB5B77"/>
    <w:rsid w:val="00AB763D"/>
    <w:rsid w:val="00AB7891"/>
    <w:rsid w:val="00AB7B94"/>
    <w:rsid w:val="00AB7D08"/>
    <w:rsid w:val="00AB7F83"/>
    <w:rsid w:val="00AC0639"/>
    <w:rsid w:val="00AC0B81"/>
    <w:rsid w:val="00AC1D7C"/>
    <w:rsid w:val="00AC2090"/>
    <w:rsid w:val="00AC2300"/>
    <w:rsid w:val="00AC328A"/>
    <w:rsid w:val="00AC3451"/>
    <w:rsid w:val="00AC3506"/>
    <w:rsid w:val="00AC37C7"/>
    <w:rsid w:val="00AC387E"/>
    <w:rsid w:val="00AC4232"/>
    <w:rsid w:val="00AC4346"/>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9FB"/>
    <w:rsid w:val="00AD3A02"/>
    <w:rsid w:val="00AD3B2B"/>
    <w:rsid w:val="00AD4267"/>
    <w:rsid w:val="00AD476A"/>
    <w:rsid w:val="00AD47AA"/>
    <w:rsid w:val="00AD4ABF"/>
    <w:rsid w:val="00AD4C67"/>
    <w:rsid w:val="00AD52D1"/>
    <w:rsid w:val="00AD54E1"/>
    <w:rsid w:val="00AD54E5"/>
    <w:rsid w:val="00AD5632"/>
    <w:rsid w:val="00AD5B3B"/>
    <w:rsid w:val="00AD5BCF"/>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E77"/>
    <w:rsid w:val="00AE4F91"/>
    <w:rsid w:val="00AE50A3"/>
    <w:rsid w:val="00AE54FF"/>
    <w:rsid w:val="00AE563F"/>
    <w:rsid w:val="00AE6595"/>
    <w:rsid w:val="00AE6A2D"/>
    <w:rsid w:val="00AE6B0B"/>
    <w:rsid w:val="00AE7185"/>
    <w:rsid w:val="00AE71A8"/>
    <w:rsid w:val="00AE74AF"/>
    <w:rsid w:val="00AE74B3"/>
    <w:rsid w:val="00AE7530"/>
    <w:rsid w:val="00AE7678"/>
    <w:rsid w:val="00AE7891"/>
    <w:rsid w:val="00AE7EA4"/>
    <w:rsid w:val="00AE7F44"/>
    <w:rsid w:val="00AF0329"/>
    <w:rsid w:val="00AF0774"/>
    <w:rsid w:val="00AF11B5"/>
    <w:rsid w:val="00AF1C76"/>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02C"/>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9D7"/>
    <w:rsid w:val="00B10B1F"/>
    <w:rsid w:val="00B11176"/>
    <w:rsid w:val="00B11A6E"/>
    <w:rsid w:val="00B123B7"/>
    <w:rsid w:val="00B13CB1"/>
    <w:rsid w:val="00B147D8"/>
    <w:rsid w:val="00B14BEA"/>
    <w:rsid w:val="00B15F1F"/>
    <w:rsid w:val="00B167CE"/>
    <w:rsid w:val="00B16B62"/>
    <w:rsid w:val="00B16DD7"/>
    <w:rsid w:val="00B17902"/>
    <w:rsid w:val="00B17A2E"/>
    <w:rsid w:val="00B17C66"/>
    <w:rsid w:val="00B20292"/>
    <w:rsid w:val="00B206B1"/>
    <w:rsid w:val="00B22004"/>
    <w:rsid w:val="00B227D8"/>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403"/>
    <w:rsid w:val="00B32623"/>
    <w:rsid w:val="00B32BC9"/>
    <w:rsid w:val="00B331DC"/>
    <w:rsid w:val="00B33BCF"/>
    <w:rsid w:val="00B3520E"/>
    <w:rsid w:val="00B35546"/>
    <w:rsid w:val="00B3556A"/>
    <w:rsid w:val="00B35594"/>
    <w:rsid w:val="00B3580D"/>
    <w:rsid w:val="00B35832"/>
    <w:rsid w:val="00B359BE"/>
    <w:rsid w:val="00B366E5"/>
    <w:rsid w:val="00B36879"/>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5ED0"/>
    <w:rsid w:val="00B56334"/>
    <w:rsid w:val="00B563AF"/>
    <w:rsid w:val="00B563E9"/>
    <w:rsid w:val="00B56902"/>
    <w:rsid w:val="00B56922"/>
    <w:rsid w:val="00B56ABC"/>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606"/>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62E"/>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B4B"/>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217"/>
    <w:rsid w:val="00BC068E"/>
    <w:rsid w:val="00BC107E"/>
    <w:rsid w:val="00BC1C7C"/>
    <w:rsid w:val="00BC205F"/>
    <w:rsid w:val="00BC31E2"/>
    <w:rsid w:val="00BC3D44"/>
    <w:rsid w:val="00BC4213"/>
    <w:rsid w:val="00BC4492"/>
    <w:rsid w:val="00BC4C7F"/>
    <w:rsid w:val="00BC4FF8"/>
    <w:rsid w:val="00BC5C80"/>
    <w:rsid w:val="00BC5D5B"/>
    <w:rsid w:val="00BC5F08"/>
    <w:rsid w:val="00BC6161"/>
    <w:rsid w:val="00BC65A4"/>
    <w:rsid w:val="00BC65B2"/>
    <w:rsid w:val="00BC6DAD"/>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8C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1FD"/>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DBB"/>
    <w:rsid w:val="00BF7F37"/>
    <w:rsid w:val="00C000A0"/>
    <w:rsid w:val="00C00585"/>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1566"/>
    <w:rsid w:val="00C226C2"/>
    <w:rsid w:val="00C2297F"/>
    <w:rsid w:val="00C22CC3"/>
    <w:rsid w:val="00C2305A"/>
    <w:rsid w:val="00C23CC9"/>
    <w:rsid w:val="00C24114"/>
    <w:rsid w:val="00C2429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237"/>
    <w:rsid w:val="00C30482"/>
    <w:rsid w:val="00C30577"/>
    <w:rsid w:val="00C30B3D"/>
    <w:rsid w:val="00C30BEF"/>
    <w:rsid w:val="00C30D62"/>
    <w:rsid w:val="00C30DC6"/>
    <w:rsid w:val="00C31631"/>
    <w:rsid w:val="00C316BC"/>
    <w:rsid w:val="00C31E72"/>
    <w:rsid w:val="00C32004"/>
    <w:rsid w:val="00C323BD"/>
    <w:rsid w:val="00C32802"/>
    <w:rsid w:val="00C32DB9"/>
    <w:rsid w:val="00C33180"/>
    <w:rsid w:val="00C33462"/>
    <w:rsid w:val="00C33AE2"/>
    <w:rsid w:val="00C34138"/>
    <w:rsid w:val="00C34324"/>
    <w:rsid w:val="00C344E9"/>
    <w:rsid w:val="00C3492B"/>
    <w:rsid w:val="00C34969"/>
    <w:rsid w:val="00C34B08"/>
    <w:rsid w:val="00C35315"/>
    <w:rsid w:val="00C35554"/>
    <w:rsid w:val="00C3555A"/>
    <w:rsid w:val="00C35D17"/>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698"/>
    <w:rsid w:val="00C46807"/>
    <w:rsid w:val="00C4699B"/>
    <w:rsid w:val="00C47D44"/>
    <w:rsid w:val="00C50B1E"/>
    <w:rsid w:val="00C51C72"/>
    <w:rsid w:val="00C51CB1"/>
    <w:rsid w:val="00C51F30"/>
    <w:rsid w:val="00C521B4"/>
    <w:rsid w:val="00C52914"/>
    <w:rsid w:val="00C539F2"/>
    <w:rsid w:val="00C544CC"/>
    <w:rsid w:val="00C546E7"/>
    <w:rsid w:val="00C55114"/>
    <w:rsid w:val="00C557D2"/>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077"/>
    <w:rsid w:val="00C653BA"/>
    <w:rsid w:val="00C657B4"/>
    <w:rsid w:val="00C6774F"/>
    <w:rsid w:val="00C677AA"/>
    <w:rsid w:val="00C67EA3"/>
    <w:rsid w:val="00C70669"/>
    <w:rsid w:val="00C707DC"/>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6377"/>
    <w:rsid w:val="00C77315"/>
    <w:rsid w:val="00C77AEB"/>
    <w:rsid w:val="00C77C98"/>
    <w:rsid w:val="00C80069"/>
    <w:rsid w:val="00C805C9"/>
    <w:rsid w:val="00C805DA"/>
    <w:rsid w:val="00C8096C"/>
    <w:rsid w:val="00C80A78"/>
    <w:rsid w:val="00C80B25"/>
    <w:rsid w:val="00C80F33"/>
    <w:rsid w:val="00C80FD0"/>
    <w:rsid w:val="00C8100B"/>
    <w:rsid w:val="00C816BC"/>
    <w:rsid w:val="00C82207"/>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4CB"/>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6ACA"/>
    <w:rsid w:val="00CA722D"/>
    <w:rsid w:val="00CA7A61"/>
    <w:rsid w:val="00CA7BF2"/>
    <w:rsid w:val="00CB0A21"/>
    <w:rsid w:val="00CB0C16"/>
    <w:rsid w:val="00CB1327"/>
    <w:rsid w:val="00CB144F"/>
    <w:rsid w:val="00CB149F"/>
    <w:rsid w:val="00CB1EAE"/>
    <w:rsid w:val="00CB1F5B"/>
    <w:rsid w:val="00CB2107"/>
    <w:rsid w:val="00CB2147"/>
    <w:rsid w:val="00CB2248"/>
    <w:rsid w:val="00CB28EA"/>
    <w:rsid w:val="00CB30F5"/>
    <w:rsid w:val="00CB315D"/>
    <w:rsid w:val="00CB3718"/>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1F1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C0B"/>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ABC"/>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2BF6"/>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167"/>
    <w:rsid w:val="00D446AE"/>
    <w:rsid w:val="00D457ED"/>
    <w:rsid w:val="00D468B0"/>
    <w:rsid w:val="00D46A9C"/>
    <w:rsid w:val="00D46AEF"/>
    <w:rsid w:val="00D46D32"/>
    <w:rsid w:val="00D46EB7"/>
    <w:rsid w:val="00D46FA2"/>
    <w:rsid w:val="00D476EB"/>
    <w:rsid w:val="00D478AA"/>
    <w:rsid w:val="00D47F55"/>
    <w:rsid w:val="00D5010C"/>
    <w:rsid w:val="00D50FBA"/>
    <w:rsid w:val="00D51372"/>
    <w:rsid w:val="00D5162F"/>
    <w:rsid w:val="00D51AD6"/>
    <w:rsid w:val="00D51C50"/>
    <w:rsid w:val="00D525C5"/>
    <w:rsid w:val="00D5266D"/>
    <w:rsid w:val="00D52BBA"/>
    <w:rsid w:val="00D52C1C"/>
    <w:rsid w:val="00D536DC"/>
    <w:rsid w:val="00D53BD6"/>
    <w:rsid w:val="00D53FE0"/>
    <w:rsid w:val="00D5456F"/>
    <w:rsid w:val="00D548A9"/>
    <w:rsid w:val="00D54AEA"/>
    <w:rsid w:val="00D54E4B"/>
    <w:rsid w:val="00D55A96"/>
    <w:rsid w:val="00D56796"/>
    <w:rsid w:val="00D56D40"/>
    <w:rsid w:val="00D56D85"/>
    <w:rsid w:val="00D57BE9"/>
    <w:rsid w:val="00D60345"/>
    <w:rsid w:val="00D606FC"/>
    <w:rsid w:val="00D60B6B"/>
    <w:rsid w:val="00D60C90"/>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2FFA"/>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642"/>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13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5B2"/>
    <w:rsid w:val="00D9696E"/>
    <w:rsid w:val="00D96BFE"/>
    <w:rsid w:val="00D96F7E"/>
    <w:rsid w:val="00D9778A"/>
    <w:rsid w:val="00D97B59"/>
    <w:rsid w:val="00D97C16"/>
    <w:rsid w:val="00D97D49"/>
    <w:rsid w:val="00D97DD7"/>
    <w:rsid w:val="00DA022A"/>
    <w:rsid w:val="00DA025F"/>
    <w:rsid w:val="00DA04E9"/>
    <w:rsid w:val="00DA0755"/>
    <w:rsid w:val="00DA07A7"/>
    <w:rsid w:val="00DA08A5"/>
    <w:rsid w:val="00DA1D77"/>
    <w:rsid w:val="00DA23AB"/>
    <w:rsid w:val="00DA2B4B"/>
    <w:rsid w:val="00DA3F04"/>
    <w:rsid w:val="00DA4512"/>
    <w:rsid w:val="00DA48C9"/>
    <w:rsid w:val="00DA4A61"/>
    <w:rsid w:val="00DA4D03"/>
    <w:rsid w:val="00DA4EAF"/>
    <w:rsid w:val="00DA56A0"/>
    <w:rsid w:val="00DA5A16"/>
    <w:rsid w:val="00DA6949"/>
    <w:rsid w:val="00DA7D0B"/>
    <w:rsid w:val="00DB07CA"/>
    <w:rsid w:val="00DB0823"/>
    <w:rsid w:val="00DB0A27"/>
    <w:rsid w:val="00DB0E2A"/>
    <w:rsid w:val="00DB111E"/>
    <w:rsid w:val="00DB19F5"/>
    <w:rsid w:val="00DB23D7"/>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0C6"/>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BEE"/>
    <w:rsid w:val="00DC5ED6"/>
    <w:rsid w:val="00DC5F7A"/>
    <w:rsid w:val="00DC6513"/>
    <w:rsid w:val="00DC693E"/>
    <w:rsid w:val="00DC723A"/>
    <w:rsid w:val="00DC7C31"/>
    <w:rsid w:val="00DD0802"/>
    <w:rsid w:val="00DD0C3F"/>
    <w:rsid w:val="00DD1AA9"/>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C03"/>
    <w:rsid w:val="00E02A3C"/>
    <w:rsid w:val="00E02F70"/>
    <w:rsid w:val="00E032F6"/>
    <w:rsid w:val="00E039F5"/>
    <w:rsid w:val="00E03F4C"/>
    <w:rsid w:val="00E03F4E"/>
    <w:rsid w:val="00E0439C"/>
    <w:rsid w:val="00E049A5"/>
    <w:rsid w:val="00E051FB"/>
    <w:rsid w:val="00E056B0"/>
    <w:rsid w:val="00E05984"/>
    <w:rsid w:val="00E05C27"/>
    <w:rsid w:val="00E05C4F"/>
    <w:rsid w:val="00E063DE"/>
    <w:rsid w:val="00E0671B"/>
    <w:rsid w:val="00E06E82"/>
    <w:rsid w:val="00E07453"/>
    <w:rsid w:val="00E07737"/>
    <w:rsid w:val="00E07DB1"/>
    <w:rsid w:val="00E07E7B"/>
    <w:rsid w:val="00E07F6A"/>
    <w:rsid w:val="00E10117"/>
    <w:rsid w:val="00E1064A"/>
    <w:rsid w:val="00E1077C"/>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15C"/>
    <w:rsid w:val="00E14ACF"/>
    <w:rsid w:val="00E14BAD"/>
    <w:rsid w:val="00E14D14"/>
    <w:rsid w:val="00E159EC"/>
    <w:rsid w:val="00E15AC4"/>
    <w:rsid w:val="00E15C68"/>
    <w:rsid w:val="00E16A5E"/>
    <w:rsid w:val="00E16E4C"/>
    <w:rsid w:val="00E173EF"/>
    <w:rsid w:val="00E177CD"/>
    <w:rsid w:val="00E20A78"/>
    <w:rsid w:val="00E20B50"/>
    <w:rsid w:val="00E20B5E"/>
    <w:rsid w:val="00E20F69"/>
    <w:rsid w:val="00E20FC3"/>
    <w:rsid w:val="00E21906"/>
    <w:rsid w:val="00E221AF"/>
    <w:rsid w:val="00E224BF"/>
    <w:rsid w:val="00E22732"/>
    <w:rsid w:val="00E22B39"/>
    <w:rsid w:val="00E22F22"/>
    <w:rsid w:val="00E2398E"/>
    <w:rsid w:val="00E23A5C"/>
    <w:rsid w:val="00E2406F"/>
    <w:rsid w:val="00E24570"/>
    <w:rsid w:val="00E2459F"/>
    <w:rsid w:val="00E24B98"/>
    <w:rsid w:val="00E2527D"/>
    <w:rsid w:val="00E262A9"/>
    <w:rsid w:val="00E2688C"/>
    <w:rsid w:val="00E2693C"/>
    <w:rsid w:val="00E26F87"/>
    <w:rsid w:val="00E2710F"/>
    <w:rsid w:val="00E274BB"/>
    <w:rsid w:val="00E3047D"/>
    <w:rsid w:val="00E3066D"/>
    <w:rsid w:val="00E30AF9"/>
    <w:rsid w:val="00E3182B"/>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077"/>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0A"/>
    <w:rsid w:val="00E444BC"/>
    <w:rsid w:val="00E450AD"/>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245"/>
    <w:rsid w:val="00E54C11"/>
    <w:rsid w:val="00E55DB0"/>
    <w:rsid w:val="00E56721"/>
    <w:rsid w:val="00E5703B"/>
    <w:rsid w:val="00E577EC"/>
    <w:rsid w:val="00E57C4D"/>
    <w:rsid w:val="00E602BD"/>
    <w:rsid w:val="00E61A8D"/>
    <w:rsid w:val="00E62337"/>
    <w:rsid w:val="00E62809"/>
    <w:rsid w:val="00E62FAF"/>
    <w:rsid w:val="00E63321"/>
    <w:rsid w:val="00E634AD"/>
    <w:rsid w:val="00E635BD"/>
    <w:rsid w:val="00E63675"/>
    <w:rsid w:val="00E638A7"/>
    <w:rsid w:val="00E63FAC"/>
    <w:rsid w:val="00E64141"/>
    <w:rsid w:val="00E645AB"/>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1F0E"/>
    <w:rsid w:val="00E7235E"/>
    <w:rsid w:val="00E72B05"/>
    <w:rsid w:val="00E72D84"/>
    <w:rsid w:val="00E72E0E"/>
    <w:rsid w:val="00E72FE7"/>
    <w:rsid w:val="00E73D0E"/>
    <w:rsid w:val="00E74A39"/>
    <w:rsid w:val="00E75609"/>
    <w:rsid w:val="00E75790"/>
    <w:rsid w:val="00E75BCD"/>
    <w:rsid w:val="00E76031"/>
    <w:rsid w:val="00E76714"/>
    <w:rsid w:val="00E80437"/>
    <w:rsid w:val="00E81031"/>
    <w:rsid w:val="00E81525"/>
    <w:rsid w:val="00E817FE"/>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558"/>
    <w:rsid w:val="00E92604"/>
    <w:rsid w:val="00E927A2"/>
    <w:rsid w:val="00E928ED"/>
    <w:rsid w:val="00E936C2"/>
    <w:rsid w:val="00E93B8A"/>
    <w:rsid w:val="00E94070"/>
    <w:rsid w:val="00E942AE"/>
    <w:rsid w:val="00E949C6"/>
    <w:rsid w:val="00E94CDE"/>
    <w:rsid w:val="00E9549D"/>
    <w:rsid w:val="00E96274"/>
    <w:rsid w:val="00E9641D"/>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741"/>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2DD"/>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68D"/>
    <w:rsid w:val="00ED78DB"/>
    <w:rsid w:val="00ED7DE0"/>
    <w:rsid w:val="00EE0119"/>
    <w:rsid w:val="00EE0BC0"/>
    <w:rsid w:val="00EE0E63"/>
    <w:rsid w:val="00EE11C7"/>
    <w:rsid w:val="00EE123E"/>
    <w:rsid w:val="00EE1558"/>
    <w:rsid w:val="00EE210F"/>
    <w:rsid w:val="00EE298D"/>
    <w:rsid w:val="00EE2B5D"/>
    <w:rsid w:val="00EE2BB3"/>
    <w:rsid w:val="00EE2EAC"/>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098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77C"/>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4FBA"/>
    <w:rsid w:val="00F15ED6"/>
    <w:rsid w:val="00F15F5B"/>
    <w:rsid w:val="00F16210"/>
    <w:rsid w:val="00F164D5"/>
    <w:rsid w:val="00F16A67"/>
    <w:rsid w:val="00F1792F"/>
    <w:rsid w:val="00F17A56"/>
    <w:rsid w:val="00F20151"/>
    <w:rsid w:val="00F20474"/>
    <w:rsid w:val="00F20671"/>
    <w:rsid w:val="00F209A2"/>
    <w:rsid w:val="00F20E9E"/>
    <w:rsid w:val="00F21AB6"/>
    <w:rsid w:val="00F22340"/>
    <w:rsid w:val="00F223D4"/>
    <w:rsid w:val="00F223D5"/>
    <w:rsid w:val="00F2283A"/>
    <w:rsid w:val="00F22A84"/>
    <w:rsid w:val="00F22A8F"/>
    <w:rsid w:val="00F22CA7"/>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37DA3"/>
    <w:rsid w:val="00F40730"/>
    <w:rsid w:val="00F40A31"/>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053"/>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C7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1EDE"/>
    <w:rsid w:val="00F8260F"/>
    <w:rsid w:val="00F82F29"/>
    <w:rsid w:val="00F8301D"/>
    <w:rsid w:val="00F831F9"/>
    <w:rsid w:val="00F83228"/>
    <w:rsid w:val="00F834A7"/>
    <w:rsid w:val="00F846CD"/>
    <w:rsid w:val="00F847A0"/>
    <w:rsid w:val="00F85ABF"/>
    <w:rsid w:val="00F85D19"/>
    <w:rsid w:val="00F860A3"/>
    <w:rsid w:val="00F864FC"/>
    <w:rsid w:val="00F86808"/>
    <w:rsid w:val="00F87387"/>
    <w:rsid w:val="00F8741E"/>
    <w:rsid w:val="00F8760E"/>
    <w:rsid w:val="00F87620"/>
    <w:rsid w:val="00F8773E"/>
    <w:rsid w:val="00F90454"/>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A71"/>
    <w:rsid w:val="00F97F91"/>
    <w:rsid w:val="00FA03A6"/>
    <w:rsid w:val="00FA03D6"/>
    <w:rsid w:val="00FA066D"/>
    <w:rsid w:val="00FA0956"/>
    <w:rsid w:val="00FA0FB3"/>
    <w:rsid w:val="00FA1118"/>
    <w:rsid w:val="00FA1126"/>
    <w:rsid w:val="00FA1816"/>
    <w:rsid w:val="00FA1B03"/>
    <w:rsid w:val="00FA23D2"/>
    <w:rsid w:val="00FA24F3"/>
    <w:rsid w:val="00FA263E"/>
    <w:rsid w:val="00FA2798"/>
    <w:rsid w:val="00FA3679"/>
    <w:rsid w:val="00FA3A4D"/>
    <w:rsid w:val="00FA41F1"/>
    <w:rsid w:val="00FA42BC"/>
    <w:rsid w:val="00FA4635"/>
    <w:rsid w:val="00FA4A68"/>
    <w:rsid w:val="00FA509C"/>
    <w:rsid w:val="00FA5180"/>
    <w:rsid w:val="00FA58CA"/>
    <w:rsid w:val="00FA5C21"/>
    <w:rsid w:val="00FA5FCE"/>
    <w:rsid w:val="00FA655C"/>
    <w:rsid w:val="00FA6B30"/>
    <w:rsid w:val="00FA6C13"/>
    <w:rsid w:val="00FA761A"/>
    <w:rsid w:val="00FA76A5"/>
    <w:rsid w:val="00FA7846"/>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005"/>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C90"/>
    <w:rsid w:val="00FE1303"/>
    <w:rsid w:val="00FE1636"/>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AE2"/>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14:defaultImageDpi w14:val="32767"/>
  <w14:docId w14:val="4D1A3F2C"/>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ListParagraphChar"/>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5">
    <w:name w:val="75א פעולות ביקורת"/>
    <w:basedOn w:val="214"/>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0">
    <w:name w:val="73א קוביה רצה תו"/>
    <w:basedOn w:val="DefaultParagraphFont"/>
    <w:link w:val="7316"/>
    <w:rsid w:val="004B039B"/>
    <w:rPr>
      <w:rFonts w:ascii="Tahoma" w:eastAsia="Times New Roman" w:hAnsi="Tahoma" w:cs="Tahoma"/>
      <w:color w:val="0D0D0D" w:themeColor="text1" w:themeTint="F2"/>
      <w:sz w:val="18"/>
      <w:szCs w:val="18"/>
      <w:shd w:val="solid" w:color="CEEAF5" w:fill="auto"/>
      <w:lang w:eastAsia="he-IL"/>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Heading3Char"/>
    <w:link w:val="733155"/>
    <w:rsid w:val="00092EAB"/>
    <w:rPr>
      <w:rFonts w:ascii="Tahoma" w:eastAsia="Times New Roman" w:hAnsi="Tahoma" w:cs="Tahoma"/>
      <w:b/>
      <w:bCs/>
      <w:color w:val="00305F"/>
      <w:sz w:val="31"/>
      <w:szCs w:val="31"/>
      <w:u w:val="single"/>
    </w:rPr>
  </w:style>
  <w:style w:type="paragraph" w:customStyle="1" w:styleId="732">
    <w:name w:val="73א הערות שוליים"/>
    <w:basedOn w:val="FootnoteText"/>
    <w:link w:val="7326"/>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3">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Bullet List Char,Dell Char,FooterText Char,LP1 Char,List Paragraph1 Char,List Paragraph_0 Char,List Paragraph_1 Char,List Paragraph_2 Char,Paragraphe de liste1 Char,lp1 Char,numbered Char,style 2 Char,פיסקת bullets Char"/>
    <w:link w:val="ListParagraph"/>
    <w:uiPriority w:val="34"/>
    <w:rsid w:val="00DD7B55"/>
  </w:style>
  <w:style w:type="paragraph" w:customStyle="1" w:styleId="734">
    <w:name w:val="73א הזחה ראשונה מספר"/>
    <w:basedOn w:val="ListParagraph"/>
    <w:link w:val="7332"/>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5">
    <w:name w:val="73א הזחה שנייה ריק"/>
    <w:basedOn w:val="BodyTextIndent"/>
    <w:link w:val="7310"/>
    <w:qFormat/>
    <w:rsid w:val="0074714A"/>
    <w:pPr>
      <w:spacing w:after="180" w:line="260" w:lineRule="exact"/>
      <w:ind w:left="794"/>
    </w:pPr>
    <w:rPr>
      <w:color w:val="0D0D0D" w:themeColor="text1" w:themeTint="F2"/>
      <w:sz w:val="18"/>
      <w:szCs w:val="18"/>
    </w:rPr>
  </w:style>
  <w:style w:type="paragraph" w:customStyle="1" w:styleId="736">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50">
    <w:name w:val="75א מקרא+הערות לתרשים/לוח/תמונה"/>
    <w:basedOn w:val="732"/>
    <w:link w:val="75Char0"/>
    <w:qFormat/>
    <w:rsid w:val="00DE1F29"/>
    <w:pPr>
      <w:keepLines w:val="0"/>
      <w:spacing w:before="120" w:after="240" w:line="260" w:lineRule="exact"/>
      <w:ind w:left="0" w:firstLine="0"/>
    </w:pPr>
    <w:rPr>
      <w:sz w:val="16"/>
      <w:szCs w:val="16"/>
    </w:rPr>
  </w:style>
  <w:style w:type="paragraph" w:customStyle="1" w:styleId="737">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8">
    <w:name w:val="73א קוביה כחולה בתוך הזחה ראשונה"/>
    <w:basedOn w:val="737"/>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9">
    <w:name w:val="73א הזחה שנייה ללא מספר"/>
    <w:basedOn w:val="735"/>
    <w:link w:val="7311"/>
    <w:qFormat/>
    <w:rsid w:val="00543F8A"/>
  </w:style>
  <w:style w:type="character" w:customStyle="1" w:styleId="7310">
    <w:name w:val="73א הזחה שנייה ריק תו"/>
    <w:basedOn w:val="BodyTextIndentChar"/>
    <w:link w:val="735"/>
    <w:rsid w:val="0074714A"/>
    <w:rPr>
      <w:rFonts w:ascii="Tahoma" w:hAnsi="Tahoma" w:cs="Tahoma"/>
      <w:color w:val="0D0D0D" w:themeColor="text1" w:themeTint="F2"/>
      <w:sz w:val="18"/>
      <w:szCs w:val="18"/>
    </w:rPr>
  </w:style>
  <w:style w:type="character" w:customStyle="1" w:styleId="7311">
    <w:name w:val="73א הזחה שנייה ללא מספר תו"/>
    <w:basedOn w:val="7310"/>
    <w:link w:val="739"/>
    <w:rsid w:val="00543F8A"/>
    <w:rPr>
      <w:rFonts w:ascii="Tahoma" w:hAnsi="Tahoma" w:cs="Tahoma"/>
      <w:color w:val="0D0D0D" w:themeColor="text1" w:themeTint="F2"/>
      <w:sz w:val="18"/>
      <w:szCs w:val="18"/>
    </w:rPr>
  </w:style>
  <w:style w:type="paragraph" w:customStyle="1" w:styleId="7312">
    <w:name w:val="73א מספור הערות שוליים"/>
    <w:basedOn w:val="732"/>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1">
    <w:name w:val="כניסה שלישית"/>
    <w:basedOn w:val="ListParagraph"/>
    <w:qFormat/>
    <w:rsid w:val="008E5512"/>
    <w:pPr>
      <w:spacing w:after="120"/>
      <w:ind w:left="0"/>
    </w:pPr>
    <w:rPr>
      <w:rFonts w:ascii="Tahoma" w:hAnsi="Tahoma" w:cs="Tahoma"/>
      <w:szCs w:val="20"/>
    </w:rPr>
  </w:style>
  <w:style w:type="paragraph" w:customStyle="1" w:styleId="7313">
    <w:name w:val="73א הזחה שלישית"/>
    <w:basedOn w:val="739"/>
    <w:qFormat/>
    <w:rsid w:val="00591F15"/>
    <w:pPr>
      <w:ind w:left="1191"/>
    </w:pPr>
  </w:style>
  <w:style w:type="paragraph" w:customStyle="1" w:styleId="7314">
    <w:name w:val="73א קוביה כחולה הזחה שלישית"/>
    <w:basedOn w:val="737"/>
    <w:qFormat/>
    <w:rsid w:val="00FF6AD9"/>
    <w:pPr>
      <w:framePr w:wrap="around" w:vAnchor="text" w:hAnchor="text" w:y="1"/>
      <w:shd w:val="solid" w:color="CEEAF6" w:fill="CEEAF6"/>
      <w:spacing w:after="120"/>
      <w:ind w:left="1474"/>
    </w:pPr>
  </w:style>
  <w:style w:type="paragraph" w:customStyle="1" w:styleId="11">
    <w:name w:val="קוביה הזחה 1"/>
    <w:basedOn w:val="737"/>
    <w:qFormat/>
    <w:rsid w:val="005C2859"/>
    <w:pPr>
      <w:ind w:left="680"/>
    </w:pPr>
  </w:style>
  <w:style w:type="paragraph" w:customStyle="1" w:styleId="7315">
    <w:name w:val="73א הזחה ראשונה ללא מספר"/>
    <w:basedOn w:val="739"/>
    <w:qFormat/>
    <w:rsid w:val="003570AC"/>
    <w:pPr>
      <w:ind w:left="397"/>
    </w:pPr>
  </w:style>
  <w:style w:type="paragraph" w:customStyle="1" w:styleId="7316">
    <w:name w:val="73א קוביה רצה"/>
    <w:basedOn w:val="738"/>
    <w:link w:val="730"/>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7">
    <w:name w:val="73א הזחה בתוך קוביה"/>
    <w:basedOn w:val="7316"/>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18">
    <w:name w:val="73א מספרים בתוך קוביה"/>
    <w:basedOn w:val="7317"/>
    <w:rsid w:val="00520550"/>
  </w:style>
  <w:style w:type="paragraph" w:customStyle="1" w:styleId="7319">
    <w:name w:val="73א אותיות בתוך קוביה 1"/>
    <w:basedOn w:val="7318"/>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5"/>
    <w:uiPriority w:val="99"/>
    <w:rsid w:val="002516DF"/>
    <w:rPr>
      <w:rFonts w:eastAsia="Calibri"/>
    </w:rPr>
  </w:style>
  <w:style w:type="character" w:customStyle="1" w:styleId="a5">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paragraph" w:customStyle="1" w:styleId="16">
    <w:name w:val="פיסקת רשימה1"/>
    <w:basedOn w:val="Normal"/>
    <w:uiPriority w:val="34"/>
    <w:qFormat/>
    <w:rsid w:val="002516DF"/>
    <w:pPr>
      <w:ind w:left="720"/>
      <w:contextualSpacing/>
    </w:pPr>
    <w:rPr>
      <w:rFonts w:eastAsia="Calibri"/>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7">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7"/>
    <w:uiPriority w:val="99"/>
    <w:semiHidden/>
    <w:rsid w:val="002516DF"/>
    <w:rPr>
      <w:rFonts w:ascii="Tahoma" w:eastAsia="Calibri" w:hAnsi="Tahoma" w:cs="Tahoma"/>
      <w:sz w:val="18"/>
      <w:szCs w:val="18"/>
    </w:rPr>
  </w:style>
  <w:style w:type="character" w:customStyle="1" w:styleId="18">
    <w:name w:val="כותרת תחתונה תו1"/>
    <w:uiPriority w:val="99"/>
    <w:rsid w:val="002516DF"/>
    <w:rPr>
      <w:rFonts w:cs="David"/>
      <w:sz w:val="24"/>
      <w:szCs w:val="24"/>
    </w:rPr>
  </w:style>
  <w:style w:type="character" w:customStyle="1" w:styleId="19">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1">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2">
    <w:name w:val="טקסט הערה1"/>
    <w:basedOn w:val="Normal"/>
    <w:link w:val="a8"/>
    <w:uiPriority w:val="99"/>
    <w:unhideWhenUsed/>
    <w:rsid w:val="002516DF"/>
    <w:pPr>
      <w:spacing w:line="240" w:lineRule="auto"/>
    </w:pPr>
    <w:rPr>
      <w:rFonts w:eastAsia="Calibri"/>
      <w:szCs w:val="20"/>
    </w:rPr>
  </w:style>
  <w:style w:type="character" w:customStyle="1" w:styleId="a8">
    <w:name w:val="טקסט הערה תו"/>
    <w:link w:val="112"/>
    <w:uiPriority w:val="99"/>
    <w:rsid w:val="002516DF"/>
    <w:rPr>
      <w:rFonts w:eastAsia="Calibri"/>
      <w:szCs w:val="20"/>
    </w:rPr>
  </w:style>
  <w:style w:type="paragraph" w:customStyle="1" w:styleId="113">
    <w:name w:val="נושא הערה1"/>
    <w:basedOn w:val="112"/>
    <w:next w:val="112"/>
    <w:link w:val="a9"/>
    <w:uiPriority w:val="99"/>
    <w:semiHidden/>
    <w:unhideWhenUsed/>
    <w:rsid w:val="002516DF"/>
    <w:rPr>
      <w:b/>
      <w:bCs/>
    </w:rPr>
  </w:style>
  <w:style w:type="character" w:customStyle="1" w:styleId="a9">
    <w:name w:val="נושא הערה תו"/>
    <w:link w:val="113"/>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4">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5">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0">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1">
    <w:name w:val="73א כוכבית בתוך קוביה"/>
    <w:basedOn w:val="7316"/>
    <w:qFormat/>
    <w:rsid w:val="001F0DE8"/>
    <w:pPr>
      <w:jc w:val="center"/>
    </w:pPr>
    <w:rPr>
      <w:rFonts w:ascii="Segoe UI Symbol" w:hAnsi="Segoe UI Symbol" w:cs="Segoe UI Symbol"/>
    </w:rPr>
  </w:style>
  <w:style w:type="paragraph" w:customStyle="1" w:styleId="7322">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3">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0">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1">
    <w:name w:val="טבלה הערות מתחת"/>
    <w:basedOn w:val="732"/>
    <w:qFormat/>
    <w:rsid w:val="00771BEC"/>
    <w:pPr>
      <w:spacing w:before="120"/>
    </w:pPr>
  </w:style>
  <w:style w:type="paragraph" w:customStyle="1" w:styleId="7324">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4"/>
    <w:locked/>
    <w:rsid w:val="00CF1EB5"/>
    <w:rPr>
      <w:bCs/>
      <w:noProof/>
      <w:sz w:val="24"/>
      <w:lang w:eastAsia="he-IL"/>
    </w:rPr>
  </w:style>
  <w:style w:type="paragraph" w:customStyle="1" w:styleId="a14">
    <w:name w:val="ציטוט בג&quot;צ"/>
    <w:basedOn w:val="Normal"/>
    <w:link w:val="Char5"/>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16">
    <w:name w:val="כותרת טקסט1"/>
    <w:basedOn w:val="DefaultParagraphFont"/>
    <w:rsid w:val="00D81F77"/>
  </w:style>
  <w:style w:type="paragraph" w:customStyle="1" w:styleId="a15">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6">
    <w:name w:val="טקסט רץ"/>
    <w:basedOn w:val="100"/>
    <w:link w:val="Char6"/>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6"/>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2">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3">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2"/>
    <w:rsid w:val="00454096"/>
    <w:rPr>
      <w:rFonts w:ascii="Tahoma" w:hAnsi="Tahoma" w:eastAsiaTheme="minorEastAsia" w:cs="Tahoma"/>
      <w:b/>
      <w:bCs/>
      <w:color w:val="00305F"/>
      <w:sz w:val="34"/>
      <w:szCs w:val="32"/>
    </w:rPr>
  </w:style>
  <w:style w:type="paragraph" w:customStyle="1" w:styleId="214">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3"/>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4"/>
    <w:rsid w:val="00454096"/>
    <w:rPr>
      <w:rFonts w:ascii="Tahoma" w:hAnsi="Tahoma" w:eastAsiaTheme="minorEastAsia" w:cs="Tahoma"/>
      <w:b w:val="0"/>
      <w:bCs/>
      <w:color w:val="00305F"/>
      <w:sz w:val="32"/>
      <w:szCs w:val="32"/>
    </w:rPr>
  </w:style>
  <w:style w:type="paragraph" w:customStyle="1" w:styleId="215">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17">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5">
    <w:name w:val="73א כותרת סיכום"/>
    <w:basedOn w:val="733155"/>
    <w:qFormat/>
    <w:rsid w:val="00662020"/>
    <w:rPr>
      <w:b w:val="0"/>
    </w:rPr>
  </w:style>
  <w:style w:type="paragraph" w:customStyle="1" w:styleId="751">
    <w:name w:val="75א תמונת המצב העולה מן הביקורת"/>
    <w:basedOn w:val="214"/>
    <w:link w:val="75Char"/>
    <w:qFormat/>
    <w:rsid w:val="006F49D3"/>
    <w:pPr>
      <w:keepNext/>
      <w:keepLines/>
      <w:pBdr>
        <w:top w:val="single" w:sz="12" w:space="5" w:color="auto"/>
      </w:pBdr>
      <w:spacing w:before="360" w:after="240"/>
      <w:outlineLvl w:val="9"/>
    </w:pPr>
    <w:rPr>
      <w:sz w:val="31"/>
      <w:szCs w:val="31"/>
    </w:rPr>
  </w:style>
  <w:style w:type="character" w:customStyle="1" w:styleId="75Char">
    <w:name w:val="75א תמונת המצב העולה מן הביקורת Char"/>
    <w:basedOn w:val="21Char1"/>
    <w:link w:val="751"/>
    <w:rsid w:val="006F49D3"/>
    <w:rPr>
      <w:rFonts w:ascii="Tahoma" w:hAnsi="Tahoma" w:eastAsiaTheme="minorEastAsia" w:cs="Tahoma"/>
      <w:b w:val="0"/>
      <w:bCs/>
      <w:color w:val="00305F"/>
      <w:sz w:val="31"/>
      <w:szCs w:val="31"/>
    </w:rPr>
  </w:style>
  <w:style w:type="paragraph" w:customStyle="1" w:styleId="752">
    <w:name w:val="75א כותרת 2"/>
    <w:link w:val="752Char"/>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52Char">
    <w:name w:val="75א כותרת 2 Char"/>
    <w:basedOn w:val="DefaultParagraphFont"/>
    <w:link w:val="752"/>
    <w:rsid w:val="00BB0517"/>
    <w:rPr>
      <w:rFonts w:ascii="Tahoma" w:hAnsi="Tahoma" w:cs="Tahoma"/>
      <w:b/>
      <w:bCs/>
      <w:color w:val="00305F"/>
      <w:sz w:val="34"/>
      <w:szCs w:val="34"/>
    </w:rPr>
  </w:style>
  <w:style w:type="character" w:customStyle="1" w:styleId="7326">
    <w:name w:val="73א הערות שוליים תו"/>
    <w:basedOn w:val="FootnoteTextChar"/>
    <w:link w:val="732"/>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50"/>
    <w:link w:val="7301"/>
    <w:qFormat/>
    <w:rsid w:val="00050995"/>
    <w:pPr>
      <w:spacing w:after="0"/>
    </w:pPr>
  </w:style>
  <w:style w:type="character" w:customStyle="1" w:styleId="75Char0">
    <w:name w:val="75א מקרא+הערות לתרשים/לוח/תמונה Char"/>
    <w:basedOn w:val="7326"/>
    <w:link w:val="750"/>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5Char0"/>
    <w:link w:val="7300"/>
    <w:rsid w:val="00050995"/>
    <w:rPr>
      <w:rFonts w:ascii="Tahoma" w:hAnsi="Tahoma" w:cs="Tahoma"/>
      <w:color w:val="0D0D0D" w:themeColor="text1" w:themeTint="F2"/>
      <w:sz w:val="16"/>
      <w:szCs w:val="16"/>
    </w:rPr>
  </w:style>
  <w:style w:type="paragraph" w:customStyle="1" w:styleId="7390">
    <w:name w:val="73א בולד 9 בתוך שורה"/>
    <w:basedOn w:val="215"/>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5"/>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0">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0"/>
    <w:rsid w:val="001F3363"/>
    <w:rPr>
      <w:rFonts w:ascii="Tahoma" w:hAnsi="Tahoma" w:cs="Tahoma"/>
      <w:color w:val="0D0D0D" w:themeColor="text1" w:themeTint="F2"/>
      <w:sz w:val="18"/>
      <w:szCs w:val="18"/>
    </w:rPr>
  </w:style>
  <w:style w:type="paragraph" w:customStyle="1" w:styleId="73110">
    <w:name w:val="73א מרווח של 1 בטקס רץ"/>
    <w:basedOn w:val="Normal"/>
    <w:link w:val="73111"/>
    <w:qFormat/>
    <w:rsid w:val="001F3363"/>
    <w:pPr>
      <w:spacing w:after="180" w:line="260" w:lineRule="exact"/>
    </w:pPr>
    <w:rPr>
      <w:rFonts w:ascii="Tahoma" w:hAnsi="Tahoma" w:cs="Tahoma"/>
      <w:color w:val="0D0D0D" w:themeColor="text1" w:themeTint="F2"/>
      <w:spacing w:val="20"/>
      <w:sz w:val="18"/>
      <w:szCs w:val="18"/>
    </w:rPr>
  </w:style>
  <w:style w:type="character" w:customStyle="1" w:styleId="73111">
    <w:name w:val="73א מרווח של 1 בטקס רץ תו"/>
    <w:basedOn w:val="DefaultParagraphFont"/>
    <w:link w:val="73110"/>
    <w:rsid w:val="001F3363"/>
    <w:rPr>
      <w:rFonts w:ascii="Tahoma" w:hAnsi="Tahoma" w:cs="Tahoma"/>
      <w:color w:val="0D0D0D" w:themeColor="text1" w:themeTint="F2"/>
      <w:spacing w:val="20"/>
      <w:sz w:val="18"/>
      <w:szCs w:val="18"/>
    </w:rPr>
  </w:style>
  <w:style w:type="paragraph" w:customStyle="1" w:styleId="a18">
    <w:name w:val="כותרת לבנה בתוך תבנית אדומה בתקציר"/>
    <w:basedOn w:val="Normal"/>
    <w:link w:val="Char7"/>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27">
    <w:name w:val="73א כותרת לבנה בתוך תבנית אדומה בתקציר"/>
    <w:basedOn w:val="a18"/>
    <w:link w:val="7328"/>
    <w:qFormat/>
    <w:rsid w:val="00524400"/>
    <w:pPr>
      <w:keepNext/>
      <w:keepLines/>
      <w:spacing w:before="0"/>
    </w:pPr>
  </w:style>
  <w:style w:type="character" w:customStyle="1" w:styleId="Char7">
    <w:name w:val="כותרת לבנה בתוך תבנית אדומה בתקציר Char"/>
    <w:basedOn w:val="DefaultParagraphFont"/>
    <w:link w:val="a18"/>
    <w:rsid w:val="009D41AC"/>
    <w:rPr>
      <w:rFonts w:ascii="Tahoma" w:hAnsi="Tahoma" w:cs="Tahoma"/>
      <w:b/>
      <w:bCs/>
      <w:color w:val="FFFFFF" w:themeColor="background1"/>
      <w:sz w:val="22"/>
      <w:szCs w:val="22"/>
    </w:rPr>
  </w:style>
  <w:style w:type="character" w:customStyle="1" w:styleId="7328">
    <w:name w:val="73א כותרת לבנה בתוך תבנית אדומה בתקציר תו"/>
    <w:basedOn w:val="Char7"/>
    <w:link w:val="7327"/>
    <w:rsid w:val="00524400"/>
    <w:rPr>
      <w:rFonts w:ascii="Tahoma" w:hAnsi="Tahoma" w:cs="Tahoma"/>
      <w:b/>
      <w:bCs/>
      <w:color w:val="FFFFFF" w:themeColor="background1"/>
      <w:sz w:val="22"/>
      <w:szCs w:val="22"/>
    </w:rPr>
  </w:style>
  <w:style w:type="paragraph" w:customStyle="1" w:styleId="73112">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29">
    <w:name w:val="73א היפרלינק"/>
    <w:basedOn w:val="732"/>
    <w:link w:val="7330"/>
    <w:qFormat/>
    <w:rsid w:val="009578F0"/>
    <w:pPr>
      <w:bidi w:val="0"/>
    </w:pPr>
    <w:rPr>
      <w:color w:val="6090CC"/>
      <w:u w:val="single"/>
    </w:rPr>
  </w:style>
  <w:style w:type="character" w:customStyle="1" w:styleId="7330">
    <w:name w:val="73א היפרלינק תו"/>
    <w:basedOn w:val="7326"/>
    <w:link w:val="7329"/>
    <w:rsid w:val="009578F0"/>
    <w:rPr>
      <w:rFonts w:ascii="Tahoma" w:hAnsi="Tahoma" w:cs="Tahoma"/>
      <w:color w:val="6090CC"/>
      <w:sz w:val="14"/>
      <w:szCs w:val="14"/>
      <w:u w:val="single"/>
    </w:rPr>
  </w:style>
  <w:style w:type="paragraph" w:customStyle="1" w:styleId="7331">
    <w:name w:val="73א קוביה כחולה עם מספר מוזח"/>
    <w:basedOn w:val="734"/>
    <w:link w:val="7333"/>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2">
    <w:name w:val="73א הזחה ראשונה מספר תו"/>
    <w:basedOn w:val="ListParagraphChar"/>
    <w:link w:val="734"/>
    <w:rsid w:val="0091353C"/>
    <w:rPr>
      <w:rFonts w:ascii="Tahoma" w:hAnsi="Tahoma" w:cs="Tahoma"/>
      <w:color w:val="0D0D0D" w:themeColor="text1" w:themeTint="F2"/>
      <w:sz w:val="18"/>
      <w:szCs w:val="18"/>
    </w:rPr>
  </w:style>
  <w:style w:type="character" w:customStyle="1" w:styleId="7333">
    <w:name w:val="73א קוביה כחולה עם מספר מוזח תו"/>
    <w:basedOn w:val="7332"/>
    <w:link w:val="7331"/>
    <w:rsid w:val="00FF6AD9"/>
    <w:rPr>
      <w:rFonts w:ascii="Tahoma" w:hAnsi="Tahoma" w:cs="Tahoma"/>
      <w:color w:val="0D0D0D" w:themeColor="text1" w:themeTint="F2"/>
      <w:sz w:val="18"/>
      <w:szCs w:val="18"/>
      <w:shd w:val="clear" w:color="auto" w:fill="CEEAF6"/>
    </w:rPr>
  </w:style>
  <w:style w:type="paragraph" w:customStyle="1" w:styleId="7334">
    <w:name w:val="73א כותרת טקסט רץ מודגשת"/>
    <w:basedOn w:val="Normal"/>
    <w:link w:val="7335"/>
    <w:qFormat/>
    <w:rsid w:val="001F3363"/>
    <w:pPr>
      <w:spacing w:after="180" w:line="260" w:lineRule="exact"/>
    </w:pPr>
    <w:rPr>
      <w:rFonts w:ascii="Tahoma" w:hAnsi="Tahoma" w:cs="Tahoma"/>
      <w:b/>
      <w:bCs/>
      <w:color w:val="0D0D0D" w:themeColor="text1" w:themeTint="F2"/>
      <w:sz w:val="18"/>
      <w:szCs w:val="18"/>
    </w:rPr>
  </w:style>
  <w:style w:type="character" w:customStyle="1" w:styleId="7335">
    <w:name w:val="73א כותרת טקסט רץ מודגשת תו"/>
    <w:basedOn w:val="DefaultParagraphFont"/>
    <w:link w:val="7334"/>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2"/>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19">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0">
    <w:name w:val="נבנצאל תו"/>
    <w:basedOn w:val="DefaultParagraphFont"/>
    <w:link w:val="a21"/>
    <w:uiPriority w:val="99"/>
    <w:locked/>
    <w:rsid w:val="00905FB1"/>
    <w:rPr>
      <w:szCs w:val="20"/>
    </w:rPr>
  </w:style>
  <w:style w:type="paragraph" w:customStyle="1" w:styleId="a21">
    <w:name w:val="נבנצאל"/>
    <w:basedOn w:val="Normal"/>
    <w:next w:val="Normal"/>
    <w:link w:val="a20"/>
    <w:uiPriority w:val="99"/>
    <w:rsid w:val="00905FB1"/>
    <w:pPr>
      <w:ind w:left="-567"/>
    </w:pPr>
    <w:rPr>
      <w:szCs w:val="20"/>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17">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36">
    <w:name w:val="73א מקרא+הערות לתרשים/לוח/תמונה כוכבית"/>
    <w:basedOn w:val="750"/>
    <w:qFormat/>
    <w:rsid w:val="002F430E"/>
    <w:pPr>
      <w:framePr w:wrap="around" w:vAnchor="text" w:hAnchor="text" w:y="1"/>
    </w:pPr>
  </w:style>
  <w:style w:type="paragraph" w:customStyle="1" w:styleId="a23">
    <w:name w:val="הערות לתרשימים"/>
    <w:basedOn w:val="750"/>
    <w:next w:val="732"/>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2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16"/>
    <w:link w:val="7393"/>
    <w:qFormat/>
    <w:rsid w:val="00222C5D"/>
    <w:rPr>
      <w:color w:val="0D0D0D" w:themeColor="text1" w:themeTint="F2"/>
      <w:sz w:val="18"/>
    </w:rPr>
  </w:style>
  <w:style w:type="character" w:customStyle="1" w:styleId="7393">
    <w:name w:val="73א טקסט רץ 9 תו"/>
    <w:basedOn w:val="Char6"/>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7"/>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4"/>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18">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2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26">
    <w:name w:val="תאריך הדוח"/>
    <w:qFormat/>
    <w:rsid w:val="000F5023"/>
    <w:pPr>
      <w:ind w:left="2268"/>
      <w:jc w:val="left"/>
    </w:pPr>
    <w:rPr>
      <w:rFonts w:ascii="Tahoma" w:hAnsi="Tahoma" w:cs="Tahoma"/>
      <w:sz w:val="18"/>
      <w:szCs w:val="18"/>
    </w:rPr>
  </w:style>
  <w:style w:type="paragraph" w:customStyle="1" w:styleId="70">
    <w:name w:val="סגנון7"/>
    <w:basedOn w:val="7331"/>
    <w:qFormat/>
    <w:rsid w:val="00F1103C"/>
    <w:pPr>
      <w:numPr>
        <w:numId w:val="9"/>
      </w:numPr>
      <w:ind w:left="850" w:right="284" w:hanging="425"/>
    </w:pPr>
    <w:rPr>
      <w:noProof/>
      <w:lang w:val="he-IL"/>
    </w:rPr>
  </w:style>
  <w:style w:type="paragraph" w:customStyle="1" w:styleId="710">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1">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FootnoteTextChar"/>
    <w:link w:val="711"/>
    <w:rsid w:val="002507E8"/>
    <w:rPr>
      <w:rFonts w:ascii="Tahoma" w:hAnsi="Tahoma" w:cs="Tahoma"/>
      <w:color w:val="0D0D0D" w:themeColor="text1" w:themeTint="F2"/>
      <w:sz w:val="14"/>
      <w:szCs w:val="14"/>
    </w:rPr>
  </w:style>
  <w:style w:type="paragraph" w:customStyle="1" w:styleId="712">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51"/>
    <w:qFormat/>
    <w:rsid w:val="00AB2F78"/>
  </w:style>
  <w:style w:type="paragraph" w:customStyle="1" w:styleId="a27">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r,הפניה להערת שוליים חדש,מ"/>
    <w:basedOn w:val="DefaultParagraphFont"/>
    <w:uiPriority w:val="99"/>
    <w:unhideWhenUsed/>
    <w:rsid w:val="00C00585"/>
    <w:rPr>
      <w:vertAlign w:val="superscript"/>
    </w:rPr>
  </w:style>
  <w:style w:type="character" w:styleId="CommentReference">
    <w:name w:val="annotation reference"/>
    <w:basedOn w:val="DefaultParagraphFont"/>
    <w:uiPriority w:val="99"/>
    <w:semiHidden/>
    <w:unhideWhenUsed/>
    <w:rsid w:val="0079701E"/>
    <w:rPr>
      <w:sz w:val="16"/>
      <w:szCs w:val="16"/>
    </w:rPr>
  </w:style>
  <w:style w:type="paragraph" w:customStyle="1" w:styleId="753">
    <w:name w:val="75א לוחות/תרשימים/תמונות/אינפוגרפיקה/מפות"/>
    <w:basedOn w:val="Normal"/>
    <w:qFormat/>
    <w:rsid w:val="0079701E"/>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119">
    <w:name w:val="אזכור לא מזוהה1"/>
    <w:basedOn w:val="DefaultParagraphFont"/>
    <w:uiPriority w:val="99"/>
    <w:semiHidden/>
    <w:unhideWhenUsed/>
    <w:rsid w:val="0079701E"/>
    <w:rPr>
      <w:color w:val="605E5C"/>
      <w:shd w:val="clear" w:color="auto" w:fill="E1DFDD"/>
    </w:rPr>
  </w:style>
  <w:style w:type="paragraph" w:customStyle="1" w:styleId="a28">
    <w:name w:val="פרטי הדוח ממה"/>
    <w:basedOn w:val="Normal"/>
    <w:qFormat/>
    <w:rsid w:val="009F04C6"/>
    <w:pPr>
      <w:spacing w:before="600" w:line="240" w:lineRule="auto"/>
      <w:ind w:left="284"/>
      <w:jc w:val="left"/>
    </w:pPr>
    <w:rPr>
      <w:rFonts w:ascii="Calibri" w:eastAsia="Calibri" w:hAnsi="Calibri" w:cs="Calibri"/>
      <w:noProof/>
      <w:color w:val="FFFFFF" w:themeColor="background1"/>
      <w:sz w:val="24"/>
    </w:rPr>
  </w:style>
  <w:style w:type="paragraph" w:customStyle="1" w:styleId="a29">
    <w:name w:val="כותרת הדוח ממה"/>
    <w:basedOn w:val="Normal"/>
    <w:link w:val="a30"/>
    <w:qFormat/>
    <w:rsid w:val="009F04C6"/>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30">
    <w:name w:val="כותרת הדוח ממה תו"/>
    <w:basedOn w:val="DefaultParagraphFont"/>
    <w:link w:val="a29"/>
    <w:rsid w:val="009F04C6"/>
    <w:rPr>
      <w:rFonts w:ascii="Calibri" w:hAnsi="Calibri" w:cs="Calibri"/>
      <w:b/>
      <w:bCs/>
      <w:color w:val="FFFFFF" w:themeColor="background1"/>
      <w:sz w:val="60"/>
      <w:szCs w:val="60"/>
    </w:rPr>
  </w:style>
  <w:style w:type="paragraph" w:customStyle="1" w:styleId="a31">
    <w:name w:val="טקסט שם מונח ממה"/>
    <w:basedOn w:val="Normal"/>
    <w:qFormat/>
    <w:rsid w:val="009F04C6"/>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32">
    <w:name w:val="טקסט הגדרת מונח ממה"/>
    <w:link w:val="a33"/>
    <w:qFormat/>
    <w:rsid w:val="009F04C6"/>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33">
    <w:name w:val="טקסט הגדרת מונח ממה תו"/>
    <w:basedOn w:val="DefaultParagraphFont"/>
    <w:link w:val="a32"/>
    <w:rsid w:val="009F04C6"/>
    <w:rPr>
      <w:rFonts w:ascii="Calibri" w:eastAsia="DengXian" w:hAnsi="Calibri" w:cs="Calibri"/>
      <w:color w:val="002060"/>
      <w:sz w:val="24"/>
      <w:lang w:val="en-GB"/>
    </w:rPr>
  </w:style>
  <w:style w:type="paragraph" w:customStyle="1" w:styleId="a34">
    <w:name w:val="מבוא ממה"/>
    <w:basedOn w:val="Normal"/>
    <w:next w:val="Normal"/>
    <w:link w:val="a35"/>
    <w:autoRedefine/>
    <w:qFormat/>
    <w:rsid w:val="009F04C6"/>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35">
    <w:name w:val="מבוא ממה תו"/>
    <w:basedOn w:val="DefaultParagraphFont"/>
    <w:link w:val="a34"/>
    <w:rsid w:val="009F04C6"/>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36">
    <w:name w:val="מראה מקום ממה"/>
    <w:basedOn w:val="Normal"/>
    <w:next w:val="Normal"/>
    <w:link w:val="a37"/>
    <w:qFormat/>
    <w:rsid w:val="009F04C6"/>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37">
    <w:name w:val="מראה מקום ממה תו"/>
    <w:basedOn w:val="DefaultParagraphFont"/>
    <w:link w:val="a36"/>
    <w:rsid w:val="009F04C6"/>
    <w:rPr>
      <w:rFonts w:ascii="Calibri" w:eastAsia="Calibri" w:hAnsi="Calibri" w:cs="Calibri"/>
      <w:b/>
      <w:bCs/>
      <w:color w:val="002060"/>
      <w:sz w:val="18"/>
      <w:szCs w:val="18"/>
      <w:shd w:val="solid" w:color="F3F7FF" w:fill="auto"/>
    </w:rPr>
  </w:style>
  <w:style w:type="paragraph" w:customStyle="1" w:styleId="a38">
    <w:name w:val="כותרת עליונה ממה"/>
    <w:basedOn w:val="Normal"/>
    <w:next w:val="Normal"/>
    <w:link w:val="a39"/>
    <w:qFormat/>
    <w:rsid w:val="009F04C6"/>
    <w:pPr>
      <w:spacing w:line="240" w:lineRule="auto"/>
      <w:ind w:left="737"/>
      <w:jc w:val="left"/>
    </w:pPr>
    <w:rPr>
      <w:rFonts w:ascii="Calibri" w:eastAsia="Calibri" w:hAnsi="Calibri" w:cs="Calibri"/>
      <w:color w:val="002060"/>
      <w:sz w:val="18"/>
      <w:szCs w:val="18"/>
    </w:rPr>
  </w:style>
  <w:style w:type="character" w:customStyle="1" w:styleId="a39">
    <w:name w:val="כותרת עליונה ממה תו"/>
    <w:basedOn w:val="DefaultParagraphFont"/>
    <w:link w:val="a38"/>
    <w:rsid w:val="009F04C6"/>
    <w:rPr>
      <w:rFonts w:ascii="Calibri" w:eastAsia="Calibri" w:hAnsi="Calibri" w:cs="Calibri"/>
      <w:color w:val="002060"/>
      <w:sz w:val="18"/>
      <w:szCs w:val="18"/>
    </w:rPr>
  </w:style>
  <w:style w:type="paragraph" w:customStyle="1" w:styleId="120">
    <w:name w:val="כותרת 1 ממה"/>
    <w:basedOn w:val="Normal"/>
    <w:next w:val="Normal"/>
    <w:link w:val="122"/>
    <w:qFormat/>
    <w:rsid w:val="009F04C6"/>
    <w:pPr>
      <w:keepNext/>
      <w:widowControl w:val="0"/>
      <w:numPr>
        <w:numId w:val="13"/>
      </w:numPr>
      <w:spacing w:before="240" w:after="120" w:line="440" w:lineRule="exact"/>
      <w:jc w:val="left"/>
      <w:outlineLvl w:val="0"/>
    </w:pPr>
    <w:rPr>
      <w:rFonts w:ascii="Calibri" w:eastAsia="Calibri" w:hAnsi="Calibri" w:cs="Calibri"/>
      <w:b/>
      <w:bCs/>
      <w:color w:val="002060"/>
      <w:sz w:val="40"/>
      <w:szCs w:val="40"/>
    </w:rPr>
  </w:style>
  <w:style w:type="character" w:customStyle="1" w:styleId="122">
    <w:name w:val="כותרת 1 ממה תו"/>
    <w:basedOn w:val="DefaultParagraphFont"/>
    <w:link w:val="120"/>
    <w:rsid w:val="009F04C6"/>
    <w:rPr>
      <w:rFonts w:ascii="Calibri" w:eastAsia="Calibri" w:hAnsi="Calibri" w:cs="Calibri"/>
      <w:b/>
      <w:bCs/>
      <w:color w:val="002060"/>
      <w:sz w:val="40"/>
      <w:szCs w:val="40"/>
    </w:rPr>
  </w:style>
  <w:style w:type="paragraph" w:customStyle="1" w:styleId="24">
    <w:name w:val="כותרת 2 ממה"/>
    <w:basedOn w:val="Normal"/>
    <w:next w:val="Normal"/>
    <w:link w:val="25"/>
    <w:qFormat/>
    <w:rsid w:val="009F04C6"/>
    <w:pPr>
      <w:keepNext/>
      <w:widowControl w:val="0"/>
      <w:numPr>
        <w:numId w:val="14"/>
      </w:numPr>
      <w:spacing w:before="240" w:line="280" w:lineRule="exact"/>
      <w:jc w:val="left"/>
      <w:outlineLvl w:val="1"/>
    </w:pPr>
    <w:rPr>
      <w:rFonts w:ascii="Calibri" w:eastAsia="Calibri" w:hAnsi="Calibri" w:cs="Calibri"/>
      <w:b/>
      <w:bCs/>
      <w:color w:val="002060"/>
      <w:sz w:val="36"/>
      <w:szCs w:val="36"/>
    </w:rPr>
  </w:style>
  <w:style w:type="character" w:customStyle="1" w:styleId="25">
    <w:name w:val="כותרת 2 ממה תו"/>
    <w:basedOn w:val="22"/>
    <w:link w:val="24"/>
    <w:rsid w:val="009F04C6"/>
    <w:rPr>
      <w:rFonts w:ascii="Calibri" w:eastAsia="Calibri" w:hAnsi="Calibri" w:cs="Calibri"/>
      <w:b/>
      <w:bCs/>
      <w:color w:val="002060"/>
      <w:sz w:val="36"/>
      <w:szCs w:val="36"/>
    </w:rPr>
  </w:style>
  <w:style w:type="paragraph" w:customStyle="1" w:styleId="33">
    <w:name w:val="כותרת 3 ממה"/>
    <w:basedOn w:val="Normal"/>
    <w:next w:val="Normal"/>
    <w:link w:val="34"/>
    <w:qFormat/>
    <w:rsid w:val="009F04C6"/>
    <w:pPr>
      <w:widowControl w:val="0"/>
      <w:numPr>
        <w:numId w:val="15"/>
      </w:numPr>
      <w:spacing w:before="240" w:line="280" w:lineRule="exact"/>
      <w:jc w:val="left"/>
    </w:pPr>
    <w:rPr>
      <w:rFonts w:ascii="Calibri" w:eastAsia="Calibri" w:hAnsi="Calibri" w:cs="Calibri"/>
      <w:b/>
      <w:bCs/>
      <w:color w:val="002060"/>
      <w:sz w:val="28"/>
      <w:szCs w:val="28"/>
      <w:u w:val="single"/>
    </w:rPr>
  </w:style>
  <w:style w:type="character" w:customStyle="1" w:styleId="34">
    <w:name w:val="כותרת 3 ממה תו"/>
    <w:basedOn w:val="3"/>
    <w:link w:val="33"/>
    <w:rsid w:val="009F04C6"/>
    <w:rPr>
      <w:rFonts w:ascii="Calibri" w:eastAsia="Calibri" w:hAnsi="Calibri" w:cs="Calibri"/>
      <w:b/>
      <w:bCs/>
      <w:color w:val="002060"/>
      <w:sz w:val="28"/>
      <w:szCs w:val="28"/>
      <w:u w:val="single"/>
    </w:rPr>
  </w:style>
  <w:style w:type="paragraph" w:customStyle="1" w:styleId="42">
    <w:name w:val="כותרת 4 ממה"/>
    <w:basedOn w:val="Normal"/>
    <w:next w:val="Normal"/>
    <w:link w:val="43"/>
    <w:qFormat/>
    <w:rsid w:val="009F04C6"/>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3">
    <w:name w:val="כותרת 4 ממה תו"/>
    <w:basedOn w:val="DefaultParagraphFont"/>
    <w:link w:val="42"/>
    <w:rsid w:val="009F04C6"/>
    <w:rPr>
      <w:rFonts w:ascii="Calibri" w:eastAsia="Calibri" w:hAnsi="Calibri" w:cs="Calibri"/>
      <w:color w:val="002060"/>
      <w:sz w:val="28"/>
      <w:szCs w:val="28"/>
    </w:rPr>
  </w:style>
  <w:style w:type="paragraph" w:customStyle="1" w:styleId="123">
    <w:name w:val="רשימה1 ממה"/>
    <w:basedOn w:val="Normal"/>
    <w:link w:val="124"/>
    <w:qFormat/>
    <w:rsid w:val="009F04C6"/>
    <w:pPr>
      <w:widowControl w:val="0"/>
      <w:numPr>
        <w:numId w:val="16"/>
      </w:numPr>
      <w:spacing w:line="280" w:lineRule="exact"/>
    </w:pPr>
    <w:rPr>
      <w:rFonts w:ascii="Calibri" w:eastAsia="Calibri" w:hAnsi="Calibri" w:cs="Calibri"/>
      <w:color w:val="002060"/>
      <w:sz w:val="24"/>
    </w:rPr>
  </w:style>
  <w:style w:type="character" w:customStyle="1" w:styleId="124">
    <w:name w:val="רשימה1 ממה תו"/>
    <w:basedOn w:val="DefaultParagraphFont"/>
    <w:link w:val="123"/>
    <w:rsid w:val="009F04C6"/>
    <w:rPr>
      <w:rFonts w:ascii="Calibri" w:eastAsia="Calibri" w:hAnsi="Calibri" w:cs="Calibri"/>
      <w:color w:val="002060"/>
      <w:sz w:val="24"/>
    </w:rPr>
  </w:style>
  <w:style w:type="paragraph" w:customStyle="1" w:styleId="26">
    <w:name w:val="רשימה2 ממה"/>
    <w:basedOn w:val="Normal"/>
    <w:link w:val="27"/>
    <w:qFormat/>
    <w:rsid w:val="009F04C6"/>
    <w:pPr>
      <w:widowControl w:val="0"/>
      <w:spacing w:line="280" w:lineRule="exact"/>
      <w:ind w:left="1871"/>
    </w:pPr>
    <w:rPr>
      <w:rFonts w:ascii="Calibri" w:eastAsia="Calibri" w:hAnsi="Calibri" w:cs="Calibri"/>
      <w:color w:val="002060"/>
      <w:sz w:val="24"/>
    </w:rPr>
  </w:style>
  <w:style w:type="character" w:customStyle="1" w:styleId="27">
    <w:name w:val="רשימה2 ממה תו"/>
    <w:basedOn w:val="DefaultParagraphFont"/>
    <w:link w:val="26"/>
    <w:rsid w:val="009F04C6"/>
    <w:rPr>
      <w:rFonts w:ascii="Calibri" w:eastAsia="Calibri" w:hAnsi="Calibri" w:cs="Calibri"/>
      <w:color w:val="002060"/>
      <w:sz w:val="24"/>
    </w:rPr>
  </w:style>
  <w:style w:type="paragraph" w:customStyle="1" w:styleId="35">
    <w:name w:val="רשימה3 ממה"/>
    <w:basedOn w:val="Normal"/>
    <w:link w:val="36"/>
    <w:qFormat/>
    <w:rsid w:val="009F04C6"/>
    <w:pPr>
      <w:widowControl w:val="0"/>
      <w:numPr>
        <w:numId w:val="17"/>
      </w:numPr>
      <w:spacing w:line="280" w:lineRule="exact"/>
    </w:pPr>
    <w:rPr>
      <w:rFonts w:ascii="Calibri" w:eastAsia="Calibri" w:hAnsi="Calibri" w:cs="Calibri"/>
      <w:color w:val="002060"/>
      <w:sz w:val="24"/>
    </w:rPr>
  </w:style>
  <w:style w:type="character" w:customStyle="1" w:styleId="36">
    <w:name w:val="רשימה3 ממה תו"/>
    <w:basedOn w:val="DefaultParagraphFont"/>
    <w:link w:val="35"/>
    <w:rsid w:val="009F04C6"/>
    <w:rPr>
      <w:rFonts w:ascii="Calibri" w:eastAsia="Calibri" w:hAnsi="Calibri" w:cs="Calibri"/>
      <w:color w:val="002060"/>
      <w:sz w:val="24"/>
    </w:rPr>
  </w:style>
  <w:style w:type="paragraph" w:customStyle="1" w:styleId="44">
    <w:name w:val="רשימה4 ממה"/>
    <w:basedOn w:val="Normal"/>
    <w:link w:val="45"/>
    <w:qFormat/>
    <w:rsid w:val="009F04C6"/>
    <w:pPr>
      <w:widowControl w:val="0"/>
      <w:spacing w:line="280" w:lineRule="exact"/>
      <w:ind w:left="2552"/>
    </w:pPr>
    <w:rPr>
      <w:rFonts w:ascii="Calibri" w:eastAsia="Calibri" w:hAnsi="Calibri" w:cs="Calibri"/>
      <w:color w:val="002060"/>
      <w:sz w:val="24"/>
    </w:rPr>
  </w:style>
  <w:style w:type="character" w:customStyle="1" w:styleId="45">
    <w:name w:val="רשימה4 ממה תו"/>
    <w:basedOn w:val="DefaultParagraphFont"/>
    <w:link w:val="44"/>
    <w:rsid w:val="009F04C6"/>
    <w:rPr>
      <w:rFonts w:ascii="Calibri" w:eastAsia="Calibri" w:hAnsi="Calibri" w:cs="Calibri"/>
      <w:color w:val="002060"/>
      <w:sz w:val="24"/>
    </w:rPr>
  </w:style>
  <w:style w:type="paragraph" w:customStyle="1" w:styleId="52">
    <w:name w:val="רשימה5 ממה"/>
    <w:basedOn w:val="Normal"/>
    <w:link w:val="53"/>
    <w:qFormat/>
    <w:rsid w:val="009F04C6"/>
    <w:pPr>
      <w:widowControl w:val="0"/>
      <w:numPr>
        <w:numId w:val="18"/>
      </w:numPr>
      <w:spacing w:line="280" w:lineRule="exact"/>
    </w:pPr>
    <w:rPr>
      <w:rFonts w:ascii="Calibri" w:eastAsia="Calibri" w:hAnsi="Calibri" w:cs="Calibri"/>
      <w:color w:val="002060"/>
      <w:sz w:val="24"/>
    </w:rPr>
  </w:style>
  <w:style w:type="character" w:customStyle="1" w:styleId="53">
    <w:name w:val="רשימה5 ממה תו"/>
    <w:basedOn w:val="DefaultParagraphFont"/>
    <w:link w:val="52"/>
    <w:rsid w:val="009F04C6"/>
    <w:rPr>
      <w:rFonts w:ascii="Calibri" w:eastAsia="Calibri" w:hAnsi="Calibri" w:cs="Calibri"/>
      <w:color w:val="002060"/>
      <w:sz w:val="24"/>
    </w:rPr>
  </w:style>
  <w:style w:type="paragraph" w:customStyle="1" w:styleId="a40">
    <w:name w:val="הערת שוליים ממה"/>
    <w:basedOn w:val="Normal"/>
    <w:link w:val="a41"/>
    <w:qFormat/>
    <w:rsid w:val="009F04C6"/>
    <w:pPr>
      <w:widowControl w:val="0"/>
      <w:spacing w:line="280" w:lineRule="exact"/>
      <w:ind w:left="1985" w:hanging="851"/>
    </w:pPr>
    <w:rPr>
      <w:rFonts w:ascii="Calibri" w:eastAsia="Calibri" w:hAnsi="Calibri" w:cs="Calibri"/>
      <w:color w:val="002060"/>
      <w:sz w:val="24"/>
      <w:szCs w:val="20"/>
    </w:rPr>
  </w:style>
  <w:style w:type="character" w:customStyle="1" w:styleId="a41">
    <w:name w:val="הערת שוליים ממה תו"/>
    <w:basedOn w:val="DefaultParagraphFont"/>
    <w:link w:val="a40"/>
    <w:rsid w:val="009F04C6"/>
    <w:rPr>
      <w:rFonts w:ascii="Calibri" w:eastAsia="Calibri" w:hAnsi="Calibri" w:cs="Calibri"/>
      <w:color w:val="002060"/>
      <w:sz w:val="24"/>
      <w:szCs w:val="20"/>
    </w:rPr>
  </w:style>
  <w:style w:type="paragraph" w:customStyle="1" w:styleId="a42">
    <w:name w:val="הערת סיום ממה"/>
    <w:basedOn w:val="Normal"/>
    <w:link w:val="a43"/>
    <w:qFormat/>
    <w:rsid w:val="009F04C6"/>
    <w:pPr>
      <w:widowControl w:val="0"/>
      <w:spacing w:line="240" w:lineRule="auto"/>
      <w:ind w:left="1134"/>
    </w:pPr>
    <w:rPr>
      <w:rFonts w:ascii="Calibri" w:eastAsia="Calibri" w:hAnsi="Calibri" w:cs="Calibri"/>
      <w:color w:val="002060"/>
      <w:sz w:val="24"/>
      <w:szCs w:val="20"/>
    </w:rPr>
  </w:style>
  <w:style w:type="character" w:customStyle="1" w:styleId="a43">
    <w:name w:val="הערת סיום ממה תו"/>
    <w:basedOn w:val="DefaultParagraphFont"/>
    <w:link w:val="a42"/>
    <w:rsid w:val="009F04C6"/>
    <w:rPr>
      <w:rFonts w:ascii="Calibri" w:eastAsia="Calibri" w:hAnsi="Calibri" w:cs="Calibri"/>
      <w:color w:val="002060"/>
      <w:sz w:val="24"/>
      <w:szCs w:val="20"/>
    </w:rPr>
  </w:style>
  <w:style w:type="paragraph" w:customStyle="1" w:styleId="125">
    <w:name w:val="ליקוי/ממצא חיובי/המלצה1 ממה"/>
    <w:next w:val="Normal"/>
    <w:link w:val="126"/>
    <w:qFormat/>
    <w:rsid w:val="009F04C6"/>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26">
    <w:name w:val="ליקוי/ממצא חיובי/המלצה1 ממה תו"/>
    <w:basedOn w:val="DefaultParagraphFont"/>
    <w:link w:val="125"/>
    <w:rsid w:val="009F04C6"/>
    <w:rPr>
      <w:rFonts w:ascii="Calibri" w:eastAsia="Calibri" w:hAnsi="Calibri" w:cs="Calibri"/>
      <w:color w:val="002060"/>
      <w:sz w:val="24"/>
    </w:rPr>
  </w:style>
  <w:style w:type="paragraph" w:customStyle="1" w:styleId="28">
    <w:name w:val="ליקוי/ממצא חיובי/המלצה2 ממה"/>
    <w:basedOn w:val="Normal"/>
    <w:next w:val="Normal"/>
    <w:link w:val="29"/>
    <w:qFormat/>
    <w:rsid w:val="009F04C6"/>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9">
    <w:name w:val="ליקוי/ממצא חיובי/המלצה2 ממה תו"/>
    <w:basedOn w:val="126"/>
    <w:link w:val="28"/>
    <w:rsid w:val="009F04C6"/>
    <w:rPr>
      <w:rFonts w:ascii="Calibri" w:eastAsia="Calibri" w:hAnsi="Calibri" w:cs="Calibri"/>
      <w:color w:val="002060"/>
      <w:sz w:val="24"/>
    </w:rPr>
  </w:style>
  <w:style w:type="paragraph" w:customStyle="1" w:styleId="37">
    <w:name w:val="ליקוי/ממצא חיובי/המלצה3 ממה"/>
    <w:basedOn w:val="Normal"/>
    <w:link w:val="38"/>
    <w:qFormat/>
    <w:rsid w:val="009F04C6"/>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8">
    <w:name w:val="ליקוי/ממצא חיובי/המלצה3 ממה תו"/>
    <w:basedOn w:val="DefaultParagraphFont"/>
    <w:link w:val="37"/>
    <w:rsid w:val="009F04C6"/>
    <w:rPr>
      <w:rFonts w:ascii="Calibri" w:eastAsia="Calibri" w:hAnsi="Calibri" w:cs="Calibri"/>
      <w:color w:val="002060"/>
      <w:sz w:val="24"/>
    </w:rPr>
  </w:style>
  <w:style w:type="paragraph" w:customStyle="1" w:styleId="a44">
    <w:name w:val="נבנצאל ממה"/>
    <w:basedOn w:val="Normal"/>
    <w:next w:val="Normal"/>
    <w:link w:val="a45"/>
    <w:uiPriority w:val="99"/>
    <w:qFormat/>
    <w:rsid w:val="009F04C6"/>
    <w:pPr>
      <w:keepNext/>
      <w:spacing w:line="280" w:lineRule="exact"/>
      <w:jc w:val="left"/>
    </w:pPr>
    <w:rPr>
      <w:rFonts w:ascii="Calibri" w:eastAsia="Calibri" w:hAnsi="Calibri" w:cs="Calibri"/>
      <w:color w:val="002060"/>
      <w:szCs w:val="20"/>
    </w:rPr>
  </w:style>
  <w:style w:type="character" w:customStyle="1" w:styleId="a45">
    <w:name w:val="נבנצאל ממה תו"/>
    <w:basedOn w:val="DefaultParagraphFont"/>
    <w:link w:val="a44"/>
    <w:uiPriority w:val="99"/>
    <w:rsid w:val="009F04C6"/>
    <w:rPr>
      <w:rFonts w:ascii="Calibri" w:eastAsia="Calibri" w:hAnsi="Calibri" w:cs="Calibri"/>
      <w:color w:val="002060"/>
      <w:szCs w:val="20"/>
    </w:rPr>
  </w:style>
  <w:style w:type="paragraph" w:customStyle="1" w:styleId="a46">
    <w:name w:val="רגיל ממה"/>
    <w:basedOn w:val="Normal"/>
    <w:link w:val="a47"/>
    <w:qFormat/>
    <w:rsid w:val="009F04C6"/>
    <w:pPr>
      <w:widowControl w:val="0"/>
      <w:spacing w:line="280" w:lineRule="exact"/>
      <w:ind w:left="1134"/>
    </w:pPr>
    <w:rPr>
      <w:rFonts w:ascii="Calibri" w:eastAsia="Calibri" w:hAnsi="Calibri" w:cs="Calibri"/>
      <w:color w:val="002060"/>
      <w:sz w:val="24"/>
    </w:rPr>
  </w:style>
  <w:style w:type="character" w:customStyle="1" w:styleId="a47">
    <w:name w:val="רגיל ממה תו"/>
    <w:basedOn w:val="DefaultParagraphFont"/>
    <w:link w:val="a46"/>
    <w:rsid w:val="009F04C6"/>
    <w:rPr>
      <w:rFonts w:ascii="Calibri" w:eastAsia="Calibri" w:hAnsi="Calibri" w:cs="Calibri"/>
      <w:color w:val="002060"/>
      <w:sz w:val="24"/>
    </w:rPr>
  </w:style>
  <w:style w:type="paragraph" w:customStyle="1" w:styleId="a48">
    <w:name w:val="סיכום ממה"/>
    <w:basedOn w:val="Normal"/>
    <w:next w:val="Normal"/>
    <w:link w:val="a49"/>
    <w:qFormat/>
    <w:rsid w:val="009F04C6"/>
    <w:pPr>
      <w:spacing w:line="276" w:lineRule="auto"/>
      <w:ind w:left="1140"/>
    </w:pPr>
    <w:rPr>
      <w:rFonts w:ascii="Calibri" w:eastAsia="Calibri" w:hAnsi="Calibri" w:cs="Calibri"/>
      <w:b/>
      <w:bCs/>
      <w:color w:val="FFFFFF" w:themeColor="background1"/>
      <w:sz w:val="2"/>
      <w:szCs w:val="2"/>
    </w:rPr>
  </w:style>
  <w:style w:type="character" w:customStyle="1" w:styleId="a49">
    <w:name w:val="סיכום ממה תו"/>
    <w:basedOn w:val="DefaultParagraphFont"/>
    <w:link w:val="a48"/>
    <w:rsid w:val="009F04C6"/>
    <w:rPr>
      <w:rFonts w:ascii="Calibri" w:eastAsia="Calibri" w:hAnsi="Calibri" w:cs="Calibri"/>
      <w:b/>
      <w:bCs/>
      <w:color w:val="FFFFFF" w:themeColor="background1"/>
      <w:sz w:val="2"/>
      <w:szCs w:val="2"/>
    </w:rPr>
  </w:style>
  <w:style w:type="paragraph" w:customStyle="1" w:styleId="a50">
    <w:name w:val="טקסט סיכום ממה"/>
    <w:basedOn w:val="Normal"/>
    <w:next w:val="Normal"/>
    <w:qFormat/>
    <w:rsid w:val="009F04C6"/>
    <w:pPr>
      <w:widowControl w:val="0"/>
      <w:spacing w:after="240" w:line="280" w:lineRule="exact"/>
      <w:ind w:left="1140"/>
    </w:pPr>
    <w:rPr>
      <w:rFonts w:ascii="Calibri" w:eastAsia="Calibri" w:hAnsi="Calibri" w:cs="Calibri"/>
      <w:bCs/>
      <w:color w:val="002060"/>
      <w:sz w:val="24"/>
    </w:rPr>
  </w:style>
  <w:style w:type="paragraph" w:customStyle="1" w:styleId="a51">
    <w:name w:val="סיכום ביניים ממה"/>
    <w:basedOn w:val="Normal"/>
    <w:next w:val="Normal"/>
    <w:qFormat/>
    <w:rsid w:val="009F04C6"/>
    <w:pPr>
      <w:widowControl w:val="0"/>
      <w:spacing w:before="240" w:after="240"/>
      <w:ind w:left="1134"/>
    </w:pPr>
    <w:rPr>
      <w:rFonts w:ascii="Calibri" w:eastAsia="Calibri" w:hAnsi="Calibri" w:cs="Calibri"/>
      <w:noProof/>
      <w:color w:val="002060"/>
      <w:sz w:val="24"/>
    </w:rPr>
  </w:style>
  <w:style w:type="paragraph" w:customStyle="1" w:styleId="a52">
    <w:name w:val="טקסט סיכום ביניים ממה"/>
    <w:basedOn w:val="Normal"/>
    <w:next w:val="Normal"/>
    <w:qFormat/>
    <w:rsid w:val="009F04C6"/>
    <w:pPr>
      <w:widowControl w:val="0"/>
      <w:spacing w:after="240" w:line="280" w:lineRule="exact"/>
      <w:ind w:left="1134"/>
    </w:pPr>
    <w:rPr>
      <w:rFonts w:ascii="Calibri" w:eastAsia="Calibri" w:hAnsi="Calibri" w:cs="Calibri"/>
      <w:bCs/>
      <w:color w:val="002060"/>
      <w:sz w:val="24"/>
    </w:rPr>
  </w:style>
  <w:style w:type="paragraph" w:customStyle="1" w:styleId="a53">
    <w:name w:val="תרשים ממה"/>
    <w:basedOn w:val="Normal"/>
    <w:next w:val="Normal"/>
    <w:link w:val="a54"/>
    <w:qFormat/>
    <w:rsid w:val="009F04C6"/>
    <w:pPr>
      <w:keepNext/>
      <w:keepLines/>
      <w:widowControl w:val="0"/>
      <w:numPr>
        <w:numId w:val="19"/>
      </w:numPr>
      <w:spacing w:line="280" w:lineRule="exact"/>
      <w:jc w:val="center"/>
      <w:outlineLvl w:val="6"/>
    </w:pPr>
    <w:rPr>
      <w:rFonts w:ascii="Calibri" w:eastAsia="Calibri" w:hAnsi="Calibri" w:cs="Calibri"/>
      <w:b/>
      <w:bCs/>
      <w:color w:val="002060"/>
      <w:sz w:val="24"/>
    </w:rPr>
  </w:style>
  <w:style w:type="character" w:customStyle="1" w:styleId="a54">
    <w:name w:val="תרשים ממה תו"/>
    <w:basedOn w:val="DefaultParagraphFont"/>
    <w:link w:val="a53"/>
    <w:rsid w:val="009F04C6"/>
    <w:rPr>
      <w:rFonts w:ascii="Calibri" w:eastAsia="Calibri" w:hAnsi="Calibri" w:cs="Calibri"/>
      <w:b/>
      <w:bCs/>
      <w:color w:val="002060"/>
      <w:sz w:val="24"/>
    </w:rPr>
  </w:style>
  <w:style w:type="paragraph" w:customStyle="1" w:styleId="a55">
    <w:name w:val="תמונה ממה"/>
    <w:basedOn w:val="Normal"/>
    <w:next w:val="Normal"/>
    <w:link w:val="a56"/>
    <w:qFormat/>
    <w:rsid w:val="009F04C6"/>
    <w:pPr>
      <w:keepNext/>
      <w:keepLines/>
      <w:widowControl w:val="0"/>
      <w:numPr>
        <w:numId w:val="20"/>
      </w:numPr>
      <w:spacing w:line="280" w:lineRule="exact"/>
      <w:jc w:val="center"/>
      <w:outlineLvl w:val="6"/>
    </w:pPr>
    <w:rPr>
      <w:rFonts w:ascii="Calibri" w:eastAsia="Calibri" w:hAnsi="Calibri" w:cs="Calibri"/>
      <w:b/>
      <w:bCs/>
      <w:color w:val="002060"/>
      <w:sz w:val="24"/>
    </w:rPr>
  </w:style>
  <w:style w:type="character" w:customStyle="1" w:styleId="a56">
    <w:name w:val="תמונה ממה תו"/>
    <w:basedOn w:val="DefaultParagraphFont"/>
    <w:link w:val="a55"/>
    <w:rsid w:val="009F04C6"/>
    <w:rPr>
      <w:rFonts w:ascii="Calibri" w:eastAsia="Calibri" w:hAnsi="Calibri" w:cs="Calibri"/>
      <w:b/>
      <w:bCs/>
      <w:color w:val="002060"/>
      <w:sz w:val="24"/>
    </w:rPr>
  </w:style>
  <w:style w:type="paragraph" w:customStyle="1" w:styleId="a57">
    <w:name w:val="לוח ממה"/>
    <w:basedOn w:val="Normal"/>
    <w:next w:val="Normal"/>
    <w:link w:val="a58"/>
    <w:qFormat/>
    <w:rsid w:val="009F04C6"/>
    <w:pPr>
      <w:keepNext/>
      <w:keepLines/>
      <w:widowControl w:val="0"/>
      <w:numPr>
        <w:numId w:val="21"/>
      </w:numPr>
      <w:spacing w:line="280" w:lineRule="exact"/>
      <w:jc w:val="center"/>
      <w:outlineLvl w:val="6"/>
    </w:pPr>
    <w:rPr>
      <w:rFonts w:ascii="Calibri" w:eastAsia="Calibri" w:hAnsi="Calibri" w:cs="Calibri"/>
      <w:b/>
      <w:bCs/>
      <w:color w:val="002060"/>
      <w:sz w:val="24"/>
    </w:rPr>
  </w:style>
  <w:style w:type="character" w:customStyle="1" w:styleId="a58">
    <w:name w:val="לוח ממה תו"/>
    <w:basedOn w:val="DefaultParagraphFont"/>
    <w:link w:val="a57"/>
    <w:rsid w:val="009F04C6"/>
    <w:rPr>
      <w:rFonts w:ascii="Calibri" w:eastAsia="Calibri" w:hAnsi="Calibri" w:cs="Calibri"/>
      <w:b/>
      <w:bCs/>
      <w:color w:val="002060"/>
      <w:sz w:val="24"/>
    </w:rPr>
  </w:style>
  <w:style w:type="paragraph" w:customStyle="1" w:styleId="a59">
    <w:name w:val="מפה ממה"/>
    <w:basedOn w:val="Normal"/>
    <w:next w:val="Normal"/>
    <w:link w:val="a60"/>
    <w:qFormat/>
    <w:rsid w:val="009F04C6"/>
    <w:pPr>
      <w:keepNext/>
      <w:keepLines/>
      <w:widowControl w:val="0"/>
      <w:numPr>
        <w:numId w:val="22"/>
      </w:numPr>
      <w:spacing w:line="280" w:lineRule="exact"/>
      <w:jc w:val="center"/>
      <w:outlineLvl w:val="6"/>
    </w:pPr>
    <w:rPr>
      <w:rFonts w:ascii="Calibri" w:eastAsia="Calibri" w:hAnsi="Calibri" w:cs="Calibri"/>
      <w:b/>
      <w:bCs/>
      <w:color w:val="002060"/>
      <w:sz w:val="24"/>
    </w:rPr>
  </w:style>
  <w:style w:type="character" w:customStyle="1" w:styleId="a60">
    <w:name w:val="מפה ממה תו"/>
    <w:basedOn w:val="DefaultParagraphFont"/>
    <w:link w:val="a59"/>
    <w:rsid w:val="009F04C6"/>
    <w:rPr>
      <w:rFonts w:ascii="Calibri" w:eastAsia="Calibri" w:hAnsi="Calibri" w:cs="Calibri"/>
      <w:b/>
      <w:bCs/>
      <w:color w:val="002060"/>
      <w:sz w:val="24"/>
    </w:rPr>
  </w:style>
  <w:style w:type="paragraph" w:customStyle="1" w:styleId="a61">
    <w:name w:val="מקור ממה"/>
    <w:basedOn w:val="Normal"/>
    <w:next w:val="Normal"/>
    <w:qFormat/>
    <w:rsid w:val="009F04C6"/>
    <w:pPr>
      <w:keepNext/>
      <w:keepLines/>
      <w:widowControl w:val="0"/>
      <w:ind w:left="1134"/>
    </w:pPr>
    <w:rPr>
      <w:rFonts w:ascii="Calibri" w:eastAsia="Calibri" w:hAnsi="Calibri" w:cs="Calibri"/>
      <w:color w:val="002060"/>
      <w:szCs w:val="20"/>
    </w:rPr>
  </w:style>
  <w:style w:type="paragraph" w:customStyle="1" w:styleId="a62">
    <w:name w:val="אובייקט ממה"/>
    <w:basedOn w:val="Normal"/>
    <w:next w:val="Normal"/>
    <w:qFormat/>
    <w:rsid w:val="009F04C6"/>
    <w:pPr>
      <w:keepNext/>
      <w:widowControl w:val="0"/>
      <w:spacing w:line="269" w:lineRule="auto"/>
      <w:ind w:left="1134"/>
    </w:pPr>
    <w:rPr>
      <w:rFonts w:ascii="Calibri" w:eastAsia="Calibri" w:hAnsi="Calibri" w:cs="Calibri"/>
      <w:noProof/>
      <w:color w:val="002060"/>
      <w:sz w:val="24"/>
    </w:rPr>
  </w:style>
  <w:style w:type="paragraph" w:customStyle="1" w:styleId="a63">
    <w:name w:val="רכיבי המבוא ממה"/>
    <w:basedOn w:val="Normal"/>
    <w:link w:val="a64"/>
    <w:qFormat/>
    <w:rsid w:val="009F04C6"/>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64">
    <w:name w:val="רכיבי המבוא ממה תו"/>
    <w:basedOn w:val="DefaultParagraphFont"/>
    <w:link w:val="a63"/>
    <w:rsid w:val="009F04C6"/>
    <w:rPr>
      <w:rFonts w:ascii="Calibri" w:eastAsia="Calibri" w:hAnsi="Calibri" w:cs="Calibri"/>
      <w:color w:val="002060"/>
      <w:szCs w:val="20"/>
    </w:rPr>
  </w:style>
  <w:style w:type="paragraph" w:customStyle="1" w:styleId="a65">
    <w:name w:val="אייקון במבוא ממה"/>
    <w:basedOn w:val="Normal"/>
    <w:link w:val="a66"/>
    <w:qFormat/>
    <w:rsid w:val="009F04C6"/>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66">
    <w:name w:val="אייקון במבוא ממה תו"/>
    <w:basedOn w:val="DefaultParagraphFont"/>
    <w:link w:val="a65"/>
    <w:rsid w:val="009F04C6"/>
    <w:rPr>
      <w:rFonts w:ascii="Calibri" w:eastAsia="Calibri" w:hAnsi="Calibri" w:cs="Calibri"/>
      <w:bCs/>
      <w:color w:val="002060"/>
      <w:sz w:val="24"/>
      <w:szCs w:val="20"/>
    </w:rPr>
  </w:style>
  <w:style w:type="paragraph" w:customStyle="1" w:styleId="754">
    <w:name w:val="75א מספור הערות שוליים"/>
    <w:basedOn w:val="732"/>
    <w:qFormat/>
    <w:rsid w:val="007F4A1C"/>
  </w:style>
  <w:style w:type="paragraph" w:customStyle="1" w:styleId="759">
    <w:name w:val="75א טקסט רץ 9"/>
    <w:basedOn w:val="a16"/>
    <w:link w:val="759Char"/>
    <w:qFormat/>
    <w:rsid w:val="007F4A1C"/>
    <w:rPr>
      <w:color w:val="0D0D0D" w:themeColor="text1" w:themeTint="F2"/>
      <w:sz w:val="18"/>
    </w:rPr>
  </w:style>
  <w:style w:type="character" w:customStyle="1" w:styleId="759Char">
    <w:name w:val="75א טקסט רץ 9 Char"/>
    <w:basedOn w:val="Char6"/>
    <w:link w:val="759"/>
    <w:rsid w:val="007F4A1C"/>
    <w:rPr>
      <w:rFonts w:ascii="Tahoma" w:hAnsi="Tahoma" w:cs="Tahoma"/>
      <w:color w:val="0D0D0D" w:themeColor="text1" w:themeTint="F2"/>
      <w:sz w:val="18"/>
      <w:szCs w:val="18"/>
    </w:rPr>
  </w:style>
  <w:style w:type="paragraph" w:customStyle="1" w:styleId="752024">
    <w:name w:val="75א כיתוב בתוך טבלת תקציר 2024"/>
    <w:basedOn w:val="20210"/>
    <w:link w:val="752024Char"/>
    <w:qFormat/>
    <w:rsid w:val="00A541A4"/>
  </w:style>
  <w:style w:type="character" w:customStyle="1" w:styleId="752024Char">
    <w:name w:val="75א כיתוב בתוך טבלת תקציר 2024 Char"/>
    <w:basedOn w:val="2021Char0"/>
    <w:link w:val="752024"/>
    <w:rsid w:val="00A541A4"/>
    <w:rPr>
      <w:rFonts w:ascii="Tahoma" w:hAnsi="Tahoma" w:eastAsiaTheme="minorEastAsia" w:cs="Tahoma"/>
      <w:color w:val="0D0D0D" w:themeColor="text1" w:themeTint="F2"/>
      <w:w w:val="90"/>
      <w:sz w:val="18"/>
      <w:szCs w:val="18"/>
    </w:rPr>
  </w:style>
  <w:style w:type="paragraph" w:customStyle="1" w:styleId="755">
    <w:name w:val="75א הזחה שנייה עם בולטס"/>
    <w:basedOn w:val="739"/>
    <w:qFormat/>
    <w:rsid w:val="009641EB"/>
    <w:pPr>
      <w:numPr>
        <w:numId w:val="31"/>
      </w:numPr>
    </w:pPr>
  </w:style>
  <w:style w:type="paragraph" w:customStyle="1" w:styleId="756">
    <w:name w:val="75א הזחה ראשונה ללא מספר"/>
    <w:basedOn w:val="739"/>
    <w:qFormat/>
    <w:rsid w:val="00487083"/>
    <w:pPr>
      <w:ind w:left="397"/>
    </w:pPr>
  </w:style>
  <w:style w:type="paragraph" w:customStyle="1" w:styleId="713">
    <w:name w:val="71ג הזחה ראשונה ללא מספר"/>
    <w:basedOn w:val="Normal"/>
    <w:qFormat/>
    <w:rsid w:val="00487083"/>
    <w:pPr>
      <w:spacing w:after="180" w:line="260" w:lineRule="exact"/>
      <w:ind w:left="397"/>
    </w:pPr>
    <w:rPr>
      <w:rFonts w:ascii="Tahoma" w:hAnsi="Tahoma" w:cs="Tahoma"/>
      <w:color w:val="0D0D0D" w:themeColor="text1" w:themeTint="F2"/>
      <w:sz w:val="18"/>
      <w:szCs w:val="18"/>
    </w:rPr>
  </w:style>
  <w:style w:type="paragraph" w:customStyle="1" w:styleId="71R">
    <w:name w:val="71ג טבלה טקסט R"/>
    <w:basedOn w:val="Normal"/>
    <w:qFormat/>
    <w:rsid w:val="00BA7B4B"/>
    <w:pPr>
      <w:spacing w:before="120" w:after="120" w:line="240" w:lineRule="exact"/>
      <w:jc w:val="left"/>
    </w:pPr>
    <w:rPr>
      <w:rFonts w:ascii="Tahoma" w:hAnsi="Tahoma" w:eastAsiaTheme="minorEastAsia" w:cs="Tahoma"/>
      <w:color w:val="000000" w:themeColor="text1"/>
      <w:sz w:val="16"/>
      <w:szCs w:val="16"/>
    </w:rPr>
  </w:style>
  <w:style w:type="paragraph" w:customStyle="1" w:styleId="757">
    <w:name w:val="75א סיכום"/>
    <w:basedOn w:val="75"/>
    <w:qFormat/>
    <w:rsid w:val="001D6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image" Target="media/image5.jpeg" /><Relationship Id="rId17" Type="http://schemas.openxmlformats.org/officeDocument/2006/relationships/header" Target="header4.xml" /><Relationship Id="rId18" Type="http://schemas.openxmlformats.org/officeDocument/2006/relationships/footer" Target="footer2.xml" /><Relationship Id="rId19" Type="http://schemas.openxmlformats.org/officeDocument/2006/relationships/image" Target="media/image6.jpeg" /><Relationship Id="rId2" Type="http://schemas.openxmlformats.org/officeDocument/2006/relationships/endnotes" Target="endnot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chart" Target="charts/chart1.xml" /><Relationship Id="rId3" Type="http://schemas.openxmlformats.org/officeDocument/2006/relationships/settings" Target="settings.xml" /><Relationship Id="rId30" Type="http://schemas.openxmlformats.org/officeDocument/2006/relationships/image" Target="media/image16.jpeg" /><Relationship Id="rId31" Type="http://schemas.openxmlformats.org/officeDocument/2006/relationships/header" Target="header5.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4.jpeg"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4.jpeg" /></Relationships>
</file>

<file path=word/charts/_rels/chart1.xml.rels><?xml version="1.0" encoding="utf-8" standalone="yes"?><Relationships xmlns="http://schemas.openxmlformats.org/package/2006/relationships"><Relationship Id="rId1" Type="http://schemas.openxmlformats.org/officeDocument/2006/relationships/oleObject" Target="file:///\\mvtanas\MVTANAS\Local%20Authorities\Agaf_42\&#1506;&#1493;&#1489;&#1491;&#1497;&#1501;%20&#1488;&#1490;&#1507;\&#1512;&#1508;&#1497;%20&#1494;&#1493;&#1497;&#1500;&#1497;\&#1489;&#1497;&#1511;&#1493;&#1512;&#1514;%20&#1502;&#1506;&#1511;&#1489;%20-%20&#1502;&#1510;&#1493;&#1511;&#1497;&#1501;%202024\&#1514;&#1512;&#1513;&#1497;&#1502;&#1497;&#1501;\&#1514;&#1512;&#1513;&#1497;&#1501;%20&#1488;&#1495;&#1493;&#1494;&#1497;%20&#1514;&#1497;&#1511;&#1493;&#1503;%20&#1492;&#1500;&#1497;&#1511;&#1493;&#1497;&#1497;&#1501;.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FF5A5A"/>
              </a:solidFill>
              <a:ln w="19050">
                <a:solidFill>
                  <a:schemeClr val="lt1"/>
                </a:solidFill>
              </a:ln>
              <a:effectLst/>
            </c:spPr>
            <c:extLst>
              <c:ext xmlns:c16="http://schemas.microsoft.com/office/drawing/2014/chart" uri="{C3380CC4-5D6E-409C-BE32-E72D297353CC}">
                <c16:uniqueId val="{00000001-5DC7-4FF8-A5E6-785474029EDE}"/>
              </c:ext>
            </c:extLst>
          </c:dPt>
          <c:dPt>
            <c:idx val="1"/>
            <c:bubble3D val="0"/>
            <c:spPr>
              <a:solidFill>
                <a:srgbClr val="FF8250"/>
              </a:solidFill>
              <a:ln w="19050">
                <a:solidFill>
                  <a:schemeClr val="lt1"/>
                </a:solidFill>
              </a:ln>
              <a:effectLst/>
            </c:spPr>
            <c:extLst>
              <c:ext xmlns:c16="http://schemas.microsoft.com/office/drawing/2014/chart" uri="{C3380CC4-5D6E-409C-BE32-E72D297353CC}">
                <c16:uniqueId val="{00000003-5DC7-4FF8-A5E6-785474029EDE}"/>
              </c:ext>
            </c:extLst>
          </c:dPt>
          <c:dPt>
            <c:idx val="2"/>
            <c:bubble3D val="0"/>
            <c:spPr>
              <a:solidFill>
                <a:srgbClr val="FAF050"/>
              </a:solidFill>
              <a:ln w="19050">
                <a:solidFill>
                  <a:schemeClr val="lt1"/>
                </a:solidFill>
              </a:ln>
              <a:effectLst/>
            </c:spPr>
            <c:extLst>
              <c:ext xmlns:c16="http://schemas.microsoft.com/office/drawing/2014/chart" uri="{C3380CC4-5D6E-409C-BE32-E72D297353CC}">
                <c16:uniqueId val="{00000005-5DC7-4FF8-A5E6-785474029EDE}"/>
              </c:ext>
            </c:extLst>
          </c:dPt>
          <c:dPt>
            <c:idx val="3"/>
            <c:bubble3D val="0"/>
            <c:spPr>
              <a:solidFill>
                <a:srgbClr val="7DB48C"/>
              </a:solidFill>
              <a:ln w="19050">
                <a:solidFill>
                  <a:schemeClr val="lt1"/>
                </a:solidFill>
              </a:ln>
              <a:effectLst/>
            </c:spPr>
            <c:extLst>
              <c:ext xmlns:c16="http://schemas.microsoft.com/office/drawing/2014/chart" uri="{C3380CC4-5D6E-409C-BE32-E72D297353CC}">
                <c16:uniqueId val="{00000007-5DC7-4FF8-A5E6-785474029EDE}"/>
              </c:ext>
            </c:extLst>
          </c:dPt>
          <c:dLbls>
            <c:dLbl>
              <c:idx val="0"/>
              <c:spPr>
                <a:noFill/>
                <a:ln>
                  <a:noFill/>
                </a:ln>
                <a:effectLst/>
              </c:spPr>
              <c:txPr>
                <a:bodyPr rot="0" spcFirstLastPara="1" vertOverflow="ellipsis" vert="horz" wrap="square" lIns="38100" tIns="19050" rIns="38100" bIns="19050"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C7-4FF8-A5E6-785474029EDE}"/>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7-4FF8-A5E6-785474029EDE}"/>
                </c:ext>
              </c:extLst>
            </c:dLbl>
            <c:dLbl>
              <c:idx val="2"/>
              <c:spPr>
                <a:noFill/>
                <a:ln>
                  <a:noFill/>
                </a:ln>
                <a:effectLst/>
              </c:spPr>
              <c:txPr>
                <a:bodyPr rot="0" spcFirstLastPara="1" vertOverflow="ellipsis" vert="horz" wrap="square" lIns="38100" tIns="19050" rIns="38100" bIns="19050"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C7-4FF8-A5E6-785474029EDE}"/>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dc2486ba-917a-445a-b6c6-39ef800dec58}" type="CATEGORYNAME">
                      <a:pPr>
                        <a:defRPr sz="900" b="1" i="0" u="none" strike="noStrike" kern="1200" baseline="0">
                          <a:solidFill>
                            <a:schemeClr val="tx1">
                              <a:lumMod val="75000"/>
                              <a:lumOff val="25000"/>
                            </a:schemeClr>
                          </a:solidFill>
                          <a:latin typeface="+mn-lt"/>
                          <a:ea typeface="+mn-ea"/>
                          <a:cs typeface="+mn-cs"/>
                        </a:defRPr>
                      </a:pPr>
                      <a:rPr lang="he-IL"/>
                      <a:t>[CATEGORY NAME]</a:t>
                    </a:fld>
                    <a:endParaRPr lang="he-IL" b="1"/>
                  </a:p>
                  <a:p>
                    <a:pPr>
                      <a:defRPr sz="900" b="1" i="0" u="none" strike="noStrike" kern="1200" baseline="0">
                        <a:solidFill>
                          <a:schemeClr val="tx1">
                            <a:lumMod val="75000"/>
                            <a:lumOff val="25000"/>
                          </a:schemeClr>
                        </a:solidFill>
                        <a:latin typeface="+mn-lt"/>
                        <a:ea typeface="+mn-ea"/>
                        <a:cs typeface="+mn-cs"/>
                      </a:defRPr>
                    </a:pPr>
                    <a:endParaRPr lang="he-IL" b="1" baseline="0"/>
                  </a:p>
                  <a:p>
                    <a:pPr>
                      <a:defRPr sz="900" b="1" i="0" u="none" strike="noStrike" kern="1200" baseline="0">
                        <a:solidFill>
                          <a:schemeClr val="tx1">
                            <a:lumMod val="75000"/>
                            <a:lumOff val="25000"/>
                          </a:schemeClr>
                        </a:solidFill>
                        <a:latin typeface="+mn-lt"/>
                        <a:ea typeface="+mn-ea"/>
                        <a:cs typeface="+mn-cs"/>
                      </a:defRPr>
                    </a:pPr>
                    <a:r>
                      <a:rPr lang="he-IL" b="1" baseline="0"/>
                      <a:t> </a:t>
                    </a:r>
                    <a:fld id="{b61a6411-cdeb-47bf-81a1-2f40ce976494}" type="VALUE">
                      <a:pPr>
                        <a:defRPr sz="900" b="1" i="0" u="none" strike="noStrike" kern="1200" baseline="0">
                          <a:solidFill>
                            <a:schemeClr val="tx1">
                              <a:lumMod val="75000"/>
                              <a:lumOff val="25000"/>
                            </a:schemeClr>
                          </a:solidFill>
                          <a:latin typeface="+mn-lt"/>
                          <a:ea typeface="+mn-ea"/>
                          <a:cs typeface="+mn-cs"/>
                        </a:defRPr>
                      </a:pPr>
                      <a:rPr lang="he-IL"/>
                      <a:t>[VALUE]</a:t>
                    </a:fld>
                    <a:endParaRPr lang="he-IL" b="1"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5DC7-4FF8-A5E6-785474029E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גיליון1!$C$24:$F$24</c:f>
              <c:strCache>
                <c:ptCount val="4"/>
                <c:pt idx="0">
                  <c:v>לא תוקן</c:v>
                </c:pt>
                <c:pt idx="1">
                  <c:v>תוקן במידה מועטה</c:v>
                </c:pt>
                <c:pt idx="2">
                  <c:v>תוקן
במידה רבה</c:v>
                </c:pt>
                <c:pt idx="3">
                  <c:v>תוקן
באופן 
מלא</c:v>
                </c:pt>
              </c:strCache>
            </c:strRef>
          </c:cat>
          <c:val>
            <c:numRef>
              <c:f>גיליון1!$C$25:$F$25</c:f>
              <c:numCache>
                <c:formatCode>0%</c:formatCode>
                <c:ptCount val="4"/>
                <c:pt idx="0">
                  <c:v>0.35294117647058826</c:v>
                </c:pt>
                <c:pt idx="1">
                  <c:v>0.41176470588235292</c:v>
                </c:pt>
                <c:pt idx="2">
                  <c:v>0.17647058823529413</c:v>
                </c:pt>
                <c:pt idx="3">
                  <c:v>0.058823529411764705</c:v>
                </c:pt>
              </c:numCache>
            </c:numRef>
          </c:val>
          <c:extLst>
            <c:ext xmlns:c16="http://schemas.microsoft.com/office/drawing/2014/chart" uri="{C3380CC4-5D6E-409C-BE32-E72D297353CC}">
              <c16:uniqueId val="{00000008-5DC7-4FF8-A5E6-785474029EDE}"/>
            </c:ext>
          </c:extLst>
        </c:ser>
        <c:dLbls>
          <c:showLegendKey val="0"/>
          <c:showVal val="1"/>
          <c:showCatName val="0"/>
          <c:showSerName val="0"/>
          <c:showPercent val="0"/>
          <c:showBubbleSize val="0"/>
          <c:showLeaderLines val="1"/>
        </c:dLbls>
        <c:firstSliceAng val="360"/>
        <c:holeSize val="50"/>
      </c:doughnutChart>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theme/_rels/theme1.xml.rels><?xml version="1.0" encoding="utf-8" standalone="yes"?><Relationships xmlns="http://schemas.openxmlformats.org/package/2006/relationships"><Relationship Id="rId1" Type="http://schemas.openxmlformats.org/officeDocument/2006/relationships/image" Target="../media/image16.0b811700-86cb-4ebf-a97a-a8240673bbc7.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1BCB5C-4941-496E-9A8E-88C5F79007C9}">
  <ds:schemaRefs>
    <ds:schemaRef ds:uri="http://schemas.openxmlformats.org/officeDocument/2006/bibliography"/>
  </ds:schemaRefs>
</ds:datastoreItem>
</file>

<file path=customXml/itemProps2.xml><?xml version="1.0" encoding="utf-8"?>
<ds:datastoreItem xmlns:ds="http://schemas.openxmlformats.org/officeDocument/2006/customXml" ds:itemID="{9B344F26-709F-4328-9EF3-0B49DB4AA202}"/>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F7603606-5E1C-4A20-A662-7530344C0C79}">
  <ds:schemaRefs>
    <ds:schemaRef ds:uri="http://schemas.microsoft.com/office/2006/documentManagement/types"/>
    <ds:schemaRef ds:uri="http://www.w3.org/XML/1998/namespace"/>
    <ds:schemaRef ds:uri="http://purl.org/dc/elements/1.1/"/>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2780</Words>
  <Characters>15849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שושנה שחר שחר</cp:lastModifiedBy>
  <cp:revision>19</cp:revision>
  <cp:lastPrinted>2024-07-08T09:50:00Z</cp:lastPrinted>
  <dcterms:created xsi:type="dcterms:W3CDTF">2024-07-09T10:32:00Z</dcterms:created>
  <dcterms:modified xsi:type="dcterms:W3CDTF">2024-07-10T14:23:00Z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