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60941C67">
      <w:pPr>
        <w:pStyle w:val="NAME"/>
        <w:rPr>
          <w:rtl/>
        </w:rPr>
        <w:sectPr w:rsidSect="00D05191">
          <w:footerReference w:type="even" r:id="rId7"/>
          <w:footerReference w:type="default" r:id="rId8"/>
          <w:headerReference w:type="first" r:id="rId9"/>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1589677</wp:posOffset>
                </wp:positionH>
                <wp:positionV relativeFrom="paragraph">
                  <wp:posOffset>1016635</wp:posOffset>
                </wp:positionV>
                <wp:extent cx="0" cy="3370943"/>
                <wp:effectExtent l="25400" t="25400" r="25400" b="33020"/>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370943"/>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8" style="mso-height-percent:0;mso-height-relative:margin;mso-width-percent:0;mso-width-relative:margin;mso-wrap-distance-bottom:0;mso-wrap-distance-left:9pt;mso-wrap-distance-right:9pt;mso-wrap-distance-top:0;mso-wrap-style:square;position:absolute;visibility:visible;z-index:251665408" from="125.15pt,80.05pt" to="125.15pt,345.5pt" strokecolor="white" strokeweight="4pt">
                <v:stroke endcap="round"/>
              </v:line>
            </w:pict>
          </mc:Fallback>
        </mc:AlternateContent>
      </w:r>
      <w:r w:rsidR="001A1B69">
        <w:rPr>
          <w:noProof/>
          <w:sz w:val="22"/>
          <w:szCs w:val="22"/>
          <w:rtl/>
          <w:lang w:val="he-IL"/>
        </w:rPr>
        <mc:AlternateContent>
          <mc:Choice Requires="wps">
            <w:drawing>
              <wp:anchor distT="0" distB="0" distL="114300" distR="114300" simplePos="0" relativeHeight="251675648" behindDoc="0" locked="0" layoutInCell="1" allowOverlap="1">
                <wp:simplePos x="0" y="0"/>
                <wp:positionH relativeFrom="column">
                  <wp:posOffset>1849755</wp:posOffset>
                </wp:positionH>
                <wp:positionV relativeFrom="paragraph">
                  <wp:posOffset>2700020</wp:posOffset>
                </wp:positionV>
                <wp:extent cx="3074670" cy="0"/>
                <wp:effectExtent l="12700" t="12700" r="24130" b="12700"/>
                <wp:wrapNone/>
                <wp:docPr id="24"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 y;mso-height-percent:0;mso-height-relative:margin;mso-width-percent:0;mso-width-relative:margin;mso-wrap-distance-bottom:0;mso-wrap-distance-left:9pt;mso-wrap-distance-right:9pt;mso-wrap-distance-top:0;mso-wrap-style:square;position:absolute;visibility:visible;z-index:251676672" from="145.65pt,212.6pt" to="387.75pt,212.6pt" strokecolor="white" strokeweight="1.5pt">
                <v:stroke endcap="round"/>
              </v:line>
            </w:pict>
          </mc:Fallback>
        </mc:AlternateContent>
      </w:r>
      <w:r w:rsidRPr="00E539EA" w:rsidR="001A1B69">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1775460</wp:posOffset>
                </wp:positionH>
                <wp:positionV relativeFrom="paragraph">
                  <wp:posOffset>2312670</wp:posOffset>
                </wp:positionV>
                <wp:extent cx="3226435" cy="317500"/>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317500"/>
                        </a:xfrm>
                        <a:prstGeom prst="rect">
                          <a:avLst/>
                        </a:prstGeom>
                        <a:noFill/>
                        <a:ln w="9525">
                          <a:noFill/>
                          <a:miter lim="800000"/>
                          <a:headEnd/>
                          <a:tailEnd/>
                        </a:ln>
                      </wps:spPr>
                      <wps:txbx>
                        <w:txbxContent>
                          <w:p w:rsidR="00E16003" w:rsidRPr="00E2709E" w:rsidP="004736B8" w14:textId="68D401E2">
                            <w:pPr>
                              <w:bidi w:val="0"/>
                              <w:spacing w:line="276" w:lineRule="auto"/>
                              <w:rPr>
                                <w:rFonts w:ascii="Tahoma" w:hAnsi="Tahoma" w:cs="Tahoma"/>
                                <w:color w:val="FFFFFF" w:themeColor="background1"/>
                                <w:spacing w:val="6"/>
                                <w:sz w:val="28"/>
                                <w:szCs w:val="28"/>
                              </w:rPr>
                            </w:pPr>
                            <w:r w:rsidRPr="00784C65">
                              <w:rPr>
                                <w:rFonts w:ascii="Tahoma" w:hAnsi="Tahoma" w:cs="Tahoma"/>
                                <w:color w:val="FFFFFF" w:themeColor="background1"/>
                                <w:sz w:val="28"/>
                                <w:szCs w:val="28"/>
                              </w:rPr>
                              <w:t>Information Systems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width:254.05pt;height:25pt;margin-top:182.1pt;margin-left:139.8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E2709E" w:rsidP="004736B8" w14:paraId="5EE59732" w14:textId="68D401E2">
                      <w:pPr>
                        <w:bidi w:val="0"/>
                        <w:spacing w:line="276" w:lineRule="auto"/>
                        <w:rPr>
                          <w:rFonts w:ascii="Tahoma" w:hAnsi="Tahoma" w:cs="Tahoma"/>
                          <w:color w:val="FFFFFF" w:themeColor="background1"/>
                          <w:spacing w:val="6"/>
                          <w:sz w:val="28"/>
                          <w:szCs w:val="28"/>
                        </w:rPr>
                      </w:pPr>
                      <w:r w:rsidRPr="00784C65">
                        <w:rPr>
                          <w:rFonts w:ascii="Tahoma" w:hAnsi="Tahoma" w:cs="Tahoma"/>
                          <w:color w:val="FFFFFF" w:themeColor="background1"/>
                          <w:sz w:val="28"/>
                          <w:szCs w:val="28"/>
                        </w:rPr>
                        <w:t>Information Systems</w:t>
                      </w:r>
                    </w:p>
                  </w:txbxContent>
                </v:textbox>
              </v:shape>
            </w:pict>
          </mc:Fallback>
        </mc:AlternateContent>
      </w:r>
      <w:r w:rsidRPr="00E539EA" w:rsidR="001A1B69">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1767205</wp:posOffset>
                </wp:positionH>
                <wp:positionV relativeFrom="paragraph">
                  <wp:posOffset>2749459</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6B326D" w:rsidP="006B326D" w14:textId="23E2E9E5">
                            <w:pPr>
                              <w:bidi w:val="0"/>
                              <w:spacing w:after="0" w:line="240" w:lineRule="auto"/>
                              <w:rPr>
                                <w:rFonts w:ascii="Tahoma" w:hAnsi="Tahoma" w:cs="Tahoma"/>
                                <w:b/>
                                <w:bCs/>
                                <w:color w:val="FFFFFF" w:themeColor="background1"/>
                                <w:spacing w:val="6"/>
                                <w:sz w:val="40"/>
                                <w:szCs w:val="40"/>
                              </w:rPr>
                            </w:pPr>
                            <w:r w:rsidRPr="00784C65">
                              <w:rPr>
                                <w:rFonts w:ascii="Tahoma" w:hAnsi="Tahoma" w:cs="Tahoma"/>
                                <w:b/>
                                <w:bCs/>
                                <w:color w:val="FFFFFF" w:themeColor="background1"/>
                                <w:spacing w:val="6"/>
                                <w:sz w:val="40"/>
                                <w:szCs w:val="40"/>
                              </w:rPr>
                              <w:t>Computerization of Small Local Authorities</w:t>
                            </w:r>
                          </w:p>
                          <w:p w:rsidR="00784C65" w:rsidRPr="00784C65" w:rsidP="00784C65" w14:textId="77777777">
                            <w:pPr>
                              <w:bidi w:val="0"/>
                              <w:spacing w:after="0" w:line="240" w:lineRule="auto"/>
                              <w:rPr>
                                <w:rFonts w:asciiTheme="majorBidi" w:hAnsiTheme="majorBidi" w:cstheme="majorBidi"/>
                                <w:b/>
                                <w:bCs/>
                                <w:sz w:val="28"/>
                                <w:szCs w:val="28"/>
                                <w:rtl/>
                              </w:rPr>
                            </w:pPr>
                          </w:p>
                          <w:p w:rsidR="00E16003" w:rsidRPr="00950E0A" w:rsidP="00E16003" w14:textId="7DF0ECB1">
                            <w:pPr>
                              <w:bidi w:val="0"/>
                              <w:spacing w:after="0" w:line="600" w:lineRule="exact"/>
                              <w:rPr>
                                <w:rFonts w:asciiTheme="majorBidi" w:hAnsiTheme="majorBidi" w:cstheme="majorBidi"/>
                                <w:b/>
                                <w:bCs/>
                                <w:sz w:val="28"/>
                                <w:szCs w:val="28"/>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248.3pt;height:201.6pt;margin-top:216.5pt;margin-left:139.1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6B326D" w:rsidP="006B326D" w14:paraId="6B9E2566" w14:textId="23E2E9E5">
                      <w:pPr>
                        <w:bidi w:val="0"/>
                        <w:spacing w:after="0" w:line="240" w:lineRule="auto"/>
                        <w:rPr>
                          <w:rFonts w:ascii="Tahoma" w:hAnsi="Tahoma" w:cs="Tahoma"/>
                          <w:b/>
                          <w:bCs/>
                          <w:color w:val="FFFFFF" w:themeColor="background1"/>
                          <w:spacing w:val="6"/>
                          <w:sz w:val="40"/>
                          <w:szCs w:val="40"/>
                        </w:rPr>
                      </w:pPr>
                      <w:r w:rsidRPr="00784C65">
                        <w:rPr>
                          <w:rFonts w:ascii="Tahoma" w:hAnsi="Tahoma" w:cs="Tahoma"/>
                          <w:b/>
                          <w:bCs/>
                          <w:color w:val="FFFFFF" w:themeColor="background1"/>
                          <w:spacing w:val="6"/>
                          <w:sz w:val="40"/>
                          <w:szCs w:val="40"/>
                        </w:rPr>
                        <w:t>Computerization of Small Local Authorities</w:t>
                      </w:r>
                    </w:p>
                    <w:p w:rsidR="00784C65" w:rsidRPr="00784C65" w:rsidP="00784C65" w14:paraId="55765AD1" w14:textId="77777777">
                      <w:pPr>
                        <w:bidi w:val="0"/>
                        <w:spacing w:after="0" w:line="240" w:lineRule="auto"/>
                        <w:rPr>
                          <w:rFonts w:asciiTheme="majorBidi" w:hAnsiTheme="majorBidi" w:cstheme="majorBidi"/>
                          <w:b/>
                          <w:bCs/>
                          <w:sz w:val="28"/>
                          <w:szCs w:val="28"/>
                          <w:rtl/>
                        </w:rPr>
                      </w:pPr>
                    </w:p>
                    <w:p w:rsidR="00E16003" w:rsidRPr="00950E0A" w:rsidP="00E16003" w14:paraId="28E63122" w14:textId="7DF0ECB1">
                      <w:pPr>
                        <w:bidi w:val="0"/>
                        <w:spacing w:after="0" w:line="600" w:lineRule="exact"/>
                        <w:rPr>
                          <w:rFonts w:asciiTheme="majorBidi" w:hAnsiTheme="majorBidi" w:cstheme="majorBidi"/>
                          <w:b/>
                          <w:bCs/>
                          <w:sz w:val="28"/>
                          <w:szCs w:val="28"/>
                          <w:rtl/>
                        </w:rPr>
                      </w:pPr>
                    </w:p>
                  </w:txbxContent>
                </v:textbox>
              </v:shape>
            </w:pict>
          </mc:Fallback>
        </mc:AlternateContent>
      </w:r>
      <w:r w:rsidRPr="00E539EA" w:rsidR="001A1B69">
        <w:rPr>
          <w:noProof/>
          <w:sz w:val="17"/>
          <w:szCs w:val="18"/>
        </w:rPr>
        <mc:AlternateContent>
          <mc:Choice Requires="wps">
            <w:drawing>
              <wp:anchor distT="0" distB="0" distL="114300" distR="114300" simplePos="0" relativeHeight="251671552" behindDoc="0" locked="0" layoutInCell="1" allowOverlap="1">
                <wp:simplePos x="0" y="0"/>
                <wp:positionH relativeFrom="column">
                  <wp:posOffset>1776549</wp:posOffset>
                </wp:positionH>
                <wp:positionV relativeFrom="paragraph">
                  <wp:posOffset>1374956</wp:posOffset>
                </wp:positionV>
                <wp:extent cx="3226435" cy="495119"/>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495119"/>
                        </a:xfrm>
                        <a:prstGeom prst="rect">
                          <a:avLst/>
                        </a:prstGeom>
                        <a:noFill/>
                        <a:ln w="9525">
                          <a:noFill/>
                          <a:miter lim="800000"/>
                          <a:headEnd/>
                          <a:tailEnd/>
                        </a:ln>
                      </wps:spPr>
                      <wps:txbx>
                        <w:txbxContent>
                          <w:p w:rsidR="00E16003" w:rsidRPr="00CE2FA5" w:rsidP="001A1B69" w14:textId="619E6B9C">
                            <w:pPr>
                              <w:bidi w:val="0"/>
                              <w:spacing w:line="276" w:lineRule="auto"/>
                              <w:rPr>
                                <w:rFonts w:ascii="Tahoma" w:hAnsi="Tahoma" w:cs="Tahoma"/>
                                <w:color w:val="FFFFFF" w:themeColor="background1"/>
                                <w:spacing w:val="6"/>
                                <w:sz w:val="17"/>
                                <w:szCs w:val="17"/>
                              </w:rPr>
                            </w:pPr>
                            <w:r w:rsidRPr="001A1B69">
                              <w:rPr>
                                <w:rFonts w:ascii="Tahoma" w:hAnsi="Tahoma" w:cs="Tahoma"/>
                                <w:color w:val="FFFFFF" w:themeColor="background1"/>
                                <w:spacing w:val="6"/>
                                <w:sz w:val="17"/>
                                <w:szCs w:val="17"/>
                              </w:rPr>
                              <w:t>State Comptroller of Israel</w:t>
                            </w:r>
                            <w:r>
                              <w:rPr>
                                <w:rFonts w:ascii="Tahoma" w:hAnsi="Tahoma" w:cs="Tahoma"/>
                                <w:color w:val="FFFFFF" w:themeColor="background1"/>
                                <w:spacing w:val="6"/>
                                <w:sz w:val="17"/>
                                <w:szCs w:val="17"/>
                              </w:rPr>
                              <w:t xml:space="preserve"> </w:t>
                            </w:r>
                            <w:r w:rsidRPr="001A1B69">
                              <w:rPr>
                                <w:rFonts w:ascii="Tahoma" w:hAnsi="Tahoma" w:cs="Tahoma"/>
                                <w:color w:val="FFFFFF" w:themeColor="background1"/>
                                <w:spacing w:val="6"/>
                                <w:sz w:val="17"/>
                                <w:szCs w:val="17"/>
                              </w:rPr>
                              <w:t xml:space="preserve">| Local Government Audit Report | </w:t>
                            </w:r>
                            <w:r>
                              <w:rPr>
                                <w:rFonts w:ascii="Tahoma" w:hAnsi="Tahoma" w:cs="Tahoma"/>
                                <w:color w:val="FFFFFF" w:themeColor="background1"/>
                                <w:spacing w:val="6"/>
                                <w:sz w:val="17"/>
                                <w:szCs w:val="17"/>
                              </w:rPr>
                              <w:t xml:space="preserve">July </w:t>
                            </w:r>
                            <w:r w:rsidRPr="001A1B69">
                              <w:rPr>
                                <w:rFonts w:ascii="Tahoma" w:hAnsi="Tahoma" w:cs="Tahoma"/>
                                <w:color w:val="FFFFFF" w:themeColor="background1"/>
                                <w:spacing w:val="6"/>
                                <w:sz w:val="17"/>
                                <w:szCs w:val="17"/>
                              </w:rPr>
                              <w:t>2024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54.05pt;height:39pt;margin-top:108.25pt;margin-left:139.9pt;mso-height-percent:0;mso-height-relative:margin;mso-width-percent:0;mso-width-relative:margin;mso-wrap-distance-bottom:0;mso-wrap-distance-left:9pt;mso-wrap-distance-right:9pt;mso-wrap-distance-top:0;mso-wrap-style:square;position:absolute;visibility:visible;v-text-anchor:top;z-index:251672576" filled="f" stroked="f">
                <v:textbox>
                  <w:txbxContent>
                    <w:p w:rsidR="00E16003" w:rsidRPr="00CE2FA5" w:rsidP="001A1B69" w14:paraId="5156A4BB" w14:textId="619E6B9C">
                      <w:pPr>
                        <w:bidi w:val="0"/>
                        <w:spacing w:line="276" w:lineRule="auto"/>
                        <w:rPr>
                          <w:rFonts w:ascii="Tahoma" w:hAnsi="Tahoma" w:cs="Tahoma"/>
                          <w:color w:val="FFFFFF" w:themeColor="background1"/>
                          <w:spacing w:val="6"/>
                          <w:sz w:val="17"/>
                          <w:szCs w:val="17"/>
                        </w:rPr>
                      </w:pPr>
                      <w:r w:rsidRPr="001A1B69">
                        <w:rPr>
                          <w:rFonts w:ascii="Tahoma" w:hAnsi="Tahoma" w:cs="Tahoma"/>
                          <w:color w:val="FFFFFF" w:themeColor="background1"/>
                          <w:spacing w:val="6"/>
                          <w:sz w:val="17"/>
                          <w:szCs w:val="17"/>
                        </w:rPr>
                        <w:t>State Comptroller of Israel</w:t>
                      </w:r>
                      <w:r>
                        <w:rPr>
                          <w:rFonts w:ascii="Tahoma" w:hAnsi="Tahoma" w:cs="Tahoma"/>
                          <w:color w:val="FFFFFF" w:themeColor="background1"/>
                          <w:spacing w:val="6"/>
                          <w:sz w:val="17"/>
                          <w:szCs w:val="17"/>
                        </w:rPr>
                        <w:t xml:space="preserve"> </w:t>
                      </w:r>
                      <w:r w:rsidRPr="001A1B69">
                        <w:rPr>
                          <w:rFonts w:ascii="Tahoma" w:hAnsi="Tahoma" w:cs="Tahoma"/>
                          <w:color w:val="FFFFFF" w:themeColor="background1"/>
                          <w:spacing w:val="6"/>
                          <w:sz w:val="17"/>
                          <w:szCs w:val="17"/>
                        </w:rPr>
                        <w:t xml:space="preserve">| Local Government Audit Report | </w:t>
                      </w:r>
                      <w:r>
                        <w:rPr>
                          <w:rFonts w:ascii="Tahoma" w:hAnsi="Tahoma" w:cs="Tahoma"/>
                          <w:color w:val="FFFFFF" w:themeColor="background1"/>
                          <w:spacing w:val="6"/>
                          <w:sz w:val="17"/>
                          <w:szCs w:val="17"/>
                        </w:rPr>
                        <w:t xml:space="preserve">July </w:t>
                      </w:r>
                      <w:r w:rsidRPr="001A1B69">
                        <w:rPr>
                          <w:rFonts w:ascii="Tahoma" w:hAnsi="Tahoma" w:cs="Tahoma"/>
                          <w:color w:val="FFFFFF" w:themeColor="background1"/>
                          <w:spacing w:val="6"/>
                          <w:sz w:val="17"/>
                          <w:szCs w:val="17"/>
                        </w:rPr>
                        <w:t>2024</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3"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1"/>
          <w:headerReference w:type="default" r:id="rId12"/>
          <w:headerReference w:type="first" r:id="rId13"/>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6B326D" w:rsidP="00191BA6" w14:paraId="647EBF7B" w14:textId="6A9E3583">
      <w:pPr>
        <w:pStyle w:val="7120"/>
        <w:bidi w:val="0"/>
        <w:spacing w:before="0" w:after="960"/>
        <w:ind w:right="-142"/>
        <w:rPr>
          <w:rFonts w:eastAsiaTheme="majorEastAsia"/>
          <w:sz w:val="34"/>
          <w:rtl/>
        </w:rPr>
      </w:pPr>
      <w:r>
        <w:rPr>
          <w:rFonts w:eastAsiaTheme="majorEastAsia" w:hint="cs"/>
          <w:noProof/>
          <w:sz w:val="34"/>
        </w:rPr>
        <mc:AlternateContent>
          <mc:Choice Requires="wps">
            <w:drawing>
              <wp:anchor distT="0" distB="0" distL="114300" distR="114300" simplePos="0" relativeHeight="251677696" behindDoc="0" locked="0" layoutInCell="1" allowOverlap="1">
                <wp:simplePos x="0" y="0"/>
                <wp:positionH relativeFrom="column">
                  <wp:posOffset>5069205</wp:posOffset>
                </wp:positionH>
                <wp:positionV relativeFrom="paragraph">
                  <wp:posOffset>199256</wp:posOffset>
                </wp:positionV>
                <wp:extent cx="192405" cy="6086475"/>
                <wp:effectExtent l="0" t="0" r="0" b="0"/>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92405" cy="6086475"/>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4" style="width:15.15pt;height:479.25pt;margin-top:15.7pt;margin-left:399.15pt;mso-height-percent:0;mso-height-relative:margin;mso-width-percent:0;mso-width-relative:margin;mso-wrap-distance-bottom:0;mso-wrap-distance-left:9pt;mso-wrap-distance-right:9pt;mso-wrap-distance-top:0;mso-wrap-style:square;position:absolute;visibility:visible;v-text-anchor:middle;z-index:251678720" fillcolor="#00305f" stroked="f" strokeweight="1.5pt">
                <v:stroke endcap="round"/>
              </v:rect>
            </w:pict>
          </mc:Fallback>
        </mc:AlternateContent>
      </w:r>
      <w:r w:rsidRPr="00784C65" w:rsidR="00784C65">
        <w:rPr>
          <w:rFonts w:eastAsiaTheme="majorEastAsia"/>
          <w:noProof/>
          <w:sz w:val="34"/>
        </w:rPr>
        <w:t xml:space="preserve">Computerization of Small </w:t>
      </w:r>
      <w:r w:rsidR="00784C65">
        <w:rPr>
          <w:rFonts w:eastAsiaTheme="majorEastAsia"/>
          <w:noProof/>
          <w:sz w:val="34"/>
        </w:rPr>
        <w:br/>
      </w:r>
      <w:r w:rsidRPr="00784C65" w:rsidR="00784C65">
        <w:rPr>
          <w:rFonts w:eastAsiaTheme="majorEastAsia"/>
          <w:noProof/>
          <w:sz w:val="34"/>
        </w:rPr>
        <w:t xml:space="preserve">Local Authorities </w:t>
      </w:r>
      <w:r w:rsidRPr="006B326D" w:rsidR="006B326D">
        <w:rPr>
          <w:rFonts w:eastAsiaTheme="majorEastAsia"/>
          <w:noProof/>
          <w:sz w:val="34"/>
        </w:rPr>
        <w:t xml:space="preserve"> </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A40B86" w:rsidRPr="00A076DA" w:rsidP="00A40B86" w14:paraId="0D638F3D" w14:textId="77777777">
      <w:pPr>
        <w:pStyle w:val="719"/>
        <w:bidi w:val="0"/>
      </w:pPr>
      <w:r w:rsidRPr="00A076DA">
        <w:t>In Israel, most of the residents' daily needs are provided through local government services, and the use of computerized information systems to manage the affairs of the local authority has become a fundamental and committed necessity of reality. Establishing a suitable technological infrastructure and appointing experts to supervise and advance these systems within local authorities to ensure the integrity and resilience of these systems against various internal and external threats, whether deliberate or accidental, is essential. Computerized information systems and the security of the information contained therein are not affected by the characteristics of the local authority – every authority must provide its residents with essential services. However, the size of the local authority, influenced by its population, impacts its economic resilience, as it offers advantages in developing local infrastructures, in the provision of municipal services, and in general administration.</w:t>
      </w:r>
    </w:p>
    <w:p w:rsidR="002A18A0" w:rsidP="00A40B86" w14:paraId="446009E0" w14:textId="3F7AC2EB">
      <w:pPr>
        <w:pStyle w:val="719"/>
        <w:bidi w:val="0"/>
        <w:rPr>
          <w:rtl/>
        </w:rPr>
      </w:pPr>
      <w:r w:rsidRPr="00A076DA">
        <w:t>The economic implications are particularly significant in the computing sector, which is known for its high costs associated with developing new systems, procuring existing ones, and hiring qualified personnel. Additionally, investment in computing is ongoing, as it is characterized by constant changes and updates, and considerable resources are needed to keep up with the changes and adapt existing systems</w:t>
      </w:r>
      <w:r w:rsidRPr="001D0B8C">
        <w:t>.</w:t>
      </w:r>
    </w:p>
    <w:p w:rsidR="00C50F58" w14:paraId="732E4F63" w14:textId="601C6591">
      <w:pPr>
        <w:bidi w:val="0"/>
        <w:rPr>
          <w:rFonts w:ascii="Tahoma" w:hAnsi="Tahoma" w:eastAsiaTheme="minorHAnsi" w:cs="Tahoma"/>
          <w:color w:val="0D0D0D" w:themeColor="text1" w:themeTint="F2"/>
          <w:sz w:val="18"/>
          <w:szCs w:val="18"/>
        </w:rPr>
      </w:pPr>
      <w:r>
        <w:br w:type="page"/>
      </w:r>
    </w:p>
    <w:p w:rsidR="008A5E62" w:rsidRPr="00DA3862" w:rsidP="003E0EAA" w14:paraId="498BB033" w14:textId="0375C781">
      <w:pPr>
        <w:bidi w:val="0"/>
        <w:spacing w:before="240" w:after="180" w:line="240" w:lineRule="atLeast"/>
        <w:jc w:val="both"/>
        <w:rPr>
          <w:rtl/>
        </w:rPr>
      </w:pPr>
      <w:r>
        <w:rPr>
          <w:noProof/>
          <w:rtl/>
        </w:rPr>
        <w:drawing>
          <wp:inline distT="0" distB="0" distL="0" distR="0">
            <wp:extent cx="1328928" cy="31945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28" cy="319454"/>
                    </a:xfrm>
                    <a:prstGeom prst="rect">
                      <a:avLst/>
                    </a:prstGeom>
                  </pic:spPr>
                </pic:pic>
              </a:graphicData>
            </a:graphic>
          </wp:inline>
        </w:drawing>
      </w:r>
    </w:p>
    <w:tbl>
      <w:tblPr>
        <w:tblStyle w:val="TableGrid"/>
        <w:tblW w:w="53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421"/>
        <w:gridCol w:w="227"/>
        <w:gridCol w:w="1583"/>
        <w:gridCol w:w="227"/>
        <w:gridCol w:w="1756"/>
        <w:gridCol w:w="227"/>
        <w:gridCol w:w="341"/>
        <w:gridCol w:w="178"/>
        <w:gridCol w:w="1420"/>
        <w:gridCol w:w="510"/>
      </w:tblGrid>
      <w:tr w14:paraId="5198069E" w14:textId="79DE7FA0" w:rsidTr="00A40B86">
        <w:tblPrEx>
          <w:tblW w:w="53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rPr>
          <w:gridAfter w:val="1"/>
          <w:wAfter w:w="323" w:type="dxa"/>
        </w:trPr>
        <w:tc>
          <w:tcPr>
            <w:tcW w:w="900" w:type="pct"/>
            <w:tcBorders>
              <w:bottom w:val="single" w:sz="8" w:space="0" w:color="auto"/>
            </w:tcBorders>
            <w:vAlign w:val="bottom"/>
          </w:tcPr>
          <w:p w:rsidR="00A40B86" w:rsidRPr="00941C35" w:rsidP="00A40B86" w14:paraId="1FB37F5E" w14:textId="115DA282">
            <w:pPr>
              <w:bidi w:val="0"/>
              <w:spacing w:after="60" w:line="240" w:lineRule="auto"/>
              <w:rPr>
                <w:rFonts w:ascii="Tahoma" w:hAnsi="Tahoma" w:cs="Tahoma"/>
                <w:b/>
                <w:bCs/>
                <w:color w:val="0D0D0D" w:themeColor="text1" w:themeTint="F2"/>
                <w:sz w:val="36"/>
                <w:szCs w:val="36"/>
                <w:rtl/>
              </w:rPr>
            </w:pPr>
            <w:r w:rsidRPr="00A40B86">
              <w:rPr>
                <w:rFonts w:ascii="Tahoma" w:hAnsi="Tahoma" w:cs="Tahoma"/>
                <w:b/>
                <w:bCs/>
                <w:color w:val="0D0D0D" w:themeColor="text1" w:themeTint="F2"/>
                <w:sz w:val="26"/>
                <w:szCs w:val="26"/>
              </w:rPr>
              <w:t>in about</w:t>
            </w:r>
            <w:r w:rsidRPr="00A076DA">
              <w:rPr>
                <w:rFonts w:ascii="Tahoma" w:hAnsi="Tahoma" w:cs="Tahoma"/>
                <w:b/>
                <w:bCs/>
                <w:color w:val="0D0D0D" w:themeColor="text1" w:themeTint="F2"/>
                <w:sz w:val="36"/>
                <w:szCs w:val="36"/>
              </w:rPr>
              <w:t xml:space="preserve"> 50%</w:t>
            </w:r>
          </w:p>
        </w:tc>
        <w:tc>
          <w:tcPr>
            <w:tcW w:w="144" w:type="pct"/>
          </w:tcPr>
          <w:p w:rsidR="00A40B86" w:rsidRPr="00941C35" w:rsidP="00A40B86" w14:paraId="4429F28B" w14:textId="77777777">
            <w:pPr>
              <w:bidi w:val="0"/>
              <w:spacing w:after="60" w:line="240" w:lineRule="auto"/>
              <w:rPr>
                <w:rFonts w:ascii="Tahoma" w:hAnsi="Tahoma" w:cs="Tahoma"/>
                <w:b/>
                <w:bCs/>
                <w:color w:val="0D0D0D" w:themeColor="text1" w:themeTint="F2"/>
                <w:sz w:val="36"/>
                <w:szCs w:val="36"/>
              </w:rPr>
            </w:pPr>
          </w:p>
        </w:tc>
        <w:tc>
          <w:tcPr>
            <w:tcW w:w="1003" w:type="pct"/>
            <w:tcBorders>
              <w:bottom w:val="single" w:sz="8" w:space="0" w:color="auto"/>
            </w:tcBorders>
            <w:vAlign w:val="bottom"/>
          </w:tcPr>
          <w:p w:rsidR="00A40B86" w:rsidRPr="00941C35" w:rsidP="00A40B86" w14:paraId="018C23DE" w14:textId="56F0C9EE">
            <w:pPr>
              <w:bidi w:val="0"/>
              <w:spacing w:after="60" w:line="240" w:lineRule="auto"/>
              <w:rPr>
                <w:rFonts w:ascii="Tahoma" w:hAnsi="Tahoma" w:cs="Tahoma"/>
                <w:b/>
                <w:bCs/>
                <w:color w:val="0D0D0D" w:themeColor="text1" w:themeTint="F2"/>
                <w:sz w:val="36"/>
                <w:szCs w:val="36"/>
                <w:rtl/>
              </w:rPr>
            </w:pPr>
            <w:r w:rsidRPr="00A40B86">
              <w:rPr>
                <w:rFonts w:ascii="Tahoma" w:hAnsi="Tahoma" w:cs="Tahoma"/>
                <w:b/>
                <w:bCs/>
                <w:color w:val="0D0D0D" w:themeColor="text1" w:themeTint="F2"/>
                <w:sz w:val="26"/>
                <w:szCs w:val="26"/>
              </w:rPr>
              <w:t>in only</w:t>
            </w:r>
            <w:r w:rsidRPr="00A076DA">
              <w:rPr>
                <w:rFonts w:ascii="Tahoma" w:hAnsi="Tahoma" w:cs="Tahoma"/>
                <w:b/>
                <w:bCs/>
                <w:color w:val="0D0D0D" w:themeColor="text1" w:themeTint="F2"/>
                <w:sz w:val="36"/>
                <w:szCs w:val="36"/>
              </w:rPr>
              <w:t xml:space="preserve"> 80</w:t>
            </w:r>
          </w:p>
        </w:tc>
        <w:tc>
          <w:tcPr>
            <w:tcW w:w="144" w:type="pct"/>
          </w:tcPr>
          <w:p w:rsidR="00A40B86" w:rsidRPr="00941C35" w:rsidP="00A40B86" w14:paraId="78489ABE" w14:textId="77777777">
            <w:pPr>
              <w:bidi w:val="0"/>
              <w:spacing w:after="60" w:line="240" w:lineRule="auto"/>
              <w:rPr>
                <w:rFonts w:ascii="Tahoma" w:hAnsi="Tahoma" w:cs="Tahoma"/>
                <w:b/>
                <w:bCs/>
                <w:color w:val="0D0D0D" w:themeColor="text1" w:themeTint="F2"/>
                <w:sz w:val="36"/>
                <w:szCs w:val="36"/>
              </w:rPr>
            </w:pPr>
          </w:p>
        </w:tc>
        <w:tc>
          <w:tcPr>
            <w:tcW w:w="1113" w:type="pct"/>
            <w:tcBorders>
              <w:bottom w:val="single" w:sz="8" w:space="0" w:color="000000"/>
            </w:tcBorders>
            <w:vAlign w:val="bottom"/>
          </w:tcPr>
          <w:p w:rsidR="00A40B86" w:rsidRPr="00941C35" w:rsidP="00A40B86" w14:paraId="1465537A" w14:textId="20401393">
            <w:pPr>
              <w:bidi w:val="0"/>
              <w:spacing w:after="60" w:line="240" w:lineRule="auto"/>
              <w:rPr>
                <w:rFonts w:ascii="Tahoma" w:hAnsi="Tahoma" w:cs="Tahoma"/>
                <w:b/>
                <w:bCs/>
                <w:color w:val="0D0D0D" w:themeColor="text1" w:themeTint="F2"/>
                <w:sz w:val="36"/>
                <w:szCs w:val="36"/>
              </w:rPr>
            </w:pPr>
            <w:r w:rsidRPr="00A40B86">
              <w:rPr>
                <w:rFonts w:ascii="Tahoma" w:hAnsi="Tahoma" w:cs="Tahoma"/>
                <w:b/>
                <w:bCs/>
                <w:color w:val="0D0D0D" w:themeColor="text1" w:themeTint="F2"/>
                <w:sz w:val="26"/>
                <w:szCs w:val="26"/>
              </w:rPr>
              <w:t>in</w:t>
            </w:r>
            <w:r w:rsidRPr="00A076DA">
              <w:rPr>
                <w:rFonts w:ascii="Tahoma" w:hAnsi="Tahoma" w:cs="Tahoma"/>
                <w:b/>
                <w:bCs/>
                <w:color w:val="0D0D0D" w:themeColor="text1" w:themeTint="F2"/>
                <w:sz w:val="36"/>
                <w:szCs w:val="36"/>
              </w:rPr>
              <w:t xml:space="preserve"> 5 </w:t>
            </w:r>
            <w:r w:rsidRPr="00A40B86">
              <w:rPr>
                <w:rFonts w:ascii="Tahoma" w:hAnsi="Tahoma" w:cs="Tahoma"/>
                <w:b/>
                <w:bCs/>
                <w:color w:val="0D0D0D" w:themeColor="text1" w:themeTint="F2"/>
                <w:sz w:val="26"/>
                <w:szCs w:val="26"/>
              </w:rPr>
              <w:t>out of</w:t>
            </w:r>
            <w:r>
              <w:rPr>
                <w:rFonts w:ascii="Tahoma" w:hAnsi="Tahoma" w:cs="Tahoma"/>
                <w:b/>
                <w:bCs/>
                <w:color w:val="0D0D0D" w:themeColor="text1" w:themeTint="F2"/>
                <w:sz w:val="36"/>
                <w:szCs w:val="36"/>
              </w:rPr>
              <w:br/>
            </w:r>
            <w:r w:rsidRPr="00A076DA">
              <w:rPr>
                <w:rFonts w:ascii="Tahoma" w:hAnsi="Tahoma" w:cs="Tahoma"/>
                <w:b/>
                <w:bCs/>
                <w:color w:val="0D0D0D" w:themeColor="text1" w:themeTint="F2"/>
                <w:sz w:val="36"/>
                <w:szCs w:val="36"/>
              </w:rPr>
              <w:t>12</w:t>
            </w:r>
          </w:p>
        </w:tc>
        <w:tc>
          <w:tcPr>
            <w:tcW w:w="144" w:type="pct"/>
          </w:tcPr>
          <w:p w:rsidR="00A40B86" w:rsidRPr="00941C35" w:rsidP="00A40B86" w14:paraId="67D30B0B" w14:textId="77777777">
            <w:pPr>
              <w:bidi w:val="0"/>
              <w:spacing w:after="60" w:line="240" w:lineRule="auto"/>
              <w:rPr>
                <w:rFonts w:ascii="Tahoma" w:hAnsi="Tahoma" w:cs="Tahoma"/>
                <w:b/>
                <w:bCs/>
                <w:color w:val="0D0D0D" w:themeColor="text1" w:themeTint="F2"/>
                <w:sz w:val="36"/>
                <w:szCs w:val="36"/>
                <w:rtl/>
              </w:rPr>
            </w:pPr>
          </w:p>
        </w:tc>
        <w:tc>
          <w:tcPr>
            <w:tcW w:w="1229" w:type="pct"/>
            <w:gridSpan w:val="3"/>
            <w:tcBorders>
              <w:bottom w:val="single" w:sz="8" w:space="0" w:color="000000"/>
            </w:tcBorders>
            <w:vAlign w:val="bottom"/>
          </w:tcPr>
          <w:p w:rsidR="00A40B86" w:rsidRPr="00941C35" w:rsidP="00A40B86" w14:paraId="265B90D2" w14:textId="21BAB53D">
            <w:pPr>
              <w:bidi w:val="0"/>
              <w:spacing w:after="60" w:line="240" w:lineRule="auto"/>
              <w:rPr>
                <w:rFonts w:ascii="Tahoma" w:hAnsi="Tahoma" w:cs="Tahoma"/>
                <w:b/>
                <w:bCs/>
                <w:color w:val="0D0D0D" w:themeColor="text1" w:themeTint="F2"/>
                <w:sz w:val="36"/>
                <w:szCs w:val="36"/>
                <w:rtl/>
              </w:rPr>
            </w:pPr>
            <w:r w:rsidRPr="00A40B86">
              <w:rPr>
                <w:rFonts w:ascii="Tahoma" w:hAnsi="Tahoma" w:cs="Tahoma"/>
                <w:b/>
                <w:bCs/>
                <w:color w:val="0D0D0D" w:themeColor="text1" w:themeTint="F2"/>
                <w:sz w:val="26"/>
                <w:szCs w:val="26"/>
              </w:rPr>
              <w:t>only</w:t>
            </w:r>
            <w:r w:rsidRPr="00A076DA">
              <w:rPr>
                <w:rFonts w:ascii="Tahoma" w:hAnsi="Tahoma" w:cs="Tahoma"/>
                <w:b/>
                <w:bCs/>
                <w:color w:val="0D0D0D" w:themeColor="text1" w:themeTint="F2"/>
                <w:sz w:val="36"/>
                <w:szCs w:val="36"/>
              </w:rPr>
              <w:t xml:space="preserve"> 15</w:t>
            </w:r>
          </w:p>
        </w:tc>
      </w:tr>
      <w:tr w14:paraId="633F9A1A" w14:textId="21CF8A61" w:rsidTr="00A40B86">
        <w:tblPrEx>
          <w:tblW w:w="5353" w:type="pct"/>
          <w:tblCellMar>
            <w:left w:w="57" w:type="dxa"/>
            <w:right w:w="57" w:type="dxa"/>
          </w:tblCellMar>
          <w:tblLook w:val="04A0"/>
        </w:tblPrEx>
        <w:trPr>
          <w:gridAfter w:val="1"/>
          <w:wAfter w:w="323" w:type="dxa"/>
        </w:trPr>
        <w:tc>
          <w:tcPr>
            <w:tcW w:w="900" w:type="pct"/>
            <w:tcBorders>
              <w:top w:val="single" w:sz="8" w:space="0" w:color="auto"/>
            </w:tcBorders>
          </w:tcPr>
          <w:p w:rsidR="00A40B86" w:rsidRPr="00041AEB" w:rsidP="00A40B86" w14:paraId="5042BE4E" w14:textId="59042AF5">
            <w:pPr>
              <w:bidi w:val="0"/>
              <w:spacing w:after="0" w:line="240" w:lineRule="auto"/>
              <w:ind w:right="23"/>
              <w:rPr>
                <w:rFonts w:ascii="Tahoma" w:hAnsi="Tahoma" w:cs="Tahoma"/>
                <w:bCs/>
                <w:color w:val="0D0D0D" w:themeColor="text1" w:themeTint="F2"/>
                <w:w w:val="90"/>
                <w:sz w:val="18"/>
                <w:szCs w:val="18"/>
              </w:rPr>
            </w:pPr>
            <w:r w:rsidRPr="00A076DA">
              <w:rPr>
                <w:rFonts w:ascii="Tahoma" w:hAnsi="Tahoma" w:cs="Tahoma"/>
                <w:bCs/>
                <w:color w:val="0D0D0D" w:themeColor="text1" w:themeTint="F2"/>
                <w:w w:val="90"/>
                <w:sz w:val="18"/>
                <w:szCs w:val="18"/>
              </w:rPr>
              <w:t>of the local authorities (122 out of 259</w:t>
            </w:r>
            <w:r>
              <w:rPr>
                <w:rFonts w:ascii="Tahoma" w:hAnsi="Tahoma" w:cs="Tahoma"/>
                <w:bCs/>
                <w:color w:val="0D0D0D" w:themeColor="text1" w:themeTint="F2"/>
                <w:w w:val="90"/>
                <w:sz w:val="18"/>
                <w:szCs w:val="18"/>
                <w:vertAlign w:val="superscript"/>
              </w:rPr>
              <w:footnoteReference w:id="2"/>
            </w:r>
            <w:r w:rsidRPr="00A076DA">
              <w:rPr>
                <w:rFonts w:ascii="Tahoma" w:hAnsi="Tahoma" w:cs="Tahoma"/>
                <w:bCs/>
                <w:color w:val="0D0D0D" w:themeColor="text1" w:themeTint="F2"/>
                <w:w w:val="90"/>
                <w:sz w:val="18"/>
                <w:szCs w:val="18"/>
              </w:rPr>
              <w:t xml:space="preserve">), the number of residents is less than 15,000 </w:t>
            </w:r>
          </w:p>
        </w:tc>
        <w:tc>
          <w:tcPr>
            <w:tcW w:w="144" w:type="pct"/>
          </w:tcPr>
          <w:p w:rsidR="00A40B86" w:rsidRPr="00041AEB" w:rsidP="00A40B86" w14:paraId="2B8B872F" w14:textId="77777777">
            <w:pPr>
              <w:bidi w:val="0"/>
              <w:spacing w:after="0" w:line="240" w:lineRule="auto"/>
              <w:rPr>
                <w:rFonts w:ascii="Tahoma" w:hAnsi="Tahoma" w:cs="Tahoma"/>
                <w:bCs/>
                <w:color w:val="0D0D0D" w:themeColor="text1" w:themeTint="F2"/>
                <w:w w:val="90"/>
                <w:sz w:val="18"/>
                <w:szCs w:val="18"/>
                <w:rtl/>
              </w:rPr>
            </w:pPr>
          </w:p>
        </w:tc>
        <w:tc>
          <w:tcPr>
            <w:tcW w:w="1003" w:type="pct"/>
            <w:tcBorders>
              <w:top w:val="single" w:sz="8" w:space="0" w:color="auto"/>
            </w:tcBorders>
          </w:tcPr>
          <w:p w:rsidR="00A40B86" w:rsidRPr="00A0699D" w:rsidP="00A40B86" w14:paraId="22CDEF8A" w14:textId="735040ED">
            <w:pPr>
              <w:bidi w:val="0"/>
              <w:spacing w:line="240" w:lineRule="auto"/>
              <w:ind w:right="23"/>
              <w:rPr>
                <w:bCs/>
                <w:rtl/>
              </w:rPr>
            </w:pPr>
            <w:r w:rsidRPr="00A076DA">
              <w:rPr>
                <w:rFonts w:ascii="Tahoma" w:hAnsi="Tahoma" w:cs="Tahoma"/>
                <w:bCs/>
                <w:color w:val="0D0D0D" w:themeColor="text1" w:themeTint="F2"/>
                <w:w w:val="90"/>
                <w:sz w:val="18"/>
                <w:szCs w:val="18"/>
              </w:rPr>
              <w:t>out of the 259 local authorities, CIOs (Chief Information Systems Officers) are employed, and 30 of them are outsourced as of July 2023</w:t>
            </w:r>
          </w:p>
        </w:tc>
        <w:tc>
          <w:tcPr>
            <w:tcW w:w="144" w:type="pct"/>
          </w:tcPr>
          <w:p w:rsidR="00A40B86" w:rsidRPr="00041AEB" w:rsidP="00A40B86" w14:paraId="516B5653" w14:textId="77777777">
            <w:pPr>
              <w:bidi w:val="0"/>
              <w:spacing w:after="0" w:line="240" w:lineRule="auto"/>
              <w:rPr>
                <w:rFonts w:ascii="Tahoma" w:hAnsi="Tahoma" w:cs="Tahoma"/>
                <w:bCs/>
                <w:color w:val="0D0D0D" w:themeColor="text1" w:themeTint="F2"/>
                <w:w w:val="90"/>
                <w:sz w:val="18"/>
                <w:szCs w:val="18"/>
                <w:rtl/>
              </w:rPr>
            </w:pPr>
          </w:p>
        </w:tc>
        <w:tc>
          <w:tcPr>
            <w:tcW w:w="1113" w:type="pct"/>
            <w:tcBorders>
              <w:top w:val="single" w:sz="8" w:space="0" w:color="000000"/>
            </w:tcBorders>
          </w:tcPr>
          <w:p w:rsidR="00A40B86" w:rsidRPr="00041AEB" w:rsidP="00A40B86" w14:paraId="1DDB9C26" w14:textId="35063896">
            <w:pPr>
              <w:bidi w:val="0"/>
              <w:spacing w:after="0" w:line="240" w:lineRule="auto"/>
              <w:ind w:right="23"/>
              <w:rPr>
                <w:rFonts w:ascii="Tahoma" w:hAnsi="Tahoma" w:cs="Tahoma"/>
                <w:bCs/>
                <w:color w:val="0D0D0D" w:themeColor="text1" w:themeTint="F2"/>
                <w:w w:val="90"/>
                <w:sz w:val="18"/>
                <w:szCs w:val="18"/>
              </w:rPr>
            </w:pPr>
            <w:r w:rsidRPr="00A076DA">
              <w:rPr>
                <w:rFonts w:ascii="Tahoma" w:hAnsi="Tahoma" w:cs="Tahoma"/>
                <w:bCs/>
                <w:color w:val="0D0D0D" w:themeColor="text1" w:themeTint="F2"/>
                <w:w w:val="90"/>
                <w:sz w:val="18"/>
                <w:szCs w:val="18"/>
              </w:rPr>
              <w:t xml:space="preserve">regional clusters, regional CIOs were established </w:t>
            </w:r>
          </w:p>
        </w:tc>
        <w:tc>
          <w:tcPr>
            <w:tcW w:w="144" w:type="pct"/>
          </w:tcPr>
          <w:p w:rsidR="00A40B86" w:rsidRPr="00B662F5" w:rsidP="00A40B86" w14:paraId="31FC66A8" w14:textId="77777777">
            <w:pPr>
              <w:bidi w:val="0"/>
              <w:spacing w:after="0" w:line="240" w:lineRule="auto"/>
              <w:ind w:right="23"/>
              <w:rPr>
                <w:rFonts w:ascii="Tahoma" w:hAnsi="Tahoma" w:cs="Tahoma"/>
                <w:bCs/>
                <w:color w:val="0D0D0D" w:themeColor="text1" w:themeTint="F2"/>
                <w:w w:val="90"/>
                <w:sz w:val="18"/>
                <w:szCs w:val="18"/>
              </w:rPr>
            </w:pPr>
          </w:p>
        </w:tc>
        <w:tc>
          <w:tcPr>
            <w:tcW w:w="1229" w:type="pct"/>
            <w:gridSpan w:val="3"/>
            <w:tcBorders>
              <w:top w:val="single" w:sz="8" w:space="0" w:color="000000"/>
            </w:tcBorders>
          </w:tcPr>
          <w:p w:rsidR="00A40B86" w:rsidRPr="00B662F5" w:rsidP="00A40B86" w14:paraId="3AFB1672" w14:textId="374AA2EC">
            <w:pPr>
              <w:bidi w:val="0"/>
              <w:spacing w:after="0" w:line="240" w:lineRule="auto"/>
              <w:ind w:right="23"/>
              <w:rPr>
                <w:rFonts w:ascii="Tahoma" w:hAnsi="Tahoma" w:cs="Tahoma"/>
                <w:bCs/>
                <w:color w:val="0D0D0D" w:themeColor="text1" w:themeTint="F2"/>
                <w:w w:val="90"/>
                <w:sz w:val="18"/>
                <w:szCs w:val="18"/>
              </w:rPr>
            </w:pPr>
            <w:r w:rsidRPr="00A076DA">
              <w:rPr>
                <w:rFonts w:ascii="Tahoma" w:hAnsi="Tahoma" w:cs="Tahoma"/>
                <w:bCs/>
                <w:color w:val="0D0D0D" w:themeColor="text1" w:themeTint="F2"/>
                <w:w w:val="90"/>
                <w:sz w:val="18"/>
                <w:szCs w:val="18"/>
              </w:rPr>
              <w:t xml:space="preserve">local authorities are rated high on the digital maturity index as of 2023, according to the Ministry of Interior assessment </w:t>
            </w:r>
          </w:p>
        </w:tc>
      </w:tr>
      <w:tr w14:paraId="3A3B2768" w14:textId="4D98DDF8" w:rsidTr="00A40B86">
        <w:tblPrEx>
          <w:tblW w:w="5353" w:type="pct"/>
          <w:tblCellMar>
            <w:left w:w="57" w:type="dxa"/>
            <w:right w:w="57" w:type="dxa"/>
          </w:tblCellMar>
          <w:tblLook w:val="04A0"/>
        </w:tblPrEx>
        <w:trPr>
          <w:gridAfter w:val="1"/>
          <w:wAfter w:w="323" w:type="dxa"/>
          <w:trHeight w:val="397"/>
        </w:trPr>
        <w:tc>
          <w:tcPr>
            <w:tcW w:w="900" w:type="pct"/>
          </w:tcPr>
          <w:p w:rsidR="008771C5" w:rsidRPr="00B47903" w:rsidP="008771C5" w14:paraId="1A07D554" w14:textId="35E38359">
            <w:pPr>
              <w:bidi w:val="0"/>
              <w:spacing w:before="120" w:after="0" w:line="240" w:lineRule="auto"/>
              <w:rPr>
                <w:rFonts w:ascii="Tahoma" w:hAnsi="Tahoma" w:cs="Tahoma"/>
                <w:b/>
                <w:bCs/>
                <w:color w:val="0D0D0D" w:themeColor="text1" w:themeTint="F2"/>
                <w:sz w:val="14"/>
                <w:szCs w:val="14"/>
                <w:rtl/>
              </w:rPr>
            </w:pPr>
          </w:p>
        </w:tc>
        <w:tc>
          <w:tcPr>
            <w:tcW w:w="144" w:type="pct"/>
          </w:tcPr>
          <w:p w:rsidR="008771C5" w:rsidRPr="00B47903" w:rsidP="008771C5" w14:paraId="398FB0FD" w14:textId="77777777">
            <w:pPr>
              <w:bidi w:val="0"/>
              <w:spacing w:before="120" w:after="0" w:line="240" w:lineRule="auto"/>
              <w:rPr>
                <w:rFonts w:ascii="Tahoma" w:hAnsi="Tahoma" w:cs="Tahoma"/>
                <w:b/>
                <w:bCs/>
                <w:color w:val="0D0D0D" w:themeColor="text1" w:themeTint="F2"/>
                <w:sz w:val="14"/>
                <w:szCs w:val="14"/>
              </w:rPr>
            </w:pPr>
          </w:p>
        </w:tc>
        <w:tc>
          <w:tcPr>
            <w:tcW w:w="1003" w:type="pct"/>
          </w:tcPr>
          <w:p w:rsidR="008771C5" w:rsidRPr="00B47903" w:rsidP="008771C5" w14:paraId="58859999" w14:textId="77777777">
            <w:pPr>
              <w:bidi w:val="0"/>
              <w:spacing w:before="120" w:after="0" w:line="240" w:lineRule="auto"/>
              <w:rPr>
                <w:rFonts w:ascii="Tahoma" w:hAnsi="Tahoma" w:cs="Tahoma"/>
                <w:b/>
                <w:bCs/>
                <w:color w:val="0D0D0D" w:themeColor="text1" w:themeTint="F2"/>
                <w:sz w:val="14"/>
                <w:szCs w:val="14"/>
                <w:rtl/>
              </w:rPr>
            </w:pPr>
          </w:p>
        </w:tc>
        <w:tc>
          <w:tcPr>
            <w:tcW w:w="144" w:type="pct"/>
          </w:tcPr>
          <w:p w:rsidR="008771C5" w:rsidRPr="00B47903" w:rsidP="008771C5" w14:paraId="18626B8F" w14:textId="77777777">
            <w:pPr>
              <w:bidi w:val="0"/>
              <w:spacing w:before="120" w:after="0" w:line="240" w:lineRule="auto"/>
              <w:rPr>
                <w:rFonts w:ascii="Tahoma" w:hAnsi="Tahoma" w:cs="Tahoma"/>
                <w:b/>
                <w:bCs/>
                <w:color w:val="0D0D0D" w:themeColor="text1" w:themeTint="F2"/>
                <w:sz w:val="14"/>
                <w:szCs w:val="14"/>
              </w:rPr>
            </w:pPr>
          </w:p>
        </w:tc>
        <w:tc>
          <w:tcPr>
            <w:tcW w:w="1113" w:type="pct"/>
          </w:tcPr>
          <w:p w:rsidR="008771C5" w:rsidRPr="00B47903" w:rsidP="008771C5" w14:paraId="12C512C9" w14:textId="77777777">
            <w:pPr>
              <w:bidi w:val="0"/>
              <w:spacing w:before="120" w:after="0" w:line="240" w:lineRule="auto"/>
              <w:rPr>
                <w:rFonts w:ascii="Tahoma" w:hAnsi="Tahoma" w:cs="Tahoma"/>
                <w:b/>
                <w:bCs/>
                <w:color w:val="0D0D0D" w:themeColor="text1" w:themeTint="F2"/>
                <w:sz w:val="14"/>
                <w:szCs w:val="14"/>
                <w:rtl/>
              </w:rPr>
            </w:pPr>
          </w:p>
        </w:tc>
        <w:tc>
          <w:tcPr>
            <w:tcW w:w="144" w:type="pct"/>
          </w:tcPr>
          <w:p w:rsidR="008771C5" w:rsidRPr="00B47903" w:rsidP="008771C5" w14:paraId="7C8842AA" w14:textId="77777777">
            <w:pPr>
              <w:bidi w:val="0"/>
              <w:spacing w:before="120" w:after="0" w:line="240" w:lineRule="auto"/>
              <w:rPr>
                <w:rFonts w:ascii="Tahoma" w:hAnsi="Tahoma" w:cs="Tahoma"/>
                <w:b/>
                <w:bCs/>
                <w:color w:val="0D0D0D" w:themeColor="text1" w:themeTint="F2"/>
                <w:sz w:val="14"/>
                <w:szCs w:val="14"/>
                <w:rtl/>
              </w:rPr>
            </w:pPr>
          </w:p>
        </w:tc>
        <w:tc>
          <w:tcPr>
            <w:tcW w:w="1229" w:type="pct"/>
            <w:gridSpan w:val="3"/>
          </w:tcPr>
          <w:p w:rsidR="008771C5" w:rsidRPr="00B47903" w:rsidP="008771C5" w14:paraId="12727038" w14:textId="77777777">
            <w:pPr>
              <w:bidi w:val="0"/>
              <w:spacing w:before="120" w:after="0" w:line="240" w:lineRule="auto"/>
              <w:rPr>
                <w:rFonts w:ascii="Tahoma" w:hAnsi="Tahoma" w:cs="Tahoma"/>
                <w:b/>
                <w:bCs/>
                <w:color w:val="0D0D0D" w:themeColor="text1" w:themeTint="F2"/>
                <w:sz w:val="14"/>
                <w:szCs w:val="14"/>
                <w:rtl/>
              </w:rPr>
            </w:pPr>
          </w:p>
        </w:tc>
      </w:tr>
      <w:tr w14:paraId="69DAE9C2" w14:textId="4B47BC94" w:rsidTr="00A40B86">
        <w:tblPrEx>
          <w:tblW w:w="5353" w:type="pct"/>
          <w:tblCellMar>
            <w:left w:w="57" w:type="dxa"/>
            <w:right w:w="57" w:type="dxa"/>
          </w:tblCellMar>
          <w:tblLook w:val="04A0"/>
        </w:tblPrEx>
        <w:trPr>
          <w:gridAfter w:val="1"/>
          <w:wAfter w:w="323" w:type="dxa"/>
        </w:trPr>
        <w:tc>
          <w:tcPr>
            <w:tcW w:w="900" w:type="pct"/>
            <w:tcBorders>
              <w:bottom w:val="single" w:sz="8" w:space="0" w:color="auto"/>
            </w:tcBorders>
            <w:vAlign w:val="bottom"/>
          </w:tcPr>
          <w:p w:rsidR="00A40B86" w:rsidRPr="002A18A0" w:rsidP="00A40B86" w14:paraId="0A63A02B" w14:textId="43F63D51">
            <w:pPr>
              <w:bidi w:val="0"/>
              <w:spacing w:after="60" w:line="240" w:lineRule="auto"/>
              <w:rPr>
                <w:rFonts w:ascii="Tahoma" w:hAnsi="Tahoma" w:cs="Tahoma"/>
                <w:b/>
                <w:bCs/>
                <w:color w:val="0D0D0D" w:themeColor="text1" w:themeTint="F2"/>
                <w:sz w:val="36"/>
                <w:szCs w:val="36"/>
              </w:rPr>
            </w:pPr>
            <w:r w:rsidRPr="00A40B86">
              <w:rPr>
                <w:rFonts w:ascii="Tahoma" w:hAnsi="Tahoma" w:cs="Tahoma"/>
                <w:b/>
                <w:bCs/>
                <w:color w:val="0D0D0D" w:themeColor="text1" w:themeTint="F2"/>
                <w:sz w:val="26"/>
                <w:szCs w:val="26"/>
              </w:rPr>
              <w:t>less</w:t>
            </w:r>
            <w:r w:rsidRPr="00A076DA">
              <w:rPr>
                <w:rFonts w:ascii="Tahoma" w:hAnsi="Tahoma" w:cs="Tahoma"/>
                <w:b/>
                <w:bCs/>
                <w:color w:val="0D0D0D" w:themeColor="text1" w:themeTint="F2"/>
                <w:sz w:val="36"/>
                <w:szCs w:val="36"/>
              </w:rPr>
              <w:t xml:space="preserve"> </w:t>
            </w:r>
            <w:r w:rsidRPr="00A40B86">
              <w:rPr>
                <w:rFonts w:ascii="Tahoma" w:hAnsi="Tahoma" w:cs="Tahoma"/>
                <w:b/>
                <w:bCs/>
                <w:color w:val="0D0D0D" w:themeColor="text1" w:themeTint="F2"/>
                <w:sz w:val="26"/>
                <w:szCs w:val="26"/>
              </w:rPr>
              <w:t>than</w:t>
            </w:r>
            <w:r w:rsidRPr="00A076DA">
              <w:rPr>
                <w:rFonts w:ascii="Tahoma" w:hAnsi="Tahoma" w:cs="Tahoma"/>
                <w:b/>
                <w:bCs/>
                <w:color w:val="0D0D0D" w:themeColor="text1" w:themeTint="F2"/>
                <w:sz w:val="36"/>
                <w:szCs w:val="36"/>
              </w:rPr>
              <w:t xml:space="preserve"> 1%</w:t>
            </w:r>
          </w:p>
        </w:tc>
        <w:tc>
          <w:tcPr>
            <w:tcW w:w="144" w:type="pct"/>
            <w:tcBorders>
              <w:bottom w:val="single" w:sz="8" w:space="0" w:color="FFFFFF"/>
            </w:tcBorders>
          </w:tcPr>
          <w:p w:rsidR="00A40B86" w:rsidRPr="002A18A0" w:rsidP="00A40B86" w14:paraId="2B044DDD" w14:textId="77777777">
            <w:pPr>
              <w:bidi w:val="0"/>
              <w:spacing w:after="60" w:line="240" w:lineRule="auto"/>
              <w:rPr>
                <w:rFonts w:ascii="Tahoma" w:hAnsi="Tahoma" w:cs="Tahoma"/>
                <w:b/>
                <w:bCs/>
                <w:color w:val="0D0D0D" w:themeColor="text1" w:themeTint="F2"/>
                <w:sz w:val="36"/>
                <w:szCs w:val="36"/>
              </w:rPr>
            </w:pPr>
          </w:p>
        </w:tc>
        <w:tc>
          <w:tcPr>
            <w:tcW w:w="1003" w:type="pct"/>
            <w:tcBorders>
              <w:bottom w:val="single" w:sz="8" w:space="0" w:color="auto"/>
            </w:tcBorders>
            <w:vAlign w:val="bottom"/>
          </w:tcPr>
          <w:p w:rsidR="00A40B86" w:rsidRPr="002A18A0" w:rsidP="00A40B86" w14:paraId="5F2BF29F" w14:textId="5188EC73">
            <w:pPr>
              <w:bidi w:val="0"/>
              <w:spacing w:after="60" w:line="240" w:lineRule="auto"/>
              <w:rPr>
                <w:rFonts w:ascii="Tahoma" w:hAnsi="Tahoma" w:cs="Tahoma"/>
                <w:b/>
                <w:bCs/>
                <w:color w:val="0D0D0D" w:themeColor="text1" w:themeTint="F2"/>
                <w:sz w:val="36"/>
                <w:szCs w:val="36"/>
              </w:rPr>
            </w:pPr>
            <w:r w:rsidRPr="00A40B86">
              <w:rPr>
                <w:rFonts w:ascii="Tahoma" w:hAnsi="Tahoma" w:cs="Tahoma"/>
                <w:b/>
                <w:bCs/>
                <w:color w:val="0D0D0D" w:themeColor="text1" w:themeTint="F2"/>
                <w:sz w:val="26"/>
                <w:szCs w:val="26"/>
              </w:rPr>
              <w:t>about NIS</w:t>
            </w:r>
            <w:r w:rsidRPr="00A076DA">
              <w:rPr>
                <w:rFonts w:ascii="Tahoma" w:hAnsi="Tahoma" w:cs="Tahoma"/>
                <w:b/>
                <w:bCs/>
                <w:color w:val="0D0D0D" w:themeColor="text1" w:themeTint="F2"/>
                <w:sz w:val="36"/>
                <w:szCs w:val="36"/>
              </w:rPr>
              <w:t xml:space="preserve"> 24.5 </w:t>
            </w:r>
            <w:r w:rsidRPr="00A40B86">
              <w:rPr>
                <w:rFonts w:ascii="Tahoma" w:hAnsi="Tahoma" w:cs="Tahoma"/>
                <w:b/>
                <w:bCs/>
                <w:color w:val="0D0D0D" w:themeColor="text1" w:themeTint="F2"/>
                <w:sz w:val="26"/>
                <w:szCs w:val="26"/>
              </w:rPr>
              <w:t>million</w:t>
            </w:r>
            <w:r w:rsidRPr="00A076DA">
              <w:rPr>
                <w:rFonts w:ascii="Tahoma" w:hAnsi="Tahoma" w:cs="Tahoma"/>
                <w:b/>
                <w:bCs/>
                <w:color w:val="0D0D0D" w:themeColor="text1" w:themeTint="F2"/>
                <w:sz w:val="36"/>
                <w:szCs w:val="36"/>
              </w:rPr>
              <w:t xml:space="preserve"> </w:t>
            </w:r>
            <w:r w:rsidRPr="00A40B86">
              <w:rPr>
                <w:rFonts w:ascii="Tahoma" w:hAnsi="Tahoma" w:cs="Tahoma"/>
                <w:b/>
                <w:bCs/>
                <w:color w:val="0D0D0D" w:themeColor="text1" w:themeTint="F2"/>
                <w:sz w:val="26"/>
                <w:szCs w:val="26"/>
              </w:rPr>
              <w:t>(about 56%)</w:t>
            </w:r>
          </w:p>
        </w:tc>
        <w:tc>
          <w:tcPr>
            <w:tcW w:w="144" w:type="pct"/>
            <w:tcBorders>
              <w:bottom w:val="single" w:sz="8" w:space="0" w:color="FFFFFF"/>
            </w:tcBorders>
          </w:tcPr>
          <w:p w:rsidR="00A40B86" w:rsidRPr="002A18A0" w:rsidP="00A40B86" w14:paraId="3407A7B6" w14:textId="77777777">
            <w:pPr>
              <w:bidi w:val="0"/>
              <w:spacing w:after="60" w:line="240" w:lineRule="auto"/>
              <w:rPr>
                <w:rFonts w:ascii="Tahoma" w:hAnsi="Tahoma" w:cs="Tahoma"/>
                <w:b/>
                <w:bCs/>
                <w:color w:val="0D0D0D" w:themeColor="text1" w:themeTint="F2"/>
                <w:sz w:val="36"/>
                <w:szCs w:val="36"/>
              </w:rPr>
            </w:pPr>
          </w:p>
        </w:tc>
        <w:tc>
          <w:tcPr>
            <w:tcW w:w="1113" w:type="pct"/>
            <w:tcBorders>
              <w:bottom w:val="single" w:sz="8" w:space="0" w:color="000000"/>
            </w:tcBorders>
            <w:vAlign w:val="bottom"/>
          </w:tcPr>
          <w:p w:rsidR="00A40B86" w:rsidRPr="00A40B86" w:rsidP="00A40B86" w14:paraId="24B9C4D0" w14:textId="7AB5CC9D">
            <w:pPr>
              <w:bidi w:val="0"/>
              <w:spacing w:after="60" w:line="240" w:lineRule="auto"/>
              <w:rPr>
                <w:rFonts w:ascii="Tahoma" w:hAnsi="Tahoma" w:cs="Tahoma"/>
                <w:b/>
                <w:bCs/>
                <w:color w:val="0D0D0D" w:themeColor="text1" w:themeTint="F2"/>
                <w:sz w:val="26"/>
                <w:szCs w:val="26"/>
              </w:rPr>
            </w:pPr>
            <w:r w:rsidRPr="00A40B86">
              <w:rPr>
                <w:rFonts w:ascii="Tahoma" w:hAnsi="Tahoma" w:cs="Tahoma"/>
                <w:b/>
                <w:bCs/>
                <w:color w:val="0D0D0D" w:themeColor="text1" w:themeTint="F2"/>
                <w:sz w:val="26"/>
                <w:szCs w:val="26"/>
              </w:rPr>
              <w:t xml:space="preserve">only </w:t>
            </w:r>
            <w:r w:rsidRPr="00A40B86">
              <w:rPr>
                <w:rFonts w:ascii="Tahoma" w:hAnsi="Tahoma" w:cs="Tahoma"/>
                <w:b/>
                <w:bCs/>
                <w:color w:val="0D0D0D" w:themeColor="text1" w:themeTint="F2"/>
                <w:sz w:val="36"/>
                <w:szCs w:val="36"/>
              </w:rPr>
              <w:t>12</w:t>
            </w:r>
            <w:r w:rsidRPr="00A40B86">
              <w:rPr>
                <w:rFonts w:ascii="Tahoma" w:hAnsi="Tahoma" w:cs="Tahoma"/>
                <w:b/>
                <w:bCs/>
                <w:color w:val="0D0D0D" w:themeColor="text1" w:themeTint="F2"/>
                <w:sz w:val="26"/>
                <w:szCs w:val="26"/>
              </w:rPr>
              <w:t xml:space="preserve"> small local authorities</w:t>
            </w:r>
            <w:r>
              <w:rPr>
                <w:rFonts w:ascii="Tahoma" w:hAnsi="Tahoma" w:cs="Tahoma"/>
                <w:b/>
                <w:bCs/>
                <w:color w:val="0D0D0D" w:themeColor="text1" w:themeTint="F2"/>
                <w:sz w:val="26"/>
                <w:szCs w:val="26"/>
                <w:vertAlign w:val="superscript"/>
              </w:rPr>
              <w:footnoteReference w:id="3"/>
            </w:r>
            <w:r w:rsidRPr="00A40B86">
              <w:rPr>
                <w:rFonts w:ascii="Tahoma" w:hAnsi="Tahoma" w:cs="Tahoma"/>
                <w:b/>
                <w:bCs/>
                <w:color w:val="0D0D0D" w:themeColor="text1" w:themeTint="F2"/>
                <w:sz w:val="26"/>
                <w:szCs w:val="26"/>
              </w:rPr>
              <w:t xml:space="preserve"> </w:t>
            </w:r>
          </w:p>
        </w:tc>
        <w:tc>
          <w:tcPr>
            <w:tcW w:w="144" w:type="pct"/>
          </w:tcPr>
          <w:p w:rsidR="00A40B86" w:rsidRPr="002A18A0" w:rsidP="00A40B86" w14:paraId="1A1A685D" w14:textId="77777777">
            <w:pPr>
              <w:bidi w:val="0"/>
              <w:spacing w:after="60" w:line="240" w:lineRule="auto"/>
              <w:rPr>
                <w:rFonts w:ascii="Tahoma" w:hAnsi="Tahoma" w:cs="Tahoma"/>
                <w:b/>
                <w:bCs/>
                <w:color w:val="0D0D0D" w:themeColor="text1" w:themeTint="F2"/>
                <w:sz w:val="36"/>
                <w:szCs w:val="36"/>
              </w:rPr>
            </w:pPr>
          </w:p>
        </w:tc>
        <w:tc>
          <w:tcPr>
            <w:tcW w:w="1229" w:type="pct"/>
            <w:gridSpan w:val="3"/>
            <w:tcBorders>
              <w:bottom w:val="single" w:sz="8" w:space="0" w:color="000000"/>
            </w:tcBorders>
            <w:vAlign w:val="bottom"/>
          </w:tcPr>
          <w:p w:rsidR="00A40B86" w:rsidRPr="00A40B86" w:rsidP="00A40B86" w14:paraId="02226F29" w14:textId="31CFCF25">
            <w:pPr>
              <w:bidi w:val="0"/>
              <w:spacing w:after="60" w:line="240" w:lineRule="auto"/>
              <w:rPr>
                <w:rFonts w:ascii="Tahoma" w:hAnsi="Tahoma" w:cs="Tahoma"/>
                <w:b/>
                <w:bCs/>
                <w:color w:val="0D0D0D" w:themeColor="text1" w:themeTint="F2"/>
                <w:sz w:val="26"/>
                <w:szCs w:val="26"/>
              </w:rPr>
            </w:pPr>
            <w:r w:rsidRPr="00A40B86">
              <w:rPr>
                <w:rFonts w:ascii="Tahoma" w:hAnsi="Tahoma" w:cs="Tahoma"/>
                <w:b/>
                <w:bCs/>
                <w:color w:val="0D0D0D" w:themeColor="text1" w:themeTint="F2"/>
                <w:sz w:val="36"/>
                <w:szCs w:val="36"/>
              </w:rPr>
              <w:t>0</w:t>
            </w:r>
            <w:r w:rsidRPr="00A40B86">
              <w:rPr>
                <w:rFonts w:ascii="Tahoma" w:hAnsi="Tahoma" w:cs="Tahoma"/>
                <w:b/>
                <w:bCs/>
                <w:color w:val="0D0D0D" w:themeColor="text1" w:themeTint="F2"/>
                <w:sz w:val="26"/>
                <w:szCs w:val="26"/>
              </w:rPr>
              <w:t xml:space="preserve"> databases</w:t>
            </w:r>
          </w:p>
        </w:tc>
      </w:tr>
      <w:tr w14:paraId="7FB01C39" w14:textId="7E0F3449" w:rsidTr="00A40B86">
        <w:tblPrEx>
          <w:tblW w:w="5353" w:type="pct"/>
          <w:tblCellMar>
            <w:left w:w="57" w:type="dxa"/>
            <w:right w:w="57" w:type="dxa"/>
          </w:tblCellMar>
          <w:tblLook w:val="04A0"/>
        </w:tblPrEx>
        <w:trPr>
          <w:gridAfter w:val="1"/>
          <w:wAfter w:w="323" w:type="dxa"/>
        </w:trPr>
        <w:tc>
          <w:tcPr>
            <w:tcW w:w="900" w:type="pct"/>
            <w:tcBorders>
              <w:top w:val="single" w:sz="8" w:space="0" w:color="000000"/>
            </w:tcBorders>
          </w:tcPr>
          <w:p w:rsidR="00A40B86" w:rsidRPr="008A5E62" w:rsidP="00A40B86" w14:paraId="0E469777" w14:textId="445B80E5">
            <w:pPr>
              <w:bidi w:val="0"/>
              <w:spacing w:after="100" w:line="240" w:lineRule="auto"/>
              <w:rPr>
                <w:rFonts w:ascii="Tahoma" w:hAnsi="Tahoma" w:cs="Tahoma"/>
                <w:bCs/>
                <w:color w:val="0D0D0D" w:themeColor="text1" w:themeTint="F2"/>
                <w:w w:val="90"/>
                <w:sz w:val="18"/>
                <w:szCs w:val="18"/>
                <w:rtl/>
              </w:rPr>
            </w:pPr>
            <w:r w:rsidRPr="00A076DA">
              <w:rPr>
                <w:rFonts w:ascii="Tahoma" w:hAnsi="Tahoma" w:cs="Tahoma"/>
                <w:bCs/>
                <w:color w:val="0D0D0D" w:themeColor="text1" w:themeTint="F2"/>
                <w:w w:val="90"/>
                <w:sz w:val="18"/>
                <w:szCs w:val="18"/>
              </w:rPr>
              <w:t xml:space="preserve">of the budget of </w:t>
            </w:r>
            <w:r w:rsidRPr="00A40B86">
              <w:rPr>
                <w:rFonts w:ascii="Tahoma" w:hAnsi="Tahoma" w:cs="Tahoma"/>
                <w:b/>
                <w:color w:val="0D0D0D" w:themeColor="text1" w:themeTint="F2"/>
                <w:w w:val="90"/>
                <w:sz w:val="18"/>
                <w:szCs w:val="18"/>
              </w:rPr>
              <w:t>Elyakhin</w:t>
            </w:r>
            <w:r w:rsidRPr="00A076DA">
              <w:rPr>
                <w:rFonts w:ascii="Tahoma" w:hAnsi="Tahoma" w:cs="Tahoma"/>
                <w:bCs/>
                <w:color w:val="0D0D0D" w:themeColor="text1" w:themeTint="F2"/>
                <w:w w:val="90"/>
                <w:sz w:val="18"/>
                <w:szCs w:val="18"/>
              </w:rPr>
              <w:t xml:space="preserve">, </w:t>
            </w:r>
            <w:r w:rsidRPr="002C3F71">
              <w:rPr>
                <w:rFonts w:ascii="Tahoma" w:hAnsi="Tahoma" w:cs="Tahoma"/>
                <w:b/>
                <w:color w:val="0D0D0D" w:themeColor="text1" w:themeTint="F2"/>
                <w:w w:val="90"/>
                <w:sz w:val="18"/>
                <w:szCs w:val="18"/>
              </w:rPr>
              <w:t>Beit Dagan</w:t>
            </w:r>
            <w:r w:rsidRPr="00A076DA">
              <w:rPr>
                <w:rFonts w:ascii="Tahoma" w:hAnsi="Tahoma" w:cs="Tahoma"/>
                <w:bCs/>
                <w:color w:val="0D0D0D" w:themeColor="text1" w:themeTint="F2"/>
                <w:w w:val="90"/>
                <w:sz w:val="18"/>
                <w:szCs w:val="18"/>
              </w:rPr>
              <w:t xml:space="preserve">, </w:t>
            </w:r>
            <w:r w:rsidRPr="00A40B86">
              <w:rPr>
                <w:rFonts w:ascii="Tahoma" w:hAnsi="Tahoma" w:cs="Tahoma"/>
                <w:b/>
                <w:color w:val="0D0D0D" w:themeColor="text1" w:themeTint="F2"/>
                <w:w w:val="90"/>
                <w:sz w:val="18"/>
                <w:szCs w:val="18"/>
              </w:rPr>
              <w:t>Jaljulia</w:t>
            </w:r>
            <w:r w:rsidRPr="00A076DA">
              <w:rPr>
                <w:rFonts w:ascii="Tahoma" w:hAnsi="Tahoma" w:cs="Tahoma"/>
                <w:bCs/>
                <w:color w:val="0D0D0D" w:themeColor="text1" w:themeTint="F2"/>
                <w:w w:val="90"/>
                <w:sz w:val="18"/>
                <w:szCs w:val="18"/>
              </w:rPr>
              <w:t xml:space="preserve">, </w:t>
            </w:r>
            <w:r w:rsidRPr="00A40B86">
              <w:rPr>
                <w:rFonts w:ascii="Tahoma" w:hAnsi="Tahoma" w:cs="Tahoma"/>
                <w:b/>
                <w:color w:val="0D0D0D" w:themeColor="text1" w:themeTint="F2"/>
                <w:w w:val="90"/>
                <w:sz w:val="18"/>
                <w:szCs w:val="18"/>
              </w:rPr>
              <w:t>Fureidis</w:t>
            </w:r>
            <w:r w:rsidRPr="00A076DA">
              <w:rPr>
                <w:rFonts w:ascii="Tahoma" w:hAnsi="Tahoma" w:cs="Tahoma"/>
                <w:bCs/>
                <w:color w:val="0D0D0D" w:themeColor="text1" w:themeTint="F2"/>
                <w:w w:val="90"/>
                <w:sz w:val="18"/>
                <w:szCs w:val="18"/>
              </w:rPr>
              <w:t xml:space="preserve">, and </w:t>
            </w:r>
            <w:r w:rsidRPr="00A40B86">
              <w:rPr>
                <w:rFonts w:ascii="Tahoma" w:hAnsi="Tahoma" w:cs="Tahoma"/>
                <w:b/>
                <w:color w:val="0D0D0D" w:themeColor="text1" w:themeTint="F2"/>
                <w:w w:val="90"/>
                <w:sz w:val="18"/>
                <w:szCs w:val="18"/>
              </w:rPr>
              <w:t>Kiryat</w:t>
            </w:r>
            <w:r w:rsidRPr="00A076DA">
              <w:rPr>
                <w:rFonts w:ascii="Tahoma" w:hAnsi="Tahoma" w:cs="Tahoma"/>
                <w:bCs/>
                <w:color w:val="0D0D0D" w:themeColor="text1" w:themeTint="F2"/>
                <w:w w:val="90"/>
                <w:sz w:val="18"/>
                <w:szCs w:val="18"/>
              </w:rPr>
              <w:t xml:space="preserve"> </w:t>
            </w:r>
            <w:r w:rsidRPr="00A40B86">
              <w:rPr>
                <w:rFonts w:ascii="Tahoma" w:hAnsi="Tahoma" w:cs="Tahoma"/>
                <w:b/>
                <w:color w:val="0D0D0D" w:themeColor="text1" w:themeTint="F2"/>
                <w:w w:val="90"/>
                <w:sz w:val="18"/>
                <w:szCs w:val="18"/>
              </w:rPr>
              <w:t>Ye'arim</w:t>
            </w:r>
            <w:r w:rsidRPr="00A40B86">
              <w:rPr>
                <w:rFonts w:ascii="Tahoma" w:hAnsi="Tahoma" w:cs="Tahoma"/>
                <w:b/>
                <w:color w:val="0D0D0D" w:themeColor="text1" w:themeTint="F2"/>
                <w:w w:val="90"/>
                <w:sz w:val="18"/>
                <w:szCs w:val="18"/>
              </w:rPr>
              <w:t xml:space="preserve"> </w:t>
            </w:r>
            <w:r w:rsidRPr="00A076DA">
              <w:rPr>
                <w:rFonts w:ascii="Tahoma" w:hAnsi="Tahoma" w:cs="Tahoma"/>
                <w:bCs/>
                <w:color w:val="0D0D0D" w:themeColor="text1" w:themeTint="F2"/>
                <w:w w:val="90"/>
                <w:sz w:val="18"/>
                <w:szCs w:val="18"/>
              </w:rPr>
              <w:t>in 2021 was allocated to the computer field (between about NIS 226,000 and NIS 568,000)</w:t>
            </w:r>
          </w:p>
        </w:tc>
        <w:tc>
          <w:tcPr>
            <w:tcW w:w="144" w:type="pct"/>
            <w:tcBorders>
              <w:top w:val="single" w:sz="8" w:space="0" w:color="FFFFFF"/>
            </w:tcBorders>
          </w:tcPr>
          <w:p w:rsidR="00A40B86" w:rsidRPr="008A5E62" w:rsidP="00A40B86" w14:paraId="452D577E" w14:textId="77777777">
            <w:pPr>
              <w:bidi w:val="0"/>
              <w:spacing w:after="100" w:line="240" w:lineRule="auto"/>
              <w:rPr>
                <w:rFonts w:ascii="Tahoma" w:hAnsi="Tahoma" w:cs="Tahoma"/>
                <w:bCs/>
                <w:color w:val="0D0D0D" w:themeColor="text1" w:themeTint="F2"/>
                <w:w w:val="90"/>
                <w:sz w:val="18"/>
                <w:szCs w:val="18"/>
                <w:rtl/>
              </w:rPr>
            </w:pPr>
          </w:p>
        </w:tc>
        <w:tc>
          <w:tcPr>
            <w:tcW w:w="1003" w:type="pct"/>
            <w:tcBorders>
              <w:top w:val="single" w:sz="8" w:space="0" w:color="000000"/>
            </w:tcBorders>
          </w:tcPr>
          <w:p w:rsidR="00A40B86" w:rsidRPr="0015187B" w:rsidP="00A40B86" w14:paraId="77825D81" w14:textId="586A6D86">
            <w:pPr>
              <w:bidi w:val="0"/>
              <w:spacing w:after="100" w:line="240" w:lineRule="auto"/>
              <w:rPr>
                <w:rFonts w:ascii="Tahoma" w:hAnsi="Tahoma" w:cs="Tahoma"/>
                <w:bCs/>
                <w:color w:val="0D0D0D" w:themeColor="text1" w:themeTint="F2"/>
                <w:w w:val="90"/>
                <w:sz w:val="18"/>
                <w:szCs w:val="18"/>
                <w:rtl/>
              </w:rPr>
            </w:pPr>
            <w:r w:rsidRPr="00A076DA">
              <w:rPr>
                <w:rFonts w:ascii="Tahoma" w:hAnsi="Tahoma" w:cs="Tahoma"/>
                <w:bCs/>
                <w:color w:val="0D0D0D" w:themeColor="text1" w:themeTint="F2"/>
                <w:w w:val="90"/>
                <w:sz w:val="18"/>
                <w:szCs w:val="18"/>
              </w:rPr>
              <w:t xml:space="preserve">of the commitments provided by the National Digital Agency to 231 local authorities as part of a call to upgrade computer infrastructures were not realized </w:t>
            </w:r>
          </w:p>
        </w:tc>
        <w:tc>
          <w:tcPr>
            <w:tcW w:w="144" w:type="pct"/>
            <w:tcBorders>
              <w:top w:val="single" w:sz="8" w:space="0" w:color="FFFFFF"/>
            </w:tcBorders>
          </w:tcPr>
          <w:p w:rsidR="00A40B86" w:rsidRPr="008A5E62" w:rsidP="00A40B86" w14:paraId="5F4A0ACF" w14:textId="77777777">
            <w:pPr>
              <w:bidi w:val="0"/>
              <w:spacing w:after="100" w:line="240" w:lineRule="auto"/>
              <w:rPr>
                <w:rFonts w:ascii="Tahoma" w:hAnsi="Tahoma" w:cs="Tahoma"/>
                <w:bCs/>
                <w:color w:val="0D0D0D" w:themeColor="text1" w:themeTint="F2"/>
                <w:w w:val="90"/>
                <w:sz w:val="18"/>
                <w:szCs w:val="18"/>
                <w:rtl/>
              </w:rPr>
            </w:pPr>
          </w:p>
        </w:tc>
        <w:tc>
          <w:tcPr>
            <w:tcW w:w="1113" w:type="pct"/>
            <w:tcBorders>
              <w:top w:val="single" w:sz="8" w:space="0" w:color="000000"/>
            </w:tcBorders>
          </w:tcPr>
          <w:p w:rsidR="00A40B86" w:rsidRPr="00353BAA" w:rsidP="00A40B86" w14:paraId="368D853C" w14:textId="2B038486">
            <w:pPr>
              <w:bidi w:val="0"/>
              <w:spacing w:after="100" w:line="240" w:lineRule="auto"/>
              <w:ind w:right="23"/>
            </w:pPr>
            <w:r w:rsidRPr="00A076DA">
              <w:rPr>
                <w:rFonts w:ascii="Tahoma" w:hAnsi="Tahoma" w:cs="Tahoma"/>
                <w:bCs/>
                <w:color w:val="0D0D0D" w:themeColor="text1" w:themeTint="F2"/>
                <w:w w:val="90"/>
                <w:sz w:val="18"/>
                <w:szCs w:val="18"/>
              </w:rPr>
              <w:t>about 10% of all small local authorities, have participated in the Ministry of Interior's Digital Leaders program since its inception in 2017 (69 local authorities out of the 259 – about 27%)</w:t>
            </w:r>
          </w:p>
        </w:tc>
        <w:tc>
          <w:tcPr>
            <w:tcW w:w="144" w:type="pct"/>
          </w:tcPr>
          <w:p w:rsidR="00A40B86" w:rsidRPr="00B662F5" w:rsidP="00A40B86" w14:paraId="2855BDCC" w14:textId="77777777">
            <w:pPr>
              <w:bidi w:val="0"/>
              <w:spacing w:after="100" w:line="240" w:lineRule="auto"/>
              <w:ind w:right="23"/>
              <w:rPr>
                <w:rFonts w:ascii="Tahoma" w:hAnsi="Tahoma" w:cs="Tahoma"/>
                <w:bCs/>
                <w:color w:val="0D0D0D" w:themeColor="text1" w:themeTint="F2"/>
                <w:w w:val="90"/>
                <w:sz w:val="18"/>
                <w:szCs w:val="18"/>
              </w:rPr>
            </w:pPr>
          </w:p>
        </w:tc>
        <w:tc>
          <w:tcPr>
            <w:tcW w:w="1229" w:type="pct"/>
            <w:gridSpan w:val="3"/>
            <w:tcBorders>
              <w:top w:val="single" w:sz="8" w:space="0" w:color="000000"/>
            </w:tcBorders>
          </w:tcPr>
          <w:p w:rsidR="00A40B86" w:rsidRPr="00B662F5" w:rsidP="00A40B86" w14:paraId="7C5F0D74" w14:textId="316E7356">
            <w:pPr>
              <w:bidi w:val="0"/>
              <w:spacing w:after="100" w:line="240" w:lineRule="auto"/>
              <w:ind w:right="23"/>
              <w:rPr>
                <w:rFonts w:ascii="Tahoma" w:hAnsi="Tahoma" w:cs="Tahoma"/>
                <w:bCs/>
                <w:color w:val="0D0D0D" w:themeColor="text1" w:themeTint="F2"/>
                <w:w w:val="90"/>
                <w:sz w:val="18"/>
                <w:szCs w:val="18"/>
              </w:rPr>
            </w:pPr>
            <w:r w:rsidRPr="00A076DA">
              <w:rPr>
                <w:rFonts w:ascii="Tahoma" w:hAnsi="Tahoma" w:cs="Tahoma"/>
                <w:bCs/>
                <w:color w:val="0D0D0D" w:themeColor="text1" w:themeTint="F2"/>
                <w:w w:val="90"/>
                <w:sz w:val="18"/>
                <w:szCs w:val="18"/>
              </w:rPr>
              <w:t xml:space="preserve">were duly registered at the Ministry of Justice by </w:t>
            </w:r>
            <w:r w:rsidRPr="00A40B86">
              <w:rPr>
                <w:rFonts w:ascii="Tahoma" w:hAnsi="Tahoma" w:cs="Tahoma"/>
                <w:b/>
                <w:color w:val="0D0D0D" w:themeColor="text1" w:themeTint="F2"/>
                <w:w w:val="90"/>
                <w:sz w:val="18"/>
                <w:szCs w:val="18"/>
              </w:rPr>
              <w:t>Elyakhin</w:t>
            </w:r>
            <w:r w:rsidRPr="00A076DA">
              <w:rPr>
                <w:rFonts w:ascii="Tahoma" w:hAnsi="Tahoma" w:cs="Tahoma"/>
                <w:bCs/>
                <w:color w:val="0D0D0D" w:themeColor="text1" w:themeTint="F2"/>
                <w:w w:val="90"/>
                <w:sz w:val="18"/>
                <w:szCs w:val="18"/>
              </w:rPr>
              <w:t xml:space="preserve"> and </w:t>
            </w:r>
            <w:r w:rsidRPr="00A40B86">
              <w:rPr>
                <w:rFonts w:ascii="Tahoma" w:hAnsi="Tahoma" w:cs="Tahoma"/>
                <w:b/>
                <w:color w:val="0D0D0D" w:themeColor="text1" w:themeTint="F2"/>
                <w:w w:val="90"/>
                <w:sz w:val="18"/>
                <w:szCs w:val="18"/>
              </w:rPr>
              <w:t>Fureidis</w:t>
            </w:r>
            <w:r w:rsidRPr="00A076DA">
              <w:rPr>
                <w:rFonts w:ascii="Tahoma" w:hAnsi="Tahoma" w:cs="Tahoma"/>
                <w:bCs/>
                <w:color w:val="0D0D0D" w:themeColor="text1" w:themeTint="F2"/>
                <w:w w:val="90"/>
                <w:sz w:val="18"/>
                <w:szCs w:val="18"/>
              </w:rPr>
              <w:t xml:space="preserve"> (they did not even know the nature of the databases they possess)</w:t>
            </w:r>
          </w:p>
        </w:tc>
      </w:tr>
      <w:tr w14:paraId="5B9C6C91" w14:textId="77777777" w:rsidTr="00A40B86">
        <w:tblPrEx>
          <w:tblW w:w="5353" w:type="pct"/>
          <w:tblCellMar>
            <w:left w:w="57" w:type="dxa"/>
            <w:right w:w="57" w:type="dxa"/>
          </w:tblCellMar>
          <w:tblLook w:val="04A0"/>
        </w:tblPrEx>
        <w:tc>
          <w:tcPr>
            <w:tcW w:w="900" w:type="pct"/>
          </w:tcPr>
          <w:p w:rsidR="00941C35" w:rsidRPr="00FF2854" w:rsidP="002A18A0" w14:paraId="12D1B7F9" w14:textId="77777777">
            <w:pPr>
              <w:bidi w:val="0"/>
              <w:spacing w:after="100" w:line="240" w:lineRule="auto"/>
              <w:rPr>
                <w:rFonts w:ascii="Tahoma" w:hAnsi="Tahoma" w:cs="Tahoma"/>
                <w:bCs/>
                <w:color w:val="0D0D0D" w:themeColor="text1" w:themeTint="F2"/>
                <w:w w:val="90"/>
                <w:sz w:val="18"/>
                <w:szCs w:val="18"/>
              </w:rPr>
            </w:pPr>
          </w:p>
        </w:tc>
        <w:tc>
          <w:tcPr>
            <w:tcW w:w="144" w:type="pct"/>
          </w:tcPr>
          <w:p w:rsidR="00941C35" w:rsidRPr="008A5E62" w:rsidP="002A18A0" w14:paraId="128B8634" w14:textId="77777777">
            <w:pPr>
              <w:bidi w:val="0"/>
              <w:spacing w:after="100" w:line="240" w:lineRule="auto"/>
              <w:rPr>
                <w:rFonts w:ascii="Tahoma" w:hAnsi="Tahoma" w:cs="Tahoma"/>
                <w:bCs/>
                <w:color w:val="0D0D0D" w:themeColor="text1" w:themeTint="F2"/>
                <w:w w:val="90"/>
                <w:sz w:val="18"/>
                <w:szCs w:val="18"/>
                <w:rtl/>
              </w:rPr>
            </w:pPr>
          </w:p>
        </w:tc>
        <w:tc>
          <w:tcPr>
            <w:tcW w:w="1003" w:type="pct"/>
          </w:tcPr>
          <w:p w:rsidR="00941C35" w:rsidRPr="00FF2854" w:rsidP="002A18A0" w14:paraId="0DA83BF4" w14:textId="77777777">
            <w:pPr>
              <w:bidi w:val="0"/>
              <w:spacing w:after="100" w:line="240" w:lineRule="auto"/>
              <w:rPr>
                <w:rFonts w:ascii="Tahoma" w:hAnsi="Tahoma" w:cs="Tahoma"/>
                <w:bCs/>
                <w:color w:val="0D0D0D" w:themeColor="text1" w:themeTint="F2"/>
                <w:w w:val="90"/>
                <w:sz w:val="18"/>
                <w:szCs w:val="18"/>
              </w:rPr>
            </w:pPr>
          </w:p>
        </w:tc>
        <w:tc>
          <w:tcPr>
            <w:tcW w:w="144" w:type="pct"/>
          </w:tcPr>
          <w:p w:rsidR="00941C35" w:rsidRPr="008A5E62" w:rsidP="002A18A0" w14:paraId="0A10C8ED" w14:textId="77777777">
            <w:pPr>
              <w:bidi w:val="0"/>
              <w:spacing w:after="100" w:line="240" w:lineRule="auto"/>
              <w:rPr>
                <w:rFonts w:ascii="Tahoma" w:hAnsi="Tahoma" w:cs="Tahoma"/>
                <w:bCs/>
                <w:color w:val="0D0D0D" w:themeColor="text1" w:themeTint="F2"/>
                <w:w w:val="90"/>
                <w:sz w:val="18"/>
                <w:szCs w:val="18"/>
                <w:rtl/>
              </w:rPr>
            </w:pPr>
          </w:p>
        </w:tc>
        <w:tc>
          <w:tcPr>
            <w:tcW w:w="1473" w:type="pct"/>
            <w:gridSpan w:val="3"/>
          </w:tcPr>
          <w:p w:rsidR="00941C35" w:rsidRPr="00FF2854" w:rsidP="002A18A0" w14:paraId="40F8D1F0" w14:textId="77777777">
            <w:pPr>
              <w:bidi w:val="0"/>
              <w:spacing w:after="100" w:line="240" w:lineRule="auto"/>
              <w:ind w:right="23"/>
              <w:rPr>
                <w:rFonts w:ascii="Tahoma" w:hAnsi="Tahoma" w:cs="Tahoma"/>
                <w:bCs/>
                <w:color w:val="0D0D0D" w:themeColor="text1" w:themeTint="F2"/>
                <w:w w:val="90"/>
                <w:sz w:val="18"/>
                <w:szCs w:val="18"/>
              </w:rPr>
            </w:pPr>
          </w:p>
        </w:tc>
        <w:tc>
          <w:tcPr>
            <w:tcW w:w="113" w:type="pct"/>
          </w:tcPr>
          <w:p w:rsidR="00941C35" w:rsidRPr="00B662F5" w:rsidP="002A18A0" w14:paraId="249AB39D" w14:textId="77777777">
            <w:pPr>
              <w:bidi w:val="0"/>
              <w:spacing w:after="100" w:line="240" w:lineRule="auto"/>
              <w:ind w:right="23"/>
              <w:rPr>
                <w:rFonts w:ascii="Tahoma" w:hAnsi="Tahoma" w:cs="Tahoma"/>
                <w:bCs/>
                <w:color w:val="0D0D0D" w:themeColor="text1" w:themeTint="F2"/>
                <w:w w:val="90"/>
                <w:sz w:val="18"/>
                <w:szCs w:val="18"/>
              </w:rPr>
            </w:pPr>
          </w:p>
        </w:tc>
        <w:tc>
          <w:tcPr>
            <w:tcW w:w="1223" w:type="pct"/>
            <w:gridSpan w:val="2"/>
          </w:tcPr>
          <w:p w:rsidR="00941C35" w:rsidRPr="00FF2854" w:rsidP="002A18A0" w14:paraId="5DE95631" w14:textId="77777777">
            <w:pPr>
              <w:bidi w:val="0"/>
              <w:spacing w:after="100" w:line="240" w:lineRule="auto"/>
              <w:ind w:right="23"/>
              <w:rPr>
                <w:rFonts w:ascii="Tahoma" w:hAnsi="Tahoma" w:cs="Tahoma"/>
                <w:bCs/>
                <w:color w:val="0D0D0D" w:themeColor="text1" w:themeTint="F2"/>
                <w:w w:val="90"/>
                <w:sz w:val="18"/>
                <w:szCs w:val="18"/>
              </w:rPr>
            </w:pPr>
          </w:p>
        </w:tc>
      </w:tr>
    </w:tbl>
    <w:p w:rsidR="002A18A0" w14:paraId="5146DA0D" w14:textId="77777777">
      <w:pPr>
        <w:bidi w:val="0"/>
        <w:rPr>
          <w:rFonts w:ascii="Tahoma" w:hAnsi="Tahoma" w:cs="Tahoma"/>
          <w:b/>
          <w:bCs/>
          <w:color w:val="00305F"/>
          <w:sz w:val="32"/>
          <w:szCs w:val="32"/>
        </w:rPr>
      </w:pPr>
      <w:bookmarkStart w:id="6" w:name="_Hlk62029958"/>
      <w:r>
        <w:rPr>
          <w:rFonts w:ascii="Tahoma" w:hAnsi="Tahoma" w:cs="Tahoma"/>
          <w:b/>
          <w:bCs/>
          <w:color w:val="00305F"/>
          <w:sz w:val="32"/>
          <w:szCs w:val="32"/>
        </w:rPr>
        <w:br w:type="page"/>
      </w:r>
    </w:p>
    <w:p w:rsidR="001E44CF" w:rsidP="009661D6" w14:paraId="5BE35871" w14:textId="6DAAECAF">
      <w:pPr>
        <w:bidi w:val="0"/>
        <w:spacing w:before="120" w:after="180" w:line="240" w:lineRule="atLeast"/>
        <w:rPr>
          <w:rFonts w:ascii="Tahoma" w:hAnsi="Tahoma" w:cs="Tahoma"/>
          <w:b/>
          <w:bCs/>
          <w:color w:val="00305F"/>
          <w:sz w:val="32"/>
          <w:szCs w:val="32"/>
        </w:rPr>
      </w:pPr>
      <w:r>
        <w:rPr>
          <w:rFonts w:ascii="Tahoma" w:hAnsi="Tahoma" w:cs="Tahoma"/>
          <w:b/>
          <w:bCs/>
          <w:noProof/>
          <w:color w:val="003364"/>
          <w:w w:val="90"/>
          <w:sz w:val="32"/>
          <w:szCs w:val="32"/>
        </w:rPr>
        <w:drawing>
          <wp:inline distT="0" distB="0" distL="0" distR="0">
            <wp:extent cx="4679950" cy="4572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1E44CF" w14:paraId="62E9D9E2" w14:textId="41DAC4C1">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 xml:space="preserve">Audit </w:t>
      </w:r>
      <w:r w:rsidR="004806D7">
        <w:rPr>
          <w:rFonts w:ascii="Tahoma" w:hAnsi="Tahoma" w:cs="Tahoma"/>
          <w:b/>
          <w:bCs/>
          <w:color w:val="00305F"/>
          <w:sz w:val="32"/>
          <w:szCs w:val="32"/>
        </w:rPr>
        <w:t>A</w:t>
      </w:r>
      <w:r w:rsidRPr="00AE5F94">
        <w:rPr>
          <w:rFonts w:ascii="Tahoma" w:hAnsi="Tahoma" w:cs="Tahoma"/>
          <w:b/>
          <w:bCs/>
          <w:color w:val="00305F"/>
          <w:sz w:val="32"/>
          <w:szCs w:val="32"/>
        </w:rPr>
        <w:t>ctions</w:t>
      </w:r>
    </w:p>
    <w:bookmarkEnd w:id="6"/>
    <w:p w:rsidR="00A73A45" w:rsidRPr="00A40B86" w:rsidP="00A40B86" w14:paraId="602B8997" w14:textId="3CB3FFA7">
      <w:pPr>
        <w:pStyle w:val="719"/>
        <w:bidi w:val="0"/>
        <w:ind w:left="397"/>
      </w:pPr>
      <w:r w:rsidRPr="00A40B86">
        <w:rPr>
          <w:noProof/>
        </w:rPr>
        <w:drawing>
          <wp:anchor distT="0" distB="0" distL="0" distR="0" simplePos="0" relativeHeight="251687936" behindDoc="1" locked="0" layoutInCell="1" allowOverlap="1">
            <wp:simplePos x="0" y="0"/>
            <wp:positionH relativeFrom="margin">
              <wp:posOffset>0</wp:posOffset>
            </wp:positionH>
            <wp:positionV relativeFrom="margin">
              <wp:posOffset>633730</wp:posOffset>
            </wp:positionV>
            <wp:extent cx="161925" cy="177800"/>
            <wp:effectExtent l="0" t="0" r="3175" b="0"/>
            <wp:wrapTight wrapText="bothSides">
              <wp:wrapPolygon>
                <wp:start x="0" y="0"/>
                <wp:lineTo x="0" y="16971"/>
                <wp:lineTo x="11859" y="20057"/>
                <wp:lineTo x="20329" y="20057"/>
                <wp:lineTo x="20329" y="10800"/>
                <wp:lineTo x="16941" y="0"/>
                <wp:lineTo x="0" y="0"/>
              </wp:wrapPolygon>
            </wp:wrapTight>
            <wp:docPr id="21" name="תמונה 33"/>
            <wp:cNvGraphicFramePr/>
            <a:graphic xmlns:a="http://schemas.openxmlformats.org/drawingml/2006/main">
              <a:graphicData uri="http://schemas.openxmlformats.org/drawingml/2006/picture">
                <pic:pic xmlns:pic="http://schemas.openxmlformats.org/drawingml/2006/picture">
                  <pic:nvPicPr>
                    <pic:cNvPr id="21"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B86" w:rsidR="00A40B86">
        <w:t xml:space="preserve">From January to December 2023, the State Comptroller's Office examined the handling of computerization in small local authorities with up to 15,000 residents, including the local authorities' expenses in this field and their ways of protecting the systems and the information collected within their jurisdiction. The audit was conducted in six small local authorities: </w:t>
      </w:r>
      <w:r w:rsidRPr="00A40B86" w:rsidR="00A40B86">
        <w:rPr>
          <w:b/>
          <w:bCs/>
        </w:rPr>
        <w:t>Elyakhin</w:t>
      </w:r>
      <w:r w:rsidRPr="00A40B86" w:rsidR="00A40B86">
        <w:t xml:space="preserve">, </w:t>
      </w:r>
      <w:r w:rsidRPr="00A40B86" w:rsidR="00A40B86">
        <w:rPr>
          <w:b/>
          <w:bCs/>
        </w:rPr>
        <w:t>Beit</w:t>
      </w:r>
      <w:r w:rsidRPr="00A40B86" w:rsidR="00A40B86">
        <w:t xml:space="preserve"> </w:t>
      </w:r>
      <w:r w:rsidRPr="00A40B86" w:rsidR="00A40B86">
        <w:rPr>
          <w:b/>
          <w:bCs/>
        </w:rPr>
        <w:t>Dagan</w:t>
      </w:r>
      <w:r w:rsidRPr="00A40B86" w:rsidR="00A40B86">
        <w:t xml:space="preserve">, </w:t>
      </w:r>
      <w:r w:rsidRPr="00A40B86" w:rsidR="00A40B86">
        <w:rPr>
          <w:b/>
          <w:bCs/>
        </w:rPr>
        <w:t>Jaljulia</w:t>
      </w:r>
      <w:r w:rsidRPr="00A40B86" w:rsidR="00A40B86">
        <w:t xml:space="preserve">, </w:t>
      </w:r>
      <w:r w:rsidRPr="00A40B86" w:rsidR="00A40B86">
        <w:rPr>
          <w:b/>
          <w:bCs/>
        </w:rPr>
        <w:t>Fureidis</w:t>
      </w:r>
      <w:r w:rsidRPr="00A40B86" w:rsidR="00A40B86">
        <w:t xml:space="preserve">, </w:t>
      </w:r>
      <w:r w:rsidRPr="00A40B86" w:rsidR="00A40B86">
        <w:rPr>
          <w:b/>
          <w:bCs/>
        </w:rPr>
        <w:t>Kiryat</w:t>
      </w:r>
      <w:r w:rsidRPr="00A40B86" w:rsidR="00A40B86">
        <w:t xml:space="preserve"> </w:t>
      </w:r>
      <w:r w:rsidRPr="00A40B86" w:rsidR="00A40B86">
        <w:rPr>
          <w:b/>
          <w:bCs/>
        </w:rPr>
        <w:t>Ye'arim</w:t>
      </w:r>
      <w:r w:rsidRPr="00A40B86" w:rsidR="00A40B86">
        <w:t xml:space="preserve">, and the </w:t>
      </w:r>
      <w:r w:rsidRPr="00A40B86" w:rsidR="00A40B86">
        <w:rPr>
          <w:b/>
          <w:bCs/>
        </w:rPr>
        <w:t>Merhavim</w:t>
      </w:r>
      <w:r>
        <w:rPr>
          <w:rStyle w:val="FootnoteReference1"/>
        </w:rPr>
        <w:footnoteReference w:id="4"/>
      </w:r>
      <w:r w:rsidRPr="00A40B86" w:rsidR="00A40B86">
        <w:t xml:space="preserve"> </w:t>
      </w:r>
      <w:r w:rsidR="00B40E9F">
        <w:t>r</w:t>
      </w:r>
      <w:r w:rsidRPr="00A40B86" w:rsidR="00A40B86">
        <w:t xml:space="preserve">egional </w:t>
      </w:r>
      <w:r w:rsidR="00B40E9F">
        <w:t>c</w:t>
      </w:r>
      <w:r w:rsidRPr="00A40B86" w:rsidR="00A40B86">
        <w:t>ouncil (the examined local authorities). Completion examinations were carried out at the Ministry of Interior</w:t>
      </w:r>
      <w:r w:rsidRPr="00A40B86" w:rsidR="00FF2854">
        <w:t>.</w:t>
      </w:r>
    </w:p>
    <w:p w:rsidR="000A1D75" w:rsidP="00B56681" w14:paraId="44F553C6" w14:textId="6D5C69C9">
      <w:pPr>
        <w:keepNext/>
        <w:keepLines/>
        <w:bidi w:val="0"/>
        <w:spacing w:before="60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P="009661D6" w14:paraId="129BA907" w14:textId="147575D3">
      <w:pPr>
        <w:keepNext/>
        <w:keepLines/>
        <w:bidi w:val="0"/>
        <w:spacing w:before="120" w:after="180" w:line="240" w:lineRule="atLeast"/>
        <w:rPr>
          <w:rFonts w:ascii="Tahoma" w:hAnsi="Tahoma" w:cs="Tahoma"/>
          <w:b/>
          <w:bCs/>
          <w:color w:val="00305F"/>
          <w:sz w:val="32"/>
          <w:szCs w:val="32"/>
          <w:rtl/>
        </w:rPr>
      </w:pPr>
      <w:bookmarkStart w:id="7" w:name="_Hlk62030689"/>
      <w:r w:rsidRPr="00AE5F94">
        <w:rPr>
          <w:rFonts w:ascii="Tahoma" w:hAnsi="Tahoma" w:cs="Tahoma"/>
          <w:b/>
          <w:bCs/>
          <w:color w:val="00305F"/>
          <w:sz w:val="32"/>
          <w:szCs w:val="32"/>
        </w:rPr>
        <w:t xml:space="preserve">Key </w:t>
      </w:r>
      <w:r w:rsidR="004806D7">
        <w:rPr>
          <w:rFonts w:ascii="Tahoma" w:hAnsi="Tahoma" w:cs="Tahoma"/>
          <w:b/>
          <w:bCs/>
          <w:color w:val="00305F"/>
          <w:sz w:val="32"/>
          <w:szCs w:val="32"/>
        </w:rPr>
        <w:t>F</w:t>
      </w:r>
      <w:r w:rsidRPr="00AE5F94">
        <w:rPr>
          <w:rFonts w:ascii="Tahoma" w:hAnsi="Tahoma" w:cs="Tahoma"/>
          <w:b/>
          <w:bCs/>
          <w:color w:val="00305F"/>
          <w:sz w:val="32"/>
          <w:szCs w:val="32"/>
        </w:rPr>
        <w:t>indings</w:t>
      </w:r>
    </w:p>
    <w:p w:rsidR="00BD3044" w:rsidRPr="00BD3044" w:rsidP="00BD3044" w14:paraId="007359CF" w14:textId="2DF255FA">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673600"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bookmarkEnd w:id="7"/>
    <w:p w:rsidR="00EA3DAD" w:rsidP="00837C74" w14:paraId="6867AAEC" w14:textId="6607AD96">
      <w:pPr>
        <w:pStyle w:val="7191"/>
        <w:bidi w:val="0"/>
        <w:spacing w:before="180"/>
        <w:ind w:left="397"/>
      </w:pPr>
      <w:r w:rsidRPr="002C3F71">
        <w:rPr>
          <w:rFonts w:hint="cs"/>
          <w:b/>
          <w:bCs/>
          <w:noProof/>
          <w:rtl/>
        </w:rPr>
        <w:drawing>
          <wp:anchor distT="0" distB="0" distL="0" distR="0" simplePos="0" relativeHeight="25167462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3F71" w:rsidR="00A40B86">
        <w:rPr>
          <w:b/>
          <w:bCs/>
          <w:noProof/>
        </w:rPr>
        <w:t>Regulating the Computing Field in Local Authorities –</w:t>
      </w:r>
      <w:r w:rsidRPr="00A076DA" w:rsidR="00A40B86">
        <w:rPr>
          <w:noProof/>
        </w:rPr>
        <w:t xml:space="preserve"> the computing field in local authorities is not regulated. The Ministry of Interior has not published mandatory guidelines for local authorities and has not defined a standard for the level of computing therein; therefore, each local authority operates at its discretion. This is despite the comparative research recommendation to standardize digital services as a key goal and despite the State Comptroller's previous reports in 2021 and 2022 stating that local authorities lack a leading, coordinating, or representing body in digitization, both concerning the promotion of digitization among them and reducing the gaps between them in this area, as well as regarding the digitization of their work interfaces with the central government, and concerning data security and protection against cyber threats</w:t>
      </w:r>
      <w:r w:rsidRPr="00D12832">
        <w:t>.</w:t>
      </w:r>
    </w:p>
    <w:p w:rsidR="00D12832" w:rsidRPr="00D12832" w:rsidP="00837C74" w14:paraId="2E8C0936" w14:textId="1822D115">
      <w:pPr>
        <w:pStyle w:val="7191"/>
        <w:bidi w:val="0"/>
        <w:spacing w:before="180"/>
        <w:ind w:left="397"/>
      </w:pPr>
      <w:r w:rsidRPr="002C3F71">
        <w:rPr>
          <w:rFonts w:hint="cs"/>
          <w:b/>
          <w:bCs/>
          <w:noProof/>
          <w:rtl/>
        </w:rPr>
        <w:drawing>
          <wp:anchor distT="0" distB="0" distL="0" distR="0" simplePos="0" relativeHeight="251688960"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34168750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87503"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3F71" w:rsidR="00A40B86">
        <w:rPr>
          <w:b/>
          <w:bCs/>
          <w:noProof/>
        </w:rPr>
        <w:t xml:space="preserve">Mapping Digitization in Local Authorities </w:t>
      </w:r>
      <w:bookmarkStart w:id="8" w:name="_Hlk181180528"/>
      <w:r w:rsidRPr="002C3F71" w:rsidR="00A40B86">
        <w:rPr>
          <w:b/>
          <w:bCs/>
          <w:noProof/>
        </w:rPr>
        <w:t>–</w:t>
      </w:r>
      <w:bookmarkEnd w:id="8"/>
      <w:r w:rsidRPr="00A076DA" w:rsidR="00A40B86">
        <w:rPr>
          <w:noProof/>
        </w:rPr>
        <w:t xml:space="preserve"> although the Ministry of Interior guidelines from 2018–2019 clarify that the first stage in the digital transformation</w:t>
      </w:r>
      <w:r>
        <w:rPr>
          <w:noProof/>
        </w:rPr>
        <w:footnoteReference w:id="5"/>
      </w:r>
      <w:r w:rsidRPr="00A076DA" w:rsidR="00A40B86">
        <w:rPr>
          <w:noProof/>
        </w:rPr>
        <w:t xml:space="preserve"> process should be based on mapping the current digital situation in the local authority, it was found that other than two mapping attempts made by the Ministry of Interior in 2020 and 2021, no government body and not even the Federation of Local Authorities in Israel has a clear picture regarding the existing information systems in local authorities, </w:t>
      </w:r>
      <w:r w:rsidRPr="00A076DA" w:rsidR="00A40B86">
        <w:rPr>
          <w:noProof/>
        </w:rPr>
        <w:t>software and hardware infrastructures, channels of inquiry and their information, or online service array</w:t>
      </w:r>
      <w:r w:rsidRPr="00D12832">
        <w:t>.</w:t>
      </w:r>
    </w:p>
    <w:p w:rsidR="00D12832" w:rsidRPr="00D12832" w:rsidP="00837C74" w14:paraId="6748FEEA" w14:textId="488DA1FF">
      <w:pPr>
        <w:pStyle w:val="7191"/>
        <w:bidi w:val="0"/>
        <w:spacing w:before="180"/>
        <w:ind w:left="397"/>
      </w:pPr>
      <w:r w:rsidRPr="002C3F71">
        <w:rPr>
          <w:rFonts w:hint="cs"/>
          <w:b/>
          <w:bCs/>
          <w:noProof/>
          <w:rtl/>
        </w:rPr>
        <w:drawing>
          <wp:anchor distT="0" distB="0" distL="0" distR="0" simplePos="0" relativeHeight="25168998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5253067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679"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3F71" w:rsidR="00A40B86">
        <w:rPr>
          <w:b/>
          <w:bCs/>
          <w:noProof/>
        </w:rPr>
        <w:t>Planning the Digitization in Local Authorities –</w:t>
      </w:r>
      <w:r w:rsidRPr="00A076DA" w:rsidR="00A40B86">
        <w:rPr>
          <w:noProof/>
        </w:rPr>
        <w:t xml:space="preserve"> despite the Ministry of Interior's recommendations to promote digital transformation in the local authority, each local authority should map the existing situation and prepare master and work plans. The local authorities of </w:t>
      </w:r>
      <w:r w:rsidRPr="002C3F71" w:rsidR="00A40B86">
        <w:rPr>
          <w:b/>
          <w:bCs/>
          <w:noProof/>
        </w:rPr>
        <w:t>Elyakhin</w:t>
      </w:r>
      <w:r w:rsidRPr="00A076DA" w:rsidR="00A40B86">
        <w:rPr>
          <w:noProof/>
        </w:rPr>
        <w:t xml:space="preserve">, </w:t>
      </w:r>
      <w:r w:rsidRPr="002C3F71" w:rsidR="00A40B86">
        <w:rPr>
          <w:b/>
          <w:bCs/>
          <w:noProof/>
        </w:rPr>
        <w:t>Beit Dagan</w:t>
      </w:r>
      <w:r w:rsidRPr="00A076DA" w:rsidR="00A40B86">
        <w:rPr>
          <w:noProof/>
        </w:rPr>
        <w:t xml:space="preserve">, </w:t>
      </w:r>
      <w:r w:rsidRPr="002C3F71" w:rsidR="00A40B86">
        <w:rPr>
          <w:b/>
          <w:bCs/>
          <w:noProof/>
        </w:rPr>
        <w:t>Fureidis</w:t>
      </w:r>
      <w:r w:rsidRPr="00A076DA" w:rsidR="00A40B86">
        <w:rPr>
          <w:noProof/>
        </w:rPr>
        <w:t xml:space="preserve">, and </w:t>
      </w:r>
      <w:r w:rsidRPr="002C3F71" w:rsidR="00A40B86">
        <w:rPr>
          <w:b/>
          <w:bCs/>
          <w:noProof/>
        </w:rPr>
        <w:t>Kiryat Ye'arim</w:t>
      </w:r>
      <w:r w:rsidRPr="00A076DA" w:rsidR="00A40B86">
        <w:rPr>
          <w:noProof/>
        </w:rPr>
        <w:t xml:space="preserve"> have not mapped the information systems and computing infrastructures, and </w:t>
      </w:r>
      <w:r w:rsidRPr="002C3F71" w:rsidR="00A40B86">
        <w:rPr>
          <w:b/>
          <w:bCs/>
          <w:noProof/>
        </w:rPr>
        <w:t>Elyakhin</w:t>
      </w:r>
      <w:r w:rsidRPr="00A076DA" w:rsidR="00A40B86">
        <w:rPr>
          <w:noProof/>
        </w:rPr>
        <w:t xml:space="preserve">, </w:t>
      </w:r>
      <w:r w:rsidRPr="002C3F71" w:rsidR="00A40B86">
        <w:rPr>
          <w:b/>
          <w:bCs/>
          <w:noProof/>
        </w:rPr>
        <w:t>Fureidis</w:t>
      </w:r>
      <w:r w:rsidRPr="00A076DA" w:rsidR="00A40B86">
        <w:rPr>
          <w:noProof/>
        </w:rPr>
        <w:t xml:space="preserve">, and </w:t>
      </w:r>
      <w:r w:rsidRPr="002C3F71" w:rsidR="00A40B86">
        <w:rPr>
          <w:b/>
          <w:bCs/>
          <w:noProof/>
        </w:rPr>
        <w:t>Kiryat Ye'arim</w:t>
      </w:r>
      <w:r w:rsidRPr="00A076DA" w:rsidR="00A40B86">
        <w:rPr>
          <w:noProof/>
        </w:rPr>
        <w:t xml:space="preserve">, have no inventory list of their end-user stations; The examined local authorities (except for </w:t>
      </w:r>
      <w:r w:rsidRPr="002C3F71" w:rsidR="00A40B86">
        <w:rPr>
          <w:b/>
          <w:bCs/>
          <w:noProof/>
        </w:rPr>
        <w:t>Jaljulia</w:t>
      </w:r>
      <w:r w:rsidRPr="00A076DA" w:rsidR="00A40B86">
        <w:rPr>
          <w:noProof/>
        </w:rPr>
        <w:t>) have not developed a master plan or strategy for the digital promotion of the authority, and therefore the decision-making regarding the acquisition of systems in these authorities is not based on a work plan and prioritization</w:t>
      </w:r>
      <w:r w:rsidRPr="00D12832">
        <w:t>.</w:t>
      </w:r>
    </w:p>
    <w:p w:rsidR="00D12832" w:rsidRPr="00D12832" w:rsidP="00837C74" w14:paraId="2EE4E33B" w14:textId="62BF2374">
      <w:pPr>
        <w:pStyle w:val="7191"/>
        <w:bidi w:val="0"/>
        <w:spacing w:before="180"/>
        <w:ind w:left="397"/>
      </w:pPr>
      <w:r w:rsidRPr="002C3F71">
        <w:rPr>
          <w:rFonts w:hint="cs"/>
          <w:b/>
          <w:bCs/>
          <w:noProof/>
          <w:rtl/>
        </w:rPr>
        <w:drawing>
          <wp:anchor distT="0" distB="0" distL="0" distR="0" simplePos="0" relativeHeight="251691008"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35719256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256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3F71" w:rsidR="00A40B86">
        <w:rPr>
          <w:b/>
          <w:bCs/>
          <w:noProof/>
        </w:rPr>
        <w:t>Personnel –</w:t>
      </w:r>
      <w:r w:rsidRPr="00A076DA" w:rsidR="00A40B86">
        <w:rPr>
          <w:noProof/>
        </w:rPr>
        <w:t xml:space="preserve"> as of July 2023, about 80 out of 259 local authorities employ Chief Information Systems Officers (CIOs), with around 30 being outsourced. Regional CIOs were established in 5 of the 12 regional clusters. None of the examined local authorities – </w:t>
      </w:r>
      <w:r w:rsidRPr="002C3F71" w:rsidR="00A40B86">
        <w:rPr>
          <w:b/>
          <w:bCs/>
          <w:noProof/>
        </w:rPr>
        <w:t>Elyakhin</w:t>
      </w:r>
      <w:r w:rsidRPr="00A076DA" w:rsidR="00A40B86">
        <w:rPr>
          <w:noProof/>
        </w:rPr>
        <w:t xml:space="preserve">, </w:t>
      </w:r>
      <w:r w:rsidRPr="002C3F71" w:rsidR="00A40B86">
        <w:rPr>
          <w:b/>
          <w:bCs/>
          <w:noProof/>
        </w:rPr>
        <w:t>Beit Dagan</w:t>
      </w:r>
      <w:r w:rsidRPr="00A076DA" w:rsidR="00A40B86">
        <w:rPr>
          <w:noProof/>
        </w:rPr>
        <w:t xml:space="preserve">, </w:t>
      </w:r>
      <w:r w:rsidRPr="002C3F71" w:rsidR="00A40B86">
        <w:rPr>
          <w:b/>
          <w:bCs/>
          <w:noProof/>
        </w:rPr>
        <w:t>Jaljulia</w:t>
      </w:r>
      <w:r w:rsidRPr="00A076DA" w:rsidR="00A40B86">
        <w:rPr>
          <w:noProof/>
        </w:rPr>
        <w:t xml:space="preserve">, </w:t>
      </w:r>
      <w:r w:rsidRPr="002C3F71" w:rsidR="00A40B86">
        <w:rPr>
          <w:b/>
          <w:bCs/>
          <w:noProof/>
        </w:rPr>
        <w:t>Merhavim</w:t>
      </w:r>
      <w:r w:rsidRPr="00A076DA" w:rsidR="00A40B86">
        <w:rPr>
          <w:noProof/>
        </w:rPr>
        <w:t xml:space="preserve">, </w:t>
      </w:r>
      <w:r w:rsidRPr="002C3F71" w:rsidR="00A40B86">
        <w:rPr>
          <w:b/>
          <w:bCs/>
          <w:noProof/>
        </w:rPr>
        <w:t>Fureidis</w:t>
      </w:r>
      <w:r w:rsidRPr="00A076DA" w:rsidR="00A40B86">
        <w:rPr>
          <w:noProof/>
        </w:rPr>
        <w:t xml:space="preserve">, and </w:t>
      </w:r>
      <w:r w:rsidRPr="002C3F71" w:rsidR="00A40B86">
        <w:rPr>
          <w:b/>
          <w:bCs/>
          <w:noProof/>
        </w:rPr>
        <w:t>Kiryat Ye'arim</w:t>
      </w:r>
      <w:r w:rsidRPr="00A076DA" w:rsidR="00A40B86">
        <w:rPr>
          <w:noProof/>
        </w:rPr>
        <w:t xml:space="preserve"> – employ a CIO as a member of the local authority staff</w:t>
      </w:r>
      <w:r w:rsidRPr="00D12832">
        <w:t>.</w:t>
      </w:r>
    </w:p>
    <w:p w:rsidR="00D12832" w:rsidRPr="00D12832" w:rsidP="00837C74" w14:paraId="17B4BF12" w14:textId="49AE02A5">
      <w:pPr>
        <w:pStyle w:val="7191"/>
        <w:bidi w:val="0"/>
        <w:spacing w:before="180"/>
        <w:ind w:left="397"/>
      </w:pPr>
      <w:r w:rsidRPr="002C3F71">
        <w:rPr>
          <w:rFonts w:hint="cs"/>
          <w:b/>
          <w:bCs/>
          <w:noProof/>
          <w:rtl/>
        </w:rPr>
        <w:drawing>
          <wp:anchor distT="0" distB="0" distL="0" distR="0" simplePos="0" relativeHeight="251692032"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7368575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5758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3F71" w:rsidR="00A40B86">
        <w:rPr>
          <w:b/>
          <w:bCs/>
          <w:noProof/>
        </w:rPr>
        <w:t>Development and Training of Digital Human Capital –</w:t>
      </w:r>
      <w:r w:rsidRPr="00A076DA" w:rsidR="00A40B86">
        <w:rPr>
          <w:noProof/>
        </w:rPr>
        <w:t xml:space="preserve"> representatives from about 27% of local authorities participated in the "Digital Leaders" program over its six-year duration, including 12 small authorities with under 15,000 residents. None of the examined local authorities – </w:t>
      </w:r>
      <w:r w:rsidRPr="002C3F71" w:rsidR="00A40B86">
        <w:rPr>
          <w:b/>
          <w:bCs/>
          <w:noProof/>
        </w:rPr>
        <w:t>Elyakhin</w:t>
      </w:r>
      <w:r w:rsidRPr="00A076DA" w:rsidR="00A40B86">
        <w:rPr>
          <w:noProof/>
        </w:rPr>
        <w:t xml:space="preserve">, </w:t>
      </w:r>
      <w:r w:rsidRPr="002C3F71" w:rsidR="00A40B86">
        <w:rPr>
          <w:b/>
          <w:bCs/>
          <w:noProof/>
        </w:rPr>
        <w:t>Beit Dagan</w:t>
      </w:r>
      <w:r w:rsidRPr="00A076DA" w:rsidR="00A40B86">
        <w:rPr>
          <w:noProof/>
        </w:rPr>
        <w:t xml:space="preserve">, </w:t>
      </w:r>
      <w:r w:rsidRPr="002C3F71" w:rsidR="00A40B86">
        <w:rPr>
          <w:b/>
          <w:bCs/>
          <w:noProof/>
        </w:rPr>
        <w:t>Jaljulia</w:t>
      </w:r>
      <w:r w:rsidRPr="00A076DA" w:rsidR="00A40B86">
        <w:rPr>
          <w:noProof/>
        </w:rPr>
        <w:t xml:space="preserve">, </w:t>
      </w:r>
      <w:r w:rsidRPr="002C3F71" w:rsidR="00A40B86">
        <w:rPr>
          <w:b/>
          <w:bCs/>
          <w:noProof/>
        </w:rPr>
        <w:t>Merhavim</w:t>
      </w:r>
      <w:r w:rsidRPr="00A076DA" w:rsidR="00A40B86">
        <w:rPr>
          <w:noProof/>
        </w:rPr>
        <w:t xml:space="preserve">, </w:t>
      </w:r>
      <w:r w:rsidRPr="002C3F71" w:rsidR="00A40B86">
        <w:rPr>
          <w:b/>
          <w:bCs/>
          <w:noProof/>
        </w:rPr>
        <w:t>Fureidis</w:t>
      </w:r>
      <w:r w:rsidRPr="00A076DA" w:rsidR="00A40B86">
        <w:rPr>
          <w:noProof/>
        </w:rPr>
        <w:t xml:space="preserve">, and </w:t>
      </w:r>
      <w:r w:rsidRPr="002C3F71" w:rsidR="00A40B86">
        <w:rPr>
          <w:b/>
          <w:bCs/>
          <w:noProof/>
        </w:rPr>
        <w:t>Kiryat Ye'arim</w:t>
      </w:r>
      <w:r w:rsidRPr="00A076DA" w:rsidR="00A40B86">
        <w:rPr>
          <w:noProof/>
        </w:rPr>
        <w:t xml:space="preserve"> – have trained officials within the "Digital Leaders" program</w:t>
      </w:r>
      <w:r w:rsidRPr="00D12832">
        <w:t>.</w:t>
      </w:r>
    </w:p>
    <w:p w:rsidR="00D12832" w:rsidRPr="00D12832" w:rsidP="00837C74" w14:paraId="18CA7A28" w14:textId="781974ED">
      <w:pPr>
        <w:pStyle w:val="7191"/>
        <w:bidi w:val="0"/>
        <w:spacing w:before="180"/>
        <w:ind w:left="397"/>
      </w:pPr>
      <w:r w:rsidRPr="002C3F71">
        <w:rPr>
          <w:rFonts w:hint="cs"/>
          <w:b/>
          <w:bCs/>
          <w:noProof/>
          <w:rtl/>
        </w:rPr>
        <w:drawing>
          <wp:anchor distT="0" distB="0" distL="0" distR="0" simplePos="0" relativeHeight="251693056"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3001559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55946"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3F71" w:rsidR="00A40B86">
        <w:rPr>
          <w:b/>
          <w:bCs/>
          <w:noProof/>
        </w:rPr>
        <w:t xml:space="preserve">Computerized </w:t>
      </w:r>
      <w:r w:rsidRPr="002C3F71" w:rsidR="00A40B86">
        <w:rPr>
          <w:rFonts w:hint="cs"/>
          <w:b/>
          <w:bCs/>
          <w:noProof/>
        </w:rPr>
        <w:t>S</w:t>
      </w:r>
      <w:r w:rsidRPr="002C3F71" w:rsidR="00A40B86">
        <w:rPr>
          <w:b/>
          <w:bCs/>
          <w:noProof/>
        </w:rPr>
        <w:t>ystems in Use by the Examined Small Local Authorities –</w:t>
      </w:r>
      <w:r w:rsidRPr="00A076DA" w:rsidR="00A40B86">
        <w:rPr>
          <w:noProof/>
        </w:rPr>
        <w:t xml:space="preserve"> the Ministry of Interior and the National Digital Agency have not determined a recommended system for local authority management; hence, each authority was obligated to select its systems independently. </w:t>
      </w:r>
      <w:r w:rsidRPr="002C3F71" w:rsidR="00A40B86">
        <w:rPr>
          <w:b/>
          <w:bCs/>
          <w:noProof/>
        </w:rPr>
        <w:t>Fureidis</w:t>
      </w:r>
      <w:r w:rsidRPr="00A076DA" w:rsidR="00A40B86">
        <w:rPr>
          <w:noProof/>
        </w:rPr>
        <w:t xml:space="preserve"> does not have a Local Area Network (LAN). </w:t>
      </w:r>
      <w:r w:rsidRPr="002C3F71" w:rsidR="00A40B86">
        <w:rPr>
          <w:b/>
          <w:bCs/>
          <w:noProof/>
        </w:rPr>
        <w:t>Elyakhin</w:t>
      </w:r>
      <w:r w:rsidRPr="00A076DA" w:rsidR="00A40B86">
        <w:rPr>
          <w:noProof/>
        </w:rPr>
        <w:t xml:space="preserve">, </w:t>
      </w:r>
      <w:r w:rsidRPr="002C3F71" w:rsidR="00A40B86">
        <w:rPr>
          <w:b/>
          <w:bCs/>
          <w:noProof/>
        </w:rPr>
        <w:t>Fureidis</w:t>
      </w:r>
      <w:r w:rsidRPr="00A076DA" w:rsidR="00A40B86">
        <w:rPr>
          <w:noProof/>
        </w:rPr>
        <w:t xml:space="preserve">, and the </w:t>
      </w:r>
      <w:r w:rsidRPr="002C3F71" w:rsidR="00A40B86">
        <w:rPr>
          <w:b/>
          <w:bCs/>
          <w:noProof/>
        </w:rPr>
        <w:t>Merhavim</w:t>
      </w:r>
      <w:r w:rsidRPr="00A076DA" w:rsidR="00A40B86">
        <w:rPr>
          <w:noProof/>
        </w:rPr>
        <w:t xml:space="preserve"> Regional Council do not utilize the Geographic Information System (GIS). </w:t>
      </w:r>
      <w:r w:rsidRPr="002C3F71" w:rsidR="00A40B86">
        <w:rPr>
          <w:b/>
          <w:bCs/>
          <w:noProof/>
        </w:rPr>
        <w:t>Elyakhin</w:t>
      </w:r>
      <w:r w:rsidRPr="00A076DA" w:rsidR="00A40B86">
        <w:rPr>
          <w:noProof/>
        </w:rPr>
        <w:t xml:space="preserve">, </w:t>
      </w:r>
      <w:r w:rsidRPr="002C3F71" w:rsidR="00A40B86">
        <w:rPr>
          <w:b/>
          <w:bCs/>
          <w:noProof/>
        </w:rPr>
        <w:t>Beit Dagan</w:t>
      </w:r>
      <w:r w:rsidRPr="00A076DA" w:rsidR="00A40B86">
        <w:rPr>
          <w:noProof/>
        </w:rPr>
        <w:t xml:space="preserve">, </w:t>
      </w:r>
      <w:r w:rsidRPr="002C3F71" w:rsidR="00A40B86">
        <w:rPr>
          <w:b/>
          <w:bCs/>
          <w:noProof/>
        </w:rPr>
        <w:t>Fureidis</w:t>
      </w:r>
      <w:r w:rsidRPr="00A076DA" w:rsidR="00A40B86">
        <w:rPr>
          <w:noProof/>
        </w:rPr>
        <w:t xml:space="preserve">, and </w:t>
      </w:r>
      <w:r w:rsidRPr="002C3F71" w:rsidR="00A40B86">
        <w:rPr>
          <w:b/>
          <w:bCs/>
          <w:noProof/>
        </w:rPr>
        <w:t>Merhavim</w:t>
      </w:r>
      <w:r w:rsidRPr="00A076DA" w:rsidR="00A40B86">
        <w:rPr>
          <w:noProof/>
        </w:rPr>
        <w:t xml:space="preserve"> do not use the Business Intelligence (BI) system. </w:t>
      </w:r>
      <w:r w:rsidRPr="002C3F71" w:rsidR="00A40B86">
        <w:rPr>
          <w:b/>
          <w:bCs/>
          <w:noProof/>
        </w:rPr>
        <w:t>Elyakhin</w:t>
      </w:r>
      <w:r w:rsidRPr="00A076DA" w:rsidR="00A40B86">
        <w:rPr>
          <w:noProof/>
        </w:rPr>
        <w:t xml:space="preserve">, </w:t>
      </w:r>
      <w:r w:rsidRPr="002C3F71" w:rsidR="00A40B86">
        <w:rPr>
          <w:b/>
          <w:bCs/>
          <w:noProof/>
        </w:rPr>
        <w:t>Jaljulia</w:t>
      </w:r>
      <w:r w:rsidRPr="00A076DA" w:rsidR="00A40B86">
        <w:rPr>
          <w:noProof/>
        </w:rPr>
        <w:t xml:space="preserve">, </w:t>
      </w:r>
      <w:r w:rsidRPr="002C3F71" w:rsidR="00A40B86">
        <w:rPr>
          <w:b/>
          <w:bCs/>
          <w:noProof/>
        </w:rPr>
        <w:t>Fureidis</w:t>
      </w:r>
      <w:r w:rsidRPr="00A076DA" w:rsidR="00A40B86">
        <w:rPr>
          <w:noProof/>
        </w:rPr>
        <w:t xml:space="preserve">, and </w:t>
      </w:r>
      <w:r w:rsidRPr="002C3F71" w:rsidR="00A40B86">
        <w:rPr>
          <w:b/>
          <w:bCs/>
          <w:noProof/>
        </w:rPr>
        <w:t>Merhavim</w:t>
      </w:r>
      <w:r w:rsidRPr="00A076DA" w:rsidR="00A40B86">
        <w:rPr>
          <w:noProof/>
        </w:rPr>
        <w:t xml:space="preserve"> do not employ a CRM system to manage resident inquiries</w:t>
      </w:r>
      <w:r w:rsidRPr="00D12832">
        <w:t>.</w:t>
      </w:r>
    </w:p>
    <w:p w:rsidR="00D12832" w:rsidRPr="00D12832" w:rsidP="00837C74" w14:paraId="57AD7108" w14:textId="169E3C9C">
      <w:pPr>
        <w:pStyle w:val="7191"/>
        <w:bidi w:val="0"/>
        <w:spacing w:before="180"/>
        <w:ind w:left="397"/>
      </w:pPr>
      <w:r w:rsidRPr="002C3F71">
        <w:rPr>
          <w:rFonts w:hint="cs"/>
          <w:b/>
          <w:bCs/>
          <w:noProof/>
          <w:rtl/>
        </w:rPr>
        <w:drawing>
          <wp:anchor distT="0" distB="0" distL="0" distR="0" simplePos="0" relativeHeight="251694080"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1491100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1004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3F71" w:rsidR="00A40B86">
        <w:rPr>
          <w:b/>
          <w:bCs/>
          <w:noProof/>
        </w:rPr>
        <w:t>Use of Official Email Addresses –</w:t>
      </w:r>
      <w:r w:rsidRPr="00A076DA" w:rsidR="00A40B86">
        <w:rPr>
          <w:noProof/>
        </w:rPr>
        <w:t xml:space="preserve"> contrary to guidelines prohibiting the use of private email for digital document management, </w:t>
      </w:r>
      <w:r w:rsidRPr="002C3F71" w:rsidR="00A40B86">
        <w:rPr>
          <w:b/>
          <w:bCs/>
          <w:noProof/>
        </w:rPr>
        <w:t>Fureidis</w:t>
      </w:r>
      <w:r w:rsidRPr="00A076DA" w:rsidR="00A40B86">
        <w:rPr>
          <w:noProof/>
        </w:rPr>
        <w:t xml:space="preserve"> utilizes private, non-official email addresses. Some employees in </w:t>
      </w:r>
      <w:r w:rsidRPr="002C3F71" w:rsidR="00A40B86">
        <w:rPr>
          <w:b/>
          <w:bCs/>
          <w:noProof/>
        </w:rPr>
        <w:t>Elyakhin</w:t>
      </w:r>
      <w:r w:rsidRPr="00A076DA" w:rsidR="00A40B86">
        <w:rPr>
          <w:noProof/>
        </w:rPr>
        <w:t xml:space="preserve"> and the </w:t>
      </w:r>
      <w:r w:rsidRPr="002C3F71" w:rsidR="00A40B86">
        <w:rPr>
          <w:b/>
          <w:bCs/>
          <w:noProof/>
        </w:rPr>
        <w:t>Merhavim</w:t>
      </w:r>
      <w:r w:rsidRPr="00A076DA" w:rsidR="00A40B86">
        <w:rPr>
          <w:noProof/>
        </w:rPr>
        <w:t xml:space="preserve"> Regional Council also rely on private email instead of the official address</w:t>
      </w:r>
      <w:r w:rsidRPr="00D12832">
        <w:t>.</w:t>
      </w:r>
    </w:p>
    <w:p w:rsidR="00D12832" w:rsidRPr="00D12832" w:rsidP="00837C74" w14:paraId="0C1A70B1" w14:textId="223CCA67">
      <w:pPr>
        <w:pStyle w:val="7191"/>
        <w:bidi w:val="0"/>
        <w:spacing w:before="180"/>
        <w:ind w:left="397"/>
      </w:pPr>
      <w:r w:rsidRPr="002C3F71">
        <w:rPr>
          <w:rFonts w:hint="cs"/>
          <w:b/>
          <w:bCs/>
          <w:noProof/>
          <w:rtl/>
        </w:rPr>
        <w:drawing>
          <wp:anchor distT="0" distB="0" distL="0" distR="0" simplePos="0" relativeHeight="25169510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76205747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57477"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3F71" w:rsidR="00A40B86">
        <w:rPr>
          <w:b/>
          <w:bCs/>
          <w:noProof/>
        </w:rPr>
        <w:t>Telephone Emergency Call Center for Residents During the Swords of Iron War</w:t>
      </w:r>
      <w:r w:rsidRPr="00A076DA" w:rsidR="00A40B86">
        <w:rPr>
          <w:noProof/>
        </w:rPr>
        <w:t xml:space="preserve"> </w:t>
      </w:r>
      <w:r w:rsidRPr="002C3F71" w:rsidR="00A40B86">
        <w:rPr>
          <w:b/>
          <w:bCs/>
          <w:noProof/>
        </w:rPr>
        <w:t>–</w:t>
      </w:r>
      <w:r w:rsidRPr="00A076DA" w:rsidR="00A40B86">
        <w:rPr>
          <w:noProof/>
        </w:rPr>
        <w:t xml:space="preserve"> 28 local authorities, including 20 small ones, did not operate a 24-hour emergency call center. 19 authorities, including 13 small ones, offered residents online responses exclusively through website contact or text messages, which did not guarantee immediate human responses during emergencies. Among the authorities examined, </w:t>
      </w:r>
      <w:r w:rsidRPr="002C3F71" w:rsidR="00A40B86">
        <w:rPr>
          <w:b/>
          <w:bCs/>
          <w:noProof/>
        </w:rPr>
        <w:t>Beit Dagan</w:t>
      </w:r>
      <w:r w:rsidRPr="00A076DA" w:rsidR="00A40B86">
        <w:rPr>
          <w:noProof/>
        </w:rPr>
        <w:t xml:space="preserve"> and </w:t>
      </w:r>
      <w:r w:rsidRPr="002C3F71" w:rsidR="00A40B86">
        <w:rPr>
          <w:b/>
          <w:bCs/>
          <w:noProof/>
        </w:rPr>
        <w:t>Merhavim</w:t>
      </w:r>
      <w:r w:rsidRPr="00A076DA" w:rsidR="00A40B86">
        <w:rPr>
          <w:noProof/>
        </w:rPr>
        <w:t xml:space="preserve"> partially operated a hotline; </w:t>
      </w:r>
      <w:r w:rsidRPr="002C3F71" w:rsidR="00A40B86">
        <w:rPr>
          <w:b/>
          <w:bCs/>
          <w:noProof/>
        </w:rPr>
        <w:t>Beit Dagan</w:t>
      </w:r>
      <w:r w:rsidRPr="00A076DA" w:rsidR="00A40B86">
        <w:rPr>
          <w:noProof/>
        </w:rPr>
        <w:t xml:space="preserve">'s internal hotline was </w:t>
      </w:r>
      <w:r w:rsidRPr="00A076DA" w:rsidR="00A40B86">
        <w:rPr>
          <w:noProof/>
        </w:rPr>
        <w:t xml:space="preserve">available until 3 PM, after which calls were redirected to an external hotline, while </w:t>
      </w:r>
      <w:r w:rsidRPr="002C3F71" w:rsidR="00A40B86">
        <w:rPr>
          <w:b/>
          <w:bCs/>
          <w:noProof/>
        </w:rPr>
        <w:t>Merhavim</w:t>
      </w:r>
      <w:r w:rsidRPr="00A076DA" w:rsidR="00A40B86">
        <w:rPr>
          <w:noProof/>
        </w:rPr>
        <w:t xml:space="preserve">’s hotline functioned between 8 AM and 8 PM. </w:t>
      </w:r>
      <w:r w:rsidRPr="002C3F71" w:rsidR="00A40B86">
        <w:rPr>
          <w:b/>
          <w:bCs/>
          <w:noProof/>
        </w:rPr>
        <w:t>Jaljulia</w:t>
      </w:r>
      <w:r w:rsidRPr="00A076DA" w:rsidR="00A40B86">
        <w:rPr>
          <w:noProof/>
        </w:rPr>
        <w:t xml:space="preserve"> and </w:t>
      </w:r>
      <w:r w:rsidRPr="002C3F71" w:rsidR="00A40B86">
        <w:rPr>
          <w:b/>
          <w:bCs/>
          <w:noProof/>
        </w:rPr>
        <w:t>Fureidis</w:t>
      </w:r>
      <w:r w:rsidRPr="00A076DA" w:rsidR="00A40B86">
        <w:rPr>
          <w:noProof/>
        </w:rPr>
        <w:t xml:space="preserve"> provided online call centers only, whereas only </w:t>
      </w:r>
      <w:r w:rsidRPr="002C3F71" w:rsidR="00A40B86">
        <w:rPr>
          <w:b/>
          <w:bCs/>
          <w:noProof/>
        </w:rPr>
        <w:t>Kiryat Ye'arim</w:t>
      </w:r>
      <w:r w:rsidRPr="00A076DA" w:rsidR="00A40B86">
        <w:rPr>
          <w:noProof/>
        </w:rPr>
        <w:t xml:space="preserve"> maintained a 24-hour hotline</w:t>
      </w:r>
      <w:r w:rsidRPr="00D12832">
        <w:t>.</w:t>
      </w:r>
    </w:p>
    <w:p w:rsidR="00D12832" w:rsidRPr="00D12832" w:rsidP="00837C74" w14:paraId="069B7160" w14:textId="71834F70">
      <w:pPr>
        <w:pStyle w:val="7191"/>
        <w:bidi w:val="0"/>
        <w:spacing w:before="180"/>
        <w:ind w:left="397"/>
      </w:pPr>
      <w:r w:rsidRPr="002C3F71">
        <w:rPr>
          <w:rFonts w:hint="cs"/>
          <w:b/>
          <w:bCs/>
          <w:noProof/>
          <w:rtl/>
        </w:rPr>
        <w:drawing>
          <wp:anchor distT="0" distB="0" distL="0" distR="0" simplePos="0" relativeHeight="251696128"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48214290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42900"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3F71" w:rsidR="00A40B86">
        <w:rPr>
          <w:b/>
          <w:bCs/>
          <w:noProof/>
        </w:rPr>
        <w:t>Ways to Contact the Municipal Hotline –</w:t>
      </w:r>
      <w:r w:rsidRPr="00A076DA" w:rsidR="00A40B86">
        <w:rPr>
          <w:noProof/>
        </w:rPr>
        <w:t xml:space="preserve"> none of the examined local authorities offered a chat option on their websites, and they do not provide a computerized information station (kiosk) for residents without access to personal computers or the internet. </w:t>
      </w:r>
      <w:r w:rsidRPr="002C3F71" w:rsidR="00A40B86">
        <w:rPr>
          <w:b/>
          <w:bCs/>
          <w:noProof/>
        </w:rPr>
        <w:t>Elyakhin</w:t>
      </w:r>
      <w:r w:rsidRPr="00A076DA" w:rsidR="00A40B86">
        <w:rPr>
          <w:noProof/>
        </w:rPr>
        <w:t xml:space="preserve">, </w:t>
      </w:r>
      <w:r w:rsidRPr="002C3F71" w:rsidR="00A40B86">
        <w:rPr>
          <w:b/>
          <w:bCs/>
          <w:noProof/>
        </w:rPr>
        <w:t>Beit Dagan</w:t>
      </w:r>
      <w:r w:rsidRPr="00A076DA" w:rsidR="00A40B86">
        <w:rPr>
          <w:noProof/>
        </w:rPr>
        <w:t xml:space="preserve">, and </w:t>
      </w:r>
      <w:r w:rsidRPr="002C3F71" w:rsidR="00A40B86">
        <w:rPr>
          <w:b/>
          <w:bCs/>
          <w:noProof/>
        </w:rPr>
        <w:t>Fureidis</w:t>
      </w:r>
      <w:r w:rsidRPr="00A076DA" w:rsidR="00A40B86">
        <w:rPr>
          <w:noProof/>
        </w:rPr>
        <w:t xml:space="preserve"> do not facilitate applications via WhatsApp. </w:t>
      </w:r>
      <w:r w:rsidRPr="002C3F71" w:rsidR="00A40B86">
        <w:rPr>
          <w:b/>
          <w:bCs/>
          <w:noProof/>
        </w:rPr>
        <w:t>Fureidis</w:t>
      </w:r>
      <w:r w:rsidRPr="00A076DA" w:rsidR="00A40B86">
        <w:rPr>
          <w:noProof/>
        </w:rPr>
        <w:t>'s website is partially in Hebrew and partially in Arabic, complicating navigation for speakers of both languages</w:t>
      </w:r>
      <w:r w:rsidRPr="00D12832">
        <w:t>.</w:t>
      </w:r>
    </w:p>
    <w:p w:rsidR="00D12832" w:rsidRPr="00D12832" w:rsidP="00837C74" w14:paraId="115A7031" w14:textId="0D019407">
      <w:pPr>
        <w:pStyle w:val="7191"/>
        <w:bidi w:val="0"/>
        <w:spacing w:before="180"/>
        <w:ind w:left="397"/>
      </w:pPr>
      <w:r w:rsidRPr="002C3F71">
        <w:rPr>
          <w:rFonts w:hint="cs"/>
          <w:b/>
          <w:bCs/>
          <w:noProof/>
          <w:rtl/>
        </w:rPr>
        <w:drawing>
          <wp:anchor distT="0" distB="0" distL="0" distR="0" simplePos="0" relativeHeight="251697152"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46430346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0346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3F71" w:rsidR="00A40B86">
        <w:rPr>
          <w:b/>
          <w:bCs/>
          <w:noProof/>
        </w:rPr>
        <w:t>Payments and Submission of Inquiries on Websites –</w:t>
      </w:r>
      <w:r w:rsidRPr="00A076DA" w:rsidR="00A40B86">
        <w:rPr>
          <w:noProof/>
        </w:rPr>
        <w:t xml:space="preserve"> among the 16 online services evaluated, </w:t>
      </w:r>
      <w:r w:rsidRPr="002C3F71" w:rsidR="00A40B86">
        <w:rPr>
          <w:b/>
          <w:bCs/>
          <w:noProof/>
        </w:rPr>
        <w:t>Elyakhin</w:t>
      </w:r>
      <w:r w:rsidRPr="00A076DA" w:rsidR="00A40B86">
        <w:rPr>
          <w:noProof/>
        </w:rPr>
        <w:t xml:space="preserve"> offers 6 services, </w:t>
      </w:r>
      <w:r w:rsidRPr="002C3F71" w:rsidR="00A40B86">
        <w:rPr>
          <w:b/>
          <w:bCs/>
          <w:noProof/>
        </w:rPr>
        <w:t>Beit Dagan</w:t>
      </w:r>
      <w:r w:rsidRPr="00A076DA" w:rsidR="00A40B86">
        <w:rPr>
          <w:noProof/>
        </w:rPr>
        <w:t xml:space="preserve"> provides 9, </w:t>
      </w:r>
      <w:r w:rsidRPr="002C3F71" w:rsidR="00A40B86">
        <w:rPr>
          <w:b/>
          <w:bCs/>
          <w:noProof/>
        </w:rPr>
        <w:t>Jaljulia</w:t>
      </w:r>
      <w:r w:rsidRPr="00A076DA" w:rsidR="00A40B86">
        <w:rPr>
          <w:noProof/>
        </w:rPr>
        <w:t xml:space="preserve"> offers 5, </w:t>
      </w:r>
      <w:r w:rsidRPr="002C3F71" w:rsidR="00A40B86">
        <w:rPr>
          <w:b/>
          <w:bCs/>
          <w:noProof/>
        </w:rPr>
        <w:t>Fureidis</w:t>
      </w:r>
      <w:r w:rsidRPr="00A076DA" w:rsidR="00A40B86">
        <w:rPr>
          <w:noProof/>
        </w:rPr>
        <w:t xml:space="preserve"> provides 3, </w:t>
      </w:r>
      <w:r w:rsidRPr="002C3F71" w:rsidR="00A40B86">
        <w:rPr>
          <w:b/>
          <w:bCs/>
          <w:noProof/>
        </w:rPr>
        <w:t>Kiryat Ye'arim</w:t>
      </w:r>
      <w:r w:rsidRPr="00A076DA" w:rsidR="00A40B86">
        <w:rPr>
          <w:noProof/>
        </w:rPr>
        <w:t xml:space="preserve"> offers 6, and the </w:t>
      </w:r>
      <w:r w:rsidRPr="002C3F71" w:rsidR="00A40B86">
        <w:rPr>
          <w:b/>
          <w:bCs/>
          <w:noProof/>
        </w:rPr>
        <w:t>Merhavim</w:t>
      </w:r>
      <w:r w:rsidRPr="00A076DA" w:rsidR="00A40B86">
        <w:rPr>
          <w:noProof/>
        </w:rPr>
        <w:t xml:space="preserve"> Regional Council offers 6 services. Consequently, in 5 of the 6 examined local authorities, paying the business licensing fee or the request for information fee online is impossible</w:t>
      </w:r>
      <w:r w:rsidRPr="00D12832">
        <w:t>.</w:t>
      </w:r>
    </w:p>
    <w:p w:rsidR="00D12832" w:rsidRPr="00D12832" w:rsidP="00837C74" w14:paraId="3348C3C7" w14:textId="0D3F9DB6">
      <w:pPr>
        <w:pStyle w:val="7191"/>
        <w:bidi w:val="0"/>
        <w:spacing w:before="180"/>
        <w:ind w:left="397"/>
      </w:pPr>
      <w:r w:rsidRPr="002C3F71">
        <w:rPr>
          <w:rFonts w:hint="cs"/>
          <w:b/>
          <w:bCs/>
          <w:noProof/>
          <w:rtl/>
        </w:rPr>
        <w:drawing>
          <wp:anchor distT="0" distB="0" distL="0" distR="0" simplePos="0" relativeHeight="251698176"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143537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374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3F71" w:rsidR="00A40B86">
        <w:rPr>
          <w:b/>
          <w:bCs/>
          <w:noProof/>
        </w:rPr>
        <w:t xml:space="preserve">Budget Allocation </w:t>
      </w:r>
      <w:bookmarkStart w:id="9" w:name="_Hlk181185025"/>
      <w:r w:rsidRPr="002C3F71" w:rsidR="00A40B86">
        <w:rPr>
          <w:b/>
          <w:bCs/>
          <w:noProof/>
        </w:rPr>
        <w:t>–</w:t>
      </w:r>
      <w:bookmarkEnd w:id="9"/>
      <w:r w:rsidRPr="00A076DA" w:rsidR="00A40B86">
        <w:rPr>
          <w:noProof/>
        </w:rPr>
        <w:t xml:space="preserve"> the computing expenses in </w:t>
      </w:r>
      <w:r w:rsidRPr="002C3F71" w:rsidR="00A40B86">
        <w:rPr>
          <w:b/>
          <w:bCs/>
          <w:noProof/>
        </w:rPr>
        <w:t>Elyakhin</w:t>
      </w:r>
      <w:r w:rsidRPr="00A076DA" w:rsidR="00A40B86">
        <w:rPr>
          <w:noProof/>
        </w:rPr>
        <w:t xml:space="preserve">, </w:t>
      </w:r>
      <w:r w:rsidRPr="002C3F71" w:rsidR="00A40B86">
        <w:rPr>
          <w:b/>
          <w:bCs/>
          <w:noProof/>
        </w:rPr>
        <w:t>Beit Dagan</w:t>
      </w:r>
      <w:r w:rsidRPr="00A076DA" w:rsidR="00A40B86">
        <w:rPr>
          <w:noProof/>
        </w:rPr>
        <w:t xml:space="preserve">, </w:t>
      </w:r>
      <w:r w:rsidRPr="002C3F71" w:rsidR="00A40B86">
        <w:rPr>
          <w:b/>
          <w:bCs/>
          <w:noProof/>
        </w:rPr>
        <w:t>Jaljulia</w:t>
      </w:r>
      <w:r w:rsidRPr="00A076DA" w:rsidR="00A40B86">
        <w:rPr>
          <w:noProof/>
        </w:rPr>
        <w:t xml:space="preserve">, </w:t>
      </w:r>
      <w:r w:rsidRPr="002C3F71" w:rsidR="00A40B86">
        <w:rPr>
          <w:b/>
          <w:bCs/>
          <w:noProof/>
        </w:rPr>
        <w:t>Fureidis</w:t>
      </w:r>
      <w:r w:rsidRPr="00A076DA" w:rsidR="00A40B86">
        <w:rPr>
          <w:noProof/>
        </w:rPr>
        <w:t xml:space="preserve">, and </w:t>
      </w:r>
      <w:r w:rsidRPr="002C3F71" w:rsidR="00A40B86">
        <w:rPr>
          <w:b/>
          <w:bCs/>
          <w:noProof/>
        </w:rPr>
        <w:t>Kiryat Ye'arim</w:t>
      </w:r>
      <w:r w:rsidRPr="00A076DA" w:rsidR="00A40B86">
        <w:rPr>
          <w:noProof/>
        </w:rPr>
        <w:t xml:space="preserve"> ranged from about NIS 226,000 to NIS 568,000 in 2021, with less than 1% of their budget allocated to computing. Furthermore, </w:t>
      </w:r>
      <w:r w:rsidRPr="002C3F71" w:rsidR="00A40B86">
        <w:rPr>
          <w:b/>
          <w:bCs/>
          <w:noProof/>
        </w:rPr>
        <w:t>Elyakhin</w:t>
      </w:r>
      <w:r w:rsidRPr="00A076DA" w:rsidR="00A40B86">
        <w:rPr>
          <w:noProof/>
        </w:rPr>
        <w:t xml:space="preserve">, </w:t>
      </w:r>
      <w:r w:rsidRPr="002C3F71" w:rsidR="00A40B86">
        <w:rPr>
          <w:b/>
          <w:bCs/>
          <w:noProof/>
        </w:rPr>
        <w:t>Beit Dagan</w:t>
      </w:r>
      <w:r w:rsidRPr="00A076DA" w:rsidR="00A40B86">
        <w:rPr>
          <w:noProof/>
        </w:rPr>
        <w:t xml:space="preserve">, </w:t>
      </w:r>
      <w:r w:rsidRPr="002C3F71" w:rsidR="00A40B86">
        <w:rPr>
          <w:b/>
          <w:bCs/>
          <w:noProof/>
        </w:rPr>
        <w:t>Kiryat Ye'arim</w:t>
      </w:r>
      <w:r w:rsidRPr="00A076DA" w:rsidR="00A40B86">
        <w:rPr>
          <w:noProof/>
        </w:rPr>
        <w:t xml:space="preserve">, and </w:t>
      </w:r>
      <w:r w:rsidRPr="002C3F71" w:rsidR="00A40B86">
        <w:rPr>
          <w:b/>
          <w:bCs/>
          <w:noProof/>
        </w:rPr>
        <w:t>Fureidis</w:t>
      </w:r>
      <w:r w:rsidRPr="00A076DA" w:rsidR="00A40B86">
        <w:rPr>
          <w:noProof/>
        </w:rPr>
        <w:t xml:space="preserve"> set their computing budgets for 2021–2023 based on the previous year’s budget rather than a forward-looking work plan. These councils deviated from their approved annual computing budgets for 2020 to 2022, with deviations ranging from an unutilized budget of about NIS 149,000 to an excess of about NIS 234,000. Nonetheless, these deviations are not materially significant compared to the overall authority budget, indicating that the set budgets are inadequate for the authority's computing needs</w:t>
      </w:r>
      <w:r w:rsidRPr="00D12832">
        <w:t>.</w:t>
      </w:r>
    </w:p>
    <w:p w:rsidR="00D12832" w:rsidRPr="00D12832" w:rsidP="00837C74" w14:paraId="0FAC454E" w14:textId="71D90F7C">
      <w:pPr>
        <w:pStyle w:val="7191"/>
        <w:bidi w:val="0"/>
        <w:spacing w:before="180"/>
        <w:ind w:left="397"/>
      </w:pPr>
      <w:r w:rsidRPr="002C3F71">
        <w:rPr>
          <w:rFonts w:hint="cs"/>
          <w:b/>
          <w:bCs/>
          <w:noProof/>
          <w:rtl/>
        </w:rPr>
        <w:drawing>
          <wp:anchor distT="0" distB="0" distL="0" distR="0" simplePos="0" relativeHeight="251699200"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53674347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43478"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3F71" w:rsidR="00A40B86">
        <w:rPr>
          <w:b/>
          <w:bCs/>
          <w:noProof/>
        </w:rPr>
        <w:t>External Funding Sources –</w:t>
      </w:r>
      <w:r w:rsidRPr="00A076DA" w:rsidR="00A40B86">
        <w:rPr>
          <w:noProof/>
        </w:rPr>
        <w:t xml:space="preserve"> 231 local authorities received commitment letters from the National Digital Agency for infrastructure upgrades; However, about NIS 24.5 million (about 56%) of these commitments were not realized. The low realization rate suggests a lack of adequate support during the proposal submission process, implementation, and reporting, alongside a suboptimal budgeting model. Three of the examined local authorities – </w:t>
      </w:r>
      <w:r w:rsidRPr="002C3F71" w:rsidR="00A40B86">
        <w:rPr>
          <w:b/>
          <w:bCs/>
          <w:noProof/>
        </w:rPr>
        <w:t>Elyakhin</w:t>
      </w:r>
      <w:r w:rsidRPr="00A076DA" w:rsidR="00A40B86">
        <w:rPr>
          <w:noProof/>
        </w:rPr>
        <w:t xml:space="preserve">, </w:t>
      </w:r>
      <w:r w:rsidRPr="002C3F71" w:rsidR="00A40B86">
        <w:rPr>
          <w:b/>
          <w:bCs/>
          <w:noProof/>
        </w:rPr>
        <w:t>Beit Dagan</w:t>
      </w:r>
      <w:r w:rsidRPr="00A076DA" w:rsidR="00A40B86">
        <w:rPr>
          <w:noProof/>
        </w:rPr>
        <w:t xml:space="preserve">, and </w:t>
      </w:r>
      <w:r w:rsidRPr="002C3F71" w:rsidR="00A40B86">
        <w:rPr>
          <w:b/>
          <w:bCs/>
          <w:noProof/>
        </w:rPr>
        <w:t>Kiryat Ye'arim</w:t>
      </w:r>
      <w:r w:rsidRPr="00A076DA" w:rsidR="00A40B86">
        <w:rPr>
          <w:noProof/>
        </w:rPr>
        <w:t xml:space="preserve"> – approached the call for proposals for advanced digital projects. However, </w:t>
      </w:r>
      <w:r w:rsidRPr="002C3F71" w:rsidR="00A40B86">
        <w:rPr>
          <w:b/>
          <w:bCs/>
          <w:noProof/>
        </w:rPr>
        <w:t>Elyakhin</w:t>
      </w:r>
      <w:r w:rsidRPr="00A076DA" w:rsidR="00A40B86">
        <w:rPr>
          <w:noProof/>
        </w:rPr>
        <w:t xml:space="preserve"> and </w:t>
      </w:r>
      <w:r w:rsidRPr="002C3F71" w:rsidR="00A40B86">
        <w:rPr>
          <w:b/>
          <w:bCs/>
          <w:noProof/>
        </w:rPr>
        <w:t>Beit Dagan</w:t>
      </w:r>
      <w:r w:rsidRPr="00A076DA" w:rsidR="00A40B86">
        <w:rPr>
          <w:noProof/>
        </w:rPr>
        <w:t xml:space="preserve"> did not utilize their approved budgets. The underutilization of allocated budgets was attributed to the local authorities’ self-participation rates, a condition stipulated by the National Digital Agency for its support, delayed report submissions, and an inability to perform budget conversions for related computing infrastructure costs post-project definition</w:t>
      </w:r>
      <w:r w:rsidRPr="00D12832">
        <w:t>.</w:t>
      </w:r>
    </w:p>
    <w:p w:rsidR="00D12832" w:rsidRPr="00D12832" w:rsidP="00837C74" w14:paraId="58F0CAD2" w14:textId="0880EC92">
      <w:pPr>
        <w:pStyle w:val="7191"/>
        <w:bidi w:val="0"/>
        <w:spacing w:before="180"/>
        <w:ind w:left="397"/>
      </w:pPr>
      <w:r w:rsidRPr="002C3F71">
        <w:rPr>
          <w:rFonts w:hint="cs"/>
          <w:b/>
          <w:bCs/>
          <w:noProof/>
          <w:rtl/>
        </w:rPr>
        <w:drawing>
          <wp:anchor distT="0" distB="0" distL="0" distR="0" simplePos="0" relativeHeight="25170022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79795734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57341"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3F71" w:rsidR="00A40B86">
        <w:rPr>
          <w:b/>
          <w:bCs/>
          <w:noProof/>
        </w:rPr>
        <w:t>Securing the Computerized Information –</w:t>
      </w:r>
      <w:r w:rsidRPr="00A076DA" w:rsidR="00A40B86">
        <w:rPr>
          <w:noProof/>
        </w:rPr>
        <w:t xml:space="preserve"> as of July 2023, </w:t>
      </w:r>
      <w:r w:rsidRPr="002C3F71" w:rsidR="00A40B86">
        <w:rPr>
          <w:b/>
          <w:bCs/>
          <w:noProof/>
        </w:rPr>
        <w:t>Elyakhin</w:t>
      </w:r>
      <w:r w:rsidRPr="00A076DA" w:rsidR="00A40B86">
        <w:rPr>
          <w:noProof/>
        </w:rPr>
        <w:t xml:space="preserve">, </w:t>
      </w:r>
      <w:r w:rsidRPr="002C3F71" w:rsidR="00A40B86">
        <w:rPr>
          <w:b/>
          <w:bCs/>
          <w:noProof/>
        </w:rPr>
        <w:t>Beit Dagan</w:t>
      </w:r>
      <w:r w:rsidRPr="00A076DA" w:rsidR="00A40B86">
        <w:rPr>
          <w:noProof/>
        </w:rPr>
        <w:t xml:space="preserve">, </w:t>
      </w:r>
      <w:r w:rsidRPr="002C3F71" w:rsidR="00A40B86">
        <w:rPr>
          <w:b/>
          <w:bCs/>
          <w:noProof/>
        </w:rPr>
        <w:t>Fureidis</w:t>
      </w:r>
      <w:r w:rsidRPr="00A076DA" w:rsidR="00A40B86">
        <w:rPr>
          <w:noProof/>
        </w:rPr>
        <w:t xml:space="preserve">, and </w:t>
      </w:r>
      <w:r w:rsidRPr="002C3F71" w:rsidR="00A40B86">
        <w:rPr>
          <w:b/>
          <w:bCs/>
          <w:noProof/>
        </w:rPr>
        <w:t>Merhavim</w:t>
      </w:r>
      <w:r w:rsidRPr="00A076DA" w:rsidR="00A40B86">
        <w:rPr>
          <w:noProof/>
        </w:rPr>
        <w:t xml:space="preserve"> lack personnel to hold the designated information security officer position mandated by the Protection of Privacy Law. Additionally, contrary to what is required by information security regulations, </w:t>
      </w:r>
      <w:r w:rsidRPr="002C3F71" w:rsidR="00A40B86">
        <w:rPr>
          <w:b/>
          <w:bCs/>
          <w:noProof/>
        </w:rPr>
        <w:t>Elyakhin</w:t>
      </w:r>
      <w:r w:rsidRPr="00A076DA" w:rsidR="00A40B86">
        <w:rPr>
          <w:noProof/>
        </w:rPr>
        <w:t xml:space="preserve">, </w:t>
      </w:r>
      <w:r w:rsidRPr="002C3F71" w:rsidR="00A40B86">
        <w:rPr>
          <w:b/>
          <w:bCs/>
          <w:noProof/>
        </w:rPr>
        <w:t>Beit Dagan</w:t>
      </w:r>
      <w:r w:rsidRPr="00A076DA" w:rsidR="00A40B86">
        <w:rPr>
          <w:noProof/>
        </w:rPr>
        <w:t xml:space="preserve">, </w:t>
      </w:r>
      <w:r w:rsidRPr="002C3F71" w:rsidR="00A40B86">
        <w:rPr>
          <w:b/>
          <w:bCs/>
          <w:noProof/>
        </w:rPr>
        <w:t>Fureidis</w:t>
      </w:r>
      <w:r w:rsidRPr="00A076DA" w:rsidR="00A40B86">
        <w:rPr>
          <w:noProof/>
        </w:rPr>
        <w:t xml:space="preserve">, </w:t>
      </w:r>
      <w:r w:rsidRPr="002C3F71" w:rsidR="00A40B86">
        <w:rPr>
          <w:b/>
          <w:bCs/>
          <w:noProof/>
        </w:rPr>
        <w:t>Merhavim</w:t>
      </w:r>
      <w:r w:rsidRPr="00A076DA" w:rsidR="00A40B86">
        <w:rPr>
          <w:noProof/>
        </w:rPr>
        <w:t xml:space="preserve">, and </w:t>
      </w:r>
      <w:r w:rsidRPr="002C3F71" w:rsidR="00A40B86">
        <w:rPr>
          <w:b/>
          <w:bCs/>
          <w:noProof/>
        </w:rPr>
        <w:t>Kiryat Ye'arim</w:t>
      </w:r>
      <w:r w:rsidRPr="00A076DA" w:rsidR="00A40B86">
        <w:rPr>
          <w:noProof/>
        </w:rPr>
        <w:t xml:space="preserve"> have not devised plans to control information security </w:t>
      </w:r>
      <w:r w:rsidRPr="00A076DA" w:rsidR="00A40B86">
        <w:rPr>
          <w:noProof/>
        </w:rPr>
        <w:t xml:space="preserve">in their databases. </w:t>
      </w:r>
      <w:r w:rsidRPr="002C3F71" w:rsidR="00A40B86">
        <w:rPr>
          <w:b/>
          <w:bCs/>
          <w:noProof/>
        </w:rPr>
        <w:t>Elyakhin</w:t>
      </w:r>
      <w:r w:rsidRPr="00A076DA" w:rsidR="00A40B86">
        <w:rPr>
          <w:noProof/>
        </w:rPr>
        <w:t xml:space="preserve">, </w:t>
      </w:r>
      <w:r w:rsidRPr="002C3F71" w:rsidR="00A40B86">
        <w:rPr>
          <w:b/>
          <w:bCs/>
          <w:noProof/>
        </w:rPr>
        <w:t>Beit Dagan</w:t>
      </w:r>
      <w:r w:rsidRPr="00A076DA" w:rsidR="00A40B86">
        <w:rPr>
          <w:noProof/>
        </w:rPr>
        <w:t xml:space="preserve">, and </w:t>
      </w:r>
      <w:r w:rsidRPr="002C3F71" w:rsidR="00A40B86">
        <w:rPr>
          <w:b/>
          <w:bCs/>
          <w:noProof/>
        </w:rPr>
        <w:t>Fureidis</w:t>
      </w:r>
      <w:r w:rsidRPr="00A076DA" w:rsidR="00A40B86">
        <w:rPr>
          <w:noProof/>
        </w:rPr>
        <w:t xml:space="preserve"> have not established information security procedures or maintained an inventory of hardware components. It should be noted that, following the audit, </w:t>
      </w:r>
      <w:r w:rsidRPr="002C3F71" w:rsidR="00A40B86">
        <w:rPr>
          <w:b/>
          <w:bCs/>
          <w:noProof/>
        </w:rPr>
        <w:t>Beit Dagan</w:t>
      </w:r>
      <w:r w:rsidRPr="00A076DA" w:rsidR="00A40B86">
        <w:rPr>
          <w:noProof/>
        </w:rPr>
        <w:t xml:space="preserve"> contracted an external consultant in August 2023 for information security services and appointed him as the information security officer in March 2024, leading to the development of three information security procedures: physical and logical security procedure, user and authorization procedure and outsourcing procedure</w:t>
      </w:r>
      <w:r w:rsidRPr="00D12832">
        <w:t>.</w:t>
      </w:r>
    </w:p>
    <w:p w:rsidR="00D12832" w:rsidRPr="00D12832" w:rsidP="00837C74" w14:paraId="1B6C137E" w14:textId="4228EED6">
      <w:pPr>
        <w:pStyle w:val="7191"/>
        <w:bidi w:val="0"/>
        <w:spacing w:before="180"/>
        <w:ind w:left="397"/>
      </w:pPr>
      <w:r w:rsidRPr="002C3F71">
        <w:rPr>
          <w:rFonts w:hint="cs"/>
          <w:b/>
          <w:bCs/>
          <w:noProof/>
          <w:rtl/>
        </w:rPr>
        <w:drawing>
          <wp:anchor distT="0" distB="0" distL="0" distR="0" simplePos="0" relativeHeight="251701248"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53101040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10406"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3F71" w:rsidR="00A40B86">
        <w:rPr>
          <w:b/>
          <w:bCs/>
          <w:noProof/>
        </w:rPr>
        <w:t>Controlling Access to Information Systems –</w:t>
      </w:r>
      <w:r w:rsidRPr="00A076DA" w:rsidR="00A40B86">
        <w:rPr>
          <w:noProof/>
        </w:rPr>
        <w:t xml:space="preserve"> deficiencies were found in components necessary for securing database systems according to information security regulations in some of the examined local authorities, with internal server rooms. Agreements signed between </w:t>
      </w:r>
      <w:r w:rsidRPr="002C3F71" w:rsidR="00A40B86">
        <w:rPr>
          <w:b/>
          <w:bCs/>
          <w:noProof/>
        </w:rPr>
        <w:t>Beit Dagan</w:t>
      </w:r>
      <w:r w:rsidRPr="00A076DA" w:rsidR="00A40B86">
        <w:rPr>
          <w:noProof/>
        </w:rPr>
        <w:t xml:space="preserve">, </w:t>
      </w:r>
      <w:r w:rsidRPr="002C3F71" w:rsidR="00A40B86">
        <w:rPr>
          <w:b/>
          <w:bCs/>
          <w:noProof/>
        </w:rPr>
        <w:t>Jaljulia</w:t>
      </w:r>
      <w:r w:rsidRPr="00A076DA" w:rsidR="00A40B86">
        <w:rPr>
          <w:noProof/>
        </w:rPr>
        <w:t xml:space="preserve">, </w:t>
      </w:r>
      <w:r w:rsidRPr="002C3F71" w:rsidR="00A40B86">
        <w:rPr>
          <w:b/>
          <w:bCs/>
          <w:noProof/>
        </w:rPr>
        <w:t>Merhavim</w:t>
      </w:r>
      <w:r w:rsidRPr="00A076DA" w:rsidR="00A40B86">
        <w:rPr>
          <w:noProof/>
        </w:rPr>
        <w:t xml:space="preserve">, and </w:t>
      </w:r>
      <w:r w:rsidRPr="002C3F71" w:rsidR="00A40B86">
        <w:rPr>
          <w:b/>
          <w:bCs/>
          <w:noProof/>
        </w:rPr>
        <w:t>Kiryat Ye'arim</w:t>
      </w:r>
      <w:r w:rsidRPr="00A076DA" w:rsidR="00A40B86">
        <w:rPr>
          <w:noProof/>
        </w:rPr>
        <w:t xml:space="preserve"> and their database-owning companies lack references to authorized local authority personnel. No engagement agreements exist for </w:t>
      </w:r>
      <w:r w:rsidRPr="002C3F71" w:rsidR="00A40B86">
        <w:rPr>
          <w:b/>
          <w:bCs/>
          <w:noProof/>
        </w:rPr>
        <w:t>Elyakhin</w:t>
      </w:r>
      <w:r w:rsidRPr="00A076DA" w:rsidR="00A40B86">
        <w:rPr>
          <w:noProof/>
        </w:rPr>
        <w:t xml:space="preserve"> and </w:t>
      </w:r>
      <w:r w:rsidRPr="002C3F71" w:rsidR="00A40B86">
        <w:rPr>
          <w:b/>
          <w:bCs/>
          <w:noProof/>
        </w:rPr>
        <w:t>Fureidis</w:t>
      </w:r>
      <w:r w:rsidRPr="00A076DA" w:rsidR="00A40B86">
        <w:rPr>
          <w:noProof/>
        </w:rPr>
        <w:t xml:space="preserve"> with their database holders. Furthermore, </w:t>
      </w:r>
      <w:r w:rsidRPr="002C3F71" w:rsidR="00A40B86">
        <w:rPr>
          <w:b/>
          <w:bCs/>
          <w:noProof/>
        </w:rPr>
        <w:t>Elyakhin</w:t>
      </w:r>
      <w:r w:rsidRPr="00A076DA" w:rsidR="00A40B86">
        <w:rPr>
          <w:noProof/>
        </w:rPr>
        <w:t xml:space="preserve"> and </w:t>
      </w:r>
      <w:r w:rsidRPr="002C3F71" w:rsidR="00A40B86">
        <w:rPr>
          <w:b/>
          <w:bCs/>
          <w:noProof/>
        </w:rPr>
        <w:t>Fureidis</w:t>
      </w:r>
      <w:r w:rsidRPr="00A076DA" w:rsidR="00A40B86">
        <w:rPr>
          <w:noProof/>
        </w:rPr>
        <w:t xml:space="preserve"> lack written guidelines on access privileges and do not track valid privileges. </w:t>
      </w:r>
      <w:r w:rsidRPr="002C3F71" w:rsidR="00A40B86">
        <w:rPr>
          <w:b/>
          <w:bCs/>
          <w:noProof/>
        </w:rPr>
        <w:t>Jaljulia</w:t>
      </w:r>
      <w:r w:rsidRPr="00A076DA" w:rsidR="00A40B86">
        <w:rPr>
          <w:noProof/>
        </w:rPr>
        <w:t xml:space="preserve"> and </w:t>
      </w:r>
      <w:r w:rsidRPr="002C3F71" w:rsidR="00A40B86">
        <w:rPr>
          <w:b/>
          <w:bCs/>
          <w:noProof/>
        </w:rPr>
        <w:t>Kiryat Ye'arim</w:t>
      </w:r>
      <w:r w:rsidRPr="00A076DA" w:rsidR="00A40B86">
        <w:rPr>
          <w:noProof/>
        </w:rPr>
        <w:t xml:space="preserve"> have not revoked access privileges for departed employees. </w:t>
      </w:r>
      <w:r w:rsidRPr="002C3F71" w:rsidR="00A40B86">
        <w:rPr>
          <w:b/>
          <w:bCs/>
          <w:noProof/>
        </w:rPr>
        <w:t>Elyakhin</w:t>
      </w:r>
      <w:r w:rsidRPr="00A076DA" w:rsidR="00A40B86">
        <w:rPr>
          <w:noProof/>
        </w:rPr>
        <w:t xml:space="preserve">, </w:t>
      </w:r>
      <w:r w:rsidRPr="002C3F71" w:rsidR="00A40B86">
        <w:rPr>
          <w:b/>
          <w:bCs/>
          <w:noProof/>
        </w:rPr>
        <w:t>Beit Dagan</w:t>
      </w:r>
      <w:r w:rsidRPr="00A076DA" w:rsidR="00A40B86">
        <w:rPr>
          <w:noProof/>
        </w:rPr>
        <w:t xml:space="preserve">, and </w:t>
      </w:r>
      <w:r w:rsidRPr="002C3F71" w:rsidR="00A40B86">
        <w:rPr>
          <w:b/>
          <w:bCs/>
          <w:noProof/>
        </w:rPr>
        <w:t>Fureidis</w:t>
      </w:r>
      <w:r w:rsidRPr="00A076DA" w:rsidR="00A40B86">
        <w:rPr>
          <w:noProof/>
        </w:rPr>
        <w:t xml:space="preserve"> do not impose restrictions on mobile device access to their systems, nor do they notify relevant parties when a mobile device is connected, contrary to information security regulations</w:t>
      </w:r>
      <w:r w:rsidRPr="00D12832">
        <w:t>.</w:t>
      </w:r>
    </w:p>
    <w:p w:rsidR="00D12832" w:rsidP="00837C74" w14:paraId="3E3C68C4" w14:textId="1DF70A77">
      <w:pPr>
        <w:pStyle w:val="7191"/>
        <w:bidi w:val="0"/>
        <w:spacing w:before="180"/>
        <w:ind w:left="397"/>
      </w:pPr>
      <w:r w:rsidRPr="002C3F71">
        <w:rPr>
          <w:rFonts w:hint="cs"/>
          <w:b/>
          <w:bCs/>
          <w:noProof/>
          <w:rtl/>
        </w:rPr>
        <w:drawing>
          <wp:anchor distT="0" distB="0" distL="0" distR="0" simplePos="0" relativeHeight="251702272"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5912159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21591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3F71" w:rsidR="00A40B86">
        <w:rPr>
          <w:b/>
          <w:bCs/>
          <w:noProof/>
        </w:rPr>
        <w:t>Backing Up Databases –</w:t>
      </w:r>
      <w:r w:rsidRPr="00A076DA" w:rsidR="00A40B86">
        <w:rPr>
          <w:noProof/>
        </w:rPr>
        <w:t xml:space="preserve"> </w:t>
      </w:r>
      <w:r w:rsidRPr="002C3F71" w:rsidR="00A40B86">
        <w:rPr>
          <w:b/>
          <w:bCs/>
          <w:noProof/>
        </w:rPr>
        <w:t>Elyakhin</w:t>
      </w:r>
      <w:r w:rsidRPr="00A076DA" w:rsidR="00A40B86">
        <w:rPr>
          <w:noProof/>
        </w:rPr>
        <w:t xml:space="preserve"> and </w:t>
      </w:r>
      <w:r w:rsidRPr="002C3F71" w:rsidR="00A40B86">
        <w:rPr>
          <w:b/>
          <w:bCs/>
          <w:noProof/>
        </w:rPr>
        <w:t>Fureidis</w:t>
      </w:r>
      <w:r w:rsidRPr="00A076DA" w:rsidR="00A40B86">
        <w:rPr>
          <w:noProof/>
        </w:rPr>
        <w:t xml:space="preserve"> have not established data backup procedures and do not conduct regular backups as required. </w:t>
      </w:r>
      <w:r w:rsidRPr="002C3F71" w:rsidR="00A40B86">
        <w:rPr>
          <w:b/>
          <w:bCs/>
          <w:noProof/>
        </w:rPr>
        <w:t>Beit Dagan</w:t>
      </w:r>
      <w:r w:rsidRPr="00A076DA" w:rsidR="00A40B86">
        <w:rPr>
          <w:noProof/>
        </w:rPr>
        <w:t xml:space="preserve"> lacks an internal backup procedure and does not supervise compliance with regulations regarding the external company managing its server. None of the examined local authorities – </w:t>
      </w:r>
      <w:r w:rsidRPr="002C3F71" w:rsidR="00A40B86">
        <w:rPr>
          <w:b/>
          <w:bCs/>
          <w:noProof/>
        </w:rPr>
        <w:t>Elyakhin</w:t>
      </w:r>
      <w:r w:rsidRPr="00A076DA" w:rsidR="00A40B86">
        <w:rPr>
          <w:noProof/>
        </w:rPr>
        <w:t xml:space="preserve">, </w:t>
      </w:r>
      <w:r w:rsidRPr="002C3F71" w:rsidR="00A40B86">
        <w:rPr>
          <w:b/>
          <w:bCs/>
          <w:noProof/>
        </w:rPr>
        <w:t>Beit Dagan</w:t>
      </w:r>
      <w:r w:rsidRPr="00A076DA" w:rsidR="00A40B86">
        <w:rPr>
          <w:noProof/>
        </w:rPr>
        <w:t xml:space="preserve">, </w:t>
      </w:r>
      <w:r w:rsidRPr="002C3F71" w:rsidR="00A40B86">
        <w:rPr>
          <w:b/>
          <w:bCs/>
          <w:noProof/>
        </w:rPr>
        <w:t>Jaljulia</w:t>
      </w:r>
      <w:r w:rsidRPr="00A076DA" w:rsidR="00A40B86">
        <w:rPr>
          <w:noProof/>
        </w:rPr>
        <w:t xml:space="preserve">, </w:t>
      </w:r>
      <w:r w:rsidRPr="002C3F71" w:rsidR="00A40B86">
        <w:rPr>
          <w:b/>
          <w:bCs/>
          <w:noProof/>
        </w:rPr>
        <w:t>Merhavim</w:t>
      </w:r>
      <w:r w:rsidRPr="00A076DA" w:rsidR="00A40B86">
        <w:rPr>
          <w:noProof/>
        </w:rPr>
        <w:t xml:space="preserve">, </w:t>
      </w:r>
      <w:r w:rsidRPr="002C3F71" w:rsidR="00A40B86">
        <w:rPr>
          <w:b/>
          <w:bCs/>
          <w:noProof/>
        </w:rPr>
        <w:t>Fureidis</w:t>
      </w:r>
      <w:r w:rsidRPr="00A076DA" w:rsidR="00A40B86">
        <w:rPr>
          <w:noProof/>
        </w:rPr>
        <w:t xml:space="preserve">, and </w:t>
      </w:r>
      <w:r w:rsidRPr="002C3F71" w:rsidR="00A40B86">
        <w:rPr>
          <w:b/>
          <w:bCs/>
          <w:noProof/>
        </w:rPr>
        <w:t>Kiryat Ye'arim</w:t>
      </w:r>
      <w:r w:rsidRPr="00A076DA" w:rsidR="00A40B86">
        <w:rPr>
          <w:noProof/>
        </w:rPr>
        <w:t xml:space="preserve"> – have prepared disaster recovery plans under the National Cyber Directorate "Cyber Defense Theory" document</w:t>
      </w:r>
      <w:r w:rsidRPr="00D12832">
        <w:t>.</w:t>
      </w:r>
    </w:p>
    <w:p w:rsidR="00A40B86" w:rsidRPr="00D12832" w:rsidP="00A40B86" w14:paraId="4C4437E1" w14:textId="488F0541">
      <w:pPr>
        <w:pStyle w:val="7191"/>
        <w:bidi w:val="0"/>
        <w:spacing w:before="180"/>
        <w:ind w:left="397"/>
      </w:pPr>
      <w:r w:rsidRPr="002C3F71">
        <w:rPr>
          <w:rFonts w:hint="cs"/>
          <w:b/>
          <w:bCs/>
          <w:noProof/>
          <w:rtl/>
        </w:rPr>
        <w:drawing>
          <wp:anchor distT="0" distB="0" distL="0" distR="0" simplePos="0" relativeHeight="251709440"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14631191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311916"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3F71">
        <w:rPr>
          <w:b/>
          <w:bCs/>
          <w:noProof/>
        </w:rPr>
        <w:t>Information Security and Privacy Protection Audits –</w:t>
      </w:r>
      <w:r w:rsidRPr="00A076DA">
        <w:rPr>
          <w:noProof/>
        </w:rPr>
        <w:t xml:space="preserve"> none of the examined local authorities – </w:t>
      </w:r>
      <w:r w:rsidRPr="002C3F71">
        <w:rPr>
          <w:b/>
          <w:bCs/>
          <w:noProof/>
        </w:rPr>
        <w:t>Elyakhin</w:t>
      </w:r>
      <w:r w:rsidRPr="00A076DA">
        <w:rPr>
          <w:noProof/>
        </w:rPr>
        <w:t xml:space="preserve">, </w:t>
      </w:r>
      <w:r w:rsidRPr="002C3F71">
        <w:rPr>
          <w:b/>
          <w:bCs/>
          <w:noProof/>
        </w:rPr>
        <w:t>Beit Dagan</w:t>
      </w:r>
      <w:r w:rsidRPr="00A076DA">
        <w:rPr>
          <w:noProof/>
        </w:rPr>
        <w:t xml:space="preserve">, </w:t>
      </w:r>
      <w:r w:rsidRPr="002C3F71">
        <w:rPr>
          <w:b/>
          <w:bCs/>
          <w:noProof/>
        </w:rPr>
        <w:t>Jaljulia</w:t>
      </w:r>
      <w:r w:rsidRPr="00A076DA">
        <w:rPr>
          <w:noProof/>
        </w:rPr>
        <w:t xml:space="preserve">, </w:t>
      </w:r>
      <w:r w:rsidRPr="002C3F71">
        <w:rPr>
          <w:b/>
          <w:bCs/>
          <w:noProof/>
        </w:rPr>
        <w:t>Merhavim</w:t>
      </w:r>
      <w:r w:rsidRPr="00A076DA">
        <w:rPr>
          <w:noProof/>
        </w:rPr>
        <w:t xml:space="preserve">, </w:t>
      </w:r>
      <w:r w:rsidRPr="002C3F71">
        <w:rPr>
          <w:b/>
          <w:bCs/>
          <w:noProof/>
        </w:rPr>
        <w:t>Fureidis</w:t>
      </w:r>
      <w:r w:rsidRPr="00A076DA">
        <w:rPr>
          <w:noProof/>
        </w:rPr>
        <w:t xml:space="preserve">, and </w:t>
      </w:r>
      <w:r w:rsidRPr="002C3F71">
        <w:rPr>
          <w:b/>
          <w:bCs/>
          <w:noProof/>
        </w:rPr>
        <w:t>Kiryat Ye'arim</w:t>
      </w:r>
      <w:r w:rsidRPr="00A076DA">
        <w:rPr>
          <w:noProof/>
        </w:rPr>
        <w:t xml:space="preserve"> – performed periodic internal or external audits, at least every 24 months, by a qualified factor other than the organization's information security officer, as required in regulations. The Senior Audit Division at the Ministry of Interior did not include information security in the external auditors' audit plans. No examined local authority had obtained insurance coverage for cyber incidents, nor was a risk assessment procedure conducted</w:t>
      </w:r>
      <w:r w:rsidRPr="00D12832">
        <w:t>.</w:t>
      </w:r>
    </w:p>
    <w:p w:rsidR="00A40B86" w:rsidRPr="00D12832" w:rsidP="00A40B86" w14:paraId="08CA1996" w14:textId="54B5C0AC">
      <w:pPr>
        <w:pStyle w:val="7191"/>
        <w:bidi w:val="0"/>
        <w:spacing w:before="180"/>
        <w:ind w:left="397"/>
      </w:pPr>
      <w:r w:rsidRPr="002C3F71">
        <w:rPr>
          <w:rFonts w:hint="cs"/>
          <w:b/>
          <w:bCs/>
          <w:noProof/>
          <w:rtl/>
        </w:rPr>
        <w:drawing>
          <wp:anchor distT="0" distB="0" distL="0" distR="0" simplePos="0" relativeHeight="25171046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96168188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681889"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C3F71">
        <w:rPr>
          <w:b/>
          <w:bCs/>
          <w:noProof/>
        </w:rPr>
        <w:t>Regulation of Cyber Protection in Local Authorities</w:t>
      </w:r>
      <w:r w:rsidRPr="00A076DA">
        <w:rPr>
          <w:noProof/>
        </w:rPr>
        <w:t xml:space="preserve"> </w:t>
      </w:r>
      <w:r w:rsidRPr="002C3F71">
        <w:rPr>
          <w:b/>
          <w:bCs/>
          <w:noProof/>
        </w:rPr>
        <w:t>–</w:t>
      </w:r>
      <w:r w:rsidRPr="00A076DA">
        <w:rPr>
          <w:noProof/>
        </w:rPr>
        <w:t xml:space="preserve"> as of November 2023, no agreement has been reached regarding continuing the sectoral unit's activities within the Ministry of Interior concerning cyber protection regulation for local authorities. Until the end of 2023, the Ministry of Interior served solely as a supporting, advisory, and assisting body through its sectoral unit. Consequently, there has been an absence of coordinated </w:t>
      </w:r>
      <w:r w:rsidRPr="00A076DA">
        <w:rPr>
          <w:noProof/>
        </w:rPr>
        <w:t>guidance for local authorities in cyberspace protection</w:t>
      </w:r>
      <w:r>
        <w:rPr>
          <w:noProof/>
          <w:vertAlign w:val="superscript"/>
        </w:rPr>
        <w:footnoteReference w:id="6"/>
      </w:r>
      <w:r w:rsidRPr="00A076DA">
        <w:rPr>
          <w:noProof/>
        </w:rPr>
        <w:t>. As a result, local authorities currently operate without comprehensive professional guidelines, leading to varied approaches based on individual discretion</w:t>
      </w:r>
      <w:r w:rsidRPr="00D12832">
        <w:t>.</w:t>
      </w:r>
    </w:p>
    <w:p w:rsidR="003E0EAA" w:rsidRPr="008874F2" w:rsidP="003E0EAA" w14:paraId="13335FCD" w14:textId="3C836A42">
      <w:pPr>
        <w:pStyle w:val="719"/>
        <w:bidi w:val="0"/>
        <w:rPr>
          <w:rtl/>
        </w:rPr>
      </w:pPr>
      <w:r>
        <w:rPr>
          <w:noProof/>
          <w:sz w:val="19"/>
          <w:szCs w:val="19"/>
        </w:rPr>
        <w:drawing>
          <wp:anchor distT="0" distB="0" distL="114300" distR="114300" simplePos="0" relativeHeight="251679744" behindDoc="0" locked="0" layoutInCell="1" allowOverlap="1">
            <wp:simplePos x="0" y="0"/>
            <wp:positionH relativeFrom="column">
              <wp:posOffset>-3175</wp:posOffset>
            </wp:positionH>
            <wp:positionV relativeFrom="paragraph">
              <wp:posOffset>54787</wp:posOffset>
            </wp:positionV>
            <wp:extent cx="2879725" cy="158115"/>
            <wp:effectExtent l="0" t="0" r="0" b="0"/>
            <wp:wrapNone/>
            <wp:docPr id="145106665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2" name="Picture 2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2C3F71" w:rsidRPr="00A076DA" w:rsidP="002C3F71" w14:paraId="7DA356EB" w14:textId="77777777">
      <w:pPr>
        <w:pStyle w:val="7191"/>
        <w:bidi w:val="0"/>
        <w:spacing w:before="180"/>
        <w:ind w:left="397"/>
        <w:rPr>
          <w:noProof/>
        </w:rPr>
      </w:pPr>
      <w:r w:rsidRPr="002C3F71">
        <w:rPr>
          <w:b/>
          <w:bCs/>
          <w:noProof/>
        </w:rPr>
        <w:t xml:space="preserve">Annual Work Plan </w:t>
      </w:r>
      <w:bookmarkStart w:id="10" w:name="_Hlk181188717"/>
      <w:r w:rsidRPr="002C3F71">
        <w:rPr>
          <w:b/>
          <w:bCs/>
          <w:noProof/>
        </w:rPr>
        <w:t>–</w:t>
      </w:r>
      <w:bookmarkEnd w:id="10"/>
      <w:r w:rsidRPr="00A076DA">
        <w:rPr>
          <w:noProof/>
        </w:rPr>
        <w:t xml:space="preserve"> </w:t>
      </w:r>
      <w:r w:rsidRPr="002C3F71">
        <w:rPr>
          <w:b/>
          <w:bCs/>
          <w:noProof/>
        </w:rPr>
        <w:t>Jaljulia</w:t>
      </w:r>
      <w:r w:rsidRPr="00A076DA">
        <w:rPr>
          <w:noProof/>
        </w:rPr>
        <w:t xml:space="preserve"> has formulated annual work plans that address information security tasks to enhance supervision of compliance with information security regulations for 2022–2023. The 2022 work plan identified seven tasks in information security from a total of 25 digitization and computing tasks. Six of these tasks were successfully completed by the end of the year.</w:t>
      </w:r>
    </w:p>
    <w:p w:rsidR="002C3F71" w:rsidRPr="00A076DA" w:rsidP="002C3F71" w14:paraId="7E4A6469" w14:textId="77777777">
      <w:pPr>
        <w:pStyle w:val="7191"/>
        <w:bidi w:val="0"/>
        <w:spacing w:before="180"/>
        <w:ind w:left="397"/>
        <w:rPr>
          <w:noProof/>
        </w:rPr>
      </w:pPr>
      <w:r w:rsidRPr="002C3F71">
        <w:rPr>
          <w:b/>
          <w:bCs/>
          <w:noProof/>
        </w:rPr>
        <w:t xml:space="preserve">Management of the Computing Field in Jaljulia – </w:t>
      </w:r>
      <w:r w:rsidRPr="00A076DA">
        <w:rPr>
          <w:noProof/>
        </w:rPr>
        <w:t xml:space="preserve">despite being a small local authority within a low socio-economic cluster, </w:t>
      </w:r>
      <w:r w:rsidRPr="002C3F71">
        <w:rPr>
          <w:b/>
          <w:bCs/>
          <w:noProof/>
        </w:rPr>
        <w:t>Jaljulia</w:t>
      </w:r>
      <w:r w:rsidRPr="00A076DA">
        <w:rPr>
          <w:noProof/>
        </w:rPr>
        <w:t xml:space="preserve"> has successfully advanced in the digital domain with limited resources, utilizing systems and tools often absent in larger, more established local authorities.</w:t>
      </w:r>
    </w:p>
    <w:p w:rsidR="00424CEB" w:rsidRPr="00FF2854" w:rsidP="002C3F71" w14:paraId="23233861" w14:textId="06FB17D8">
      <w:pPr>
        <w:pStyle w:val="7191"/>
        <w:bidi w:val="0"/>
        <w:ind w:left="397"/>
        <w:rPr>
          <w:bCs/>
          <w:rtl/>
        </w:rPr>
      </w:pPr>
      <w:r w:rsidRPr="002C3F71">
        <w:rPr>
          <w:b/>
          <w:bCs/>
          <w:noProof/>
        </w:rPr>
        <w:t>Computerized Systems Used by Local Authorities –</w:t>
      </w:r>
      <w:r w:rsidRPr="00A076DA">
        <w:rPr>
          <w:noProof/>
        </w:rPr>
        <w:t xml:space="preserve"> in </w:t>
      </w:r>
      <w:r w:rsidRPr="002C3F71">
        <w:rPr>
          <w:b/>
          <w:bCs/>
          <w:noProof/>
        </w:rPr>
        <w:t>Jaljulia</w:t>
      </w:r>
      <w:r w:rsidRPr="00A076DA">
        <w:rPr>
          <w:noProof/>
        </w:rPr>
        <w:t xml:space="preserve"> and </w:t>
      </w:r>
      <w:r w:rsidRPr="002C3F71">
        <w:rPr>
          <w:b/>
          <w:bCs/>
          <w:noProof/>
        </w:rPr>
        <w:t>Kiryat Ye'arim</w:t>
      </w:r>
      <w:r w:rsidRPr="00A076DA">
        <w:rPr>
          <w:noProof/>
        </w:rPr>
        <w:t>, with a computing officer subordinate to the CEO, the number of computerized systems is the highest among all authorities examined</w:t>
      </w:r>
      <w:r w:rsidRPr="00FF2854">
        <w:rPr>
          <w:bCs/>
        </w:rPr>
        <w:t>.</w:t>
      </w:r>
      <w:r w:rsidRPr="00FF2854">
        <w:rPr>
          <w:bCs/>
          <w:rtl/>
        </w:rPr>
        <w:t xml:space="preserve"> </w:t>
      </w:r>
    </w:p>
    <w:p w:rsidR="004516D9" w:rsidP="004516D9" w14:paraId="3B611378" w14:textId="77777777">
      <w:pPr>
        <w:pStyle w:val="7191"/>
        <w:bidi w:val="0"/>
        <w:spacing w:after="0"/>
      </w:pPr>
    </w:p>
    <w:p w:rsidR="007E0204" w:rsidP="007E0204" w14:paraId="45D89D2D" w14:textId="50C37D5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7E0204" w:rsidRPr="00902625" w:rsidP="007E0204" w14:paraId="221294C0" w14:textId="2073DB49">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sidR="004806D7">
        <w:rPr>
          <w:rFonts w:ascii="Tahoma" w:hAnsi="Tahoma" w:cs="Tahoma"/>
          <w:b/>
          <w:bCs/>
          <w:color w:val="00305F"/>
          <w:sz w:val="32"/>
          <w:szCs w:val="32"/>
        </w:rPr>
        <w:t>R</w:t>
      </w:r>
      <w:r w:rsidRPr="00AE5F94">
        <w:rPr>
          <w:rFonts w:ascii="Tahoma" w:hAnsi="Tahoma" w:cs="Tahoma"/>
          <w:b/>
          <w:bCs/>
          <w:color w:val="00305F"/>
          <w:sz w:val="32"/>
          <w:szCs w:val="32"/>
        </w:rPr>
        <w:t>ecommendations</w:t>
      </w:r>
    </w:p>
    <w:p w:rsidR="007E0204" w:rsidRPr="00C50F58" w:rsidP="00682C3F" w14:paraId="33D561A5" w14:textId="05925323">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588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9" name="תמונה 33"/>
            <wp:cNvGraphicFramePr/>
            <a:graphic xmlns:a="http://schemas.openxmlformats.org/drawingml/2006/main">
              <a:graphicData uri="http://schemas.openxmlformats.org/drawingml/2006/picture">
                <pic:pic xmlns:pic="http://schemas.openxmlformats.org/drawingml/2006/picture">
                  <pic:nvPicPr>
                    <pic:cNvPr id="49"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94F" w:rsidR="002C3F71">
        <w:rPr>
          <w:noProof/>
          <w:spacing w:val="-2"/>
          <w:sz w:val="18"/>
          <w:szCs w:val="18"/>
        </w:rPr>
        <w:t>It is recommended that the Ministry of Interior issue binding instructions to facilitate digital transformation in local authorities and establish a minimum standard for computerization within them. Additionally, the National Digital Agency and the Ministry of Interior should compile a list of recommended systems for local authority management, outline criteria for provider selection, and promote the horizontal development of specific systems for universal use across local authorities</w:t>
      </w:r>
      <w:r w:rsidRPr="00C50F58">
        <w:rPr>
          <w:rFonts w:hint="cs"/>
          <w:spacing w:val="-2"/>
          <w:sz w:val="18"/>
          <w:szCs w:val="18"/>
        </w:rPr>
        <w:t xml:space="preserve">. </w:t>
      </w:r>
    </w:p>
    <w:p w:rsidR="007E0204" w:rsidP="00682C3F" w14:paraId="1C0FBD87" w14:textId="38A41C03">
      <w:pPr>
        <w:pStyle w:val="ListParagraph"/>
        <w:numPr>
          <w:ilvl w:val="0"/>
          <w:numId w:val="0"/>
        </w:numPr>
        <w:bidi w:val="0"/>
        <w:spacing w:after="180" w:line="260" w:lineRule="exact"/>
        <w:ind w:left="397"/>
        <w:rPr>
          <w:spacing w:val="-2"/>
          <w:sz w:val="18"/>
          <w:szCs w:val="18"/>
        </w:rPr>
      </w:pPr>
      <w:r w:rsidRPr="00F60BA3">
        <w:rPr>
          <w:b/>
          <w:bCs/>
          <w:noProof/>
          <w:spacing w:val="-2"/>
          <w:sz w:val="18"/>
          <w:szCs w:val="18"/>
        </w:rPr>
        <w:drawing>
          <wp:anchor distT="0" distB="3600450" distL="114300" distR="114300" simplePos="0" relativeHeight="25168691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7" name="תמונה 33"/>
            <wp:cNvGraphicFramePr/>
            <a:graphic xmlns:a="http://schemas.openxmlformats.org/drawingml/2006/main">
              <a:graphicData uri="http://schemas.openxmlformats.org/drawingml/2006/picture">
                <pic:pic xmlns:pic="http://schemas.openxmlformats.org/drawingml/2006/picture">
                  <pic:nvPicPr>
                    <pic:cNvPr id="47"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0BA3" w:rsidR="002C3F71">
        <w:rPr>
          <w:b/>
          <w:bCs/>
          <w:noProof/>
          <w:spacing w:val="-2"/>
          <w:sz w:val="18"/>
          <w:szCs w:val="18"/>
        </w:rPr>
        <w:t>Elyakhin</w:t>
      </w:r>
      <w:r w:rsidRPr="008D094F" w:rsidR="002C3F71">
        <w:rPr>
          <w:noProof/>
          <w:spacing w:val="-2"/>
          <w:sz w:val="18"/>
          <w:szCs w:val="18"/>
        </w:rPr>
        <w:t xml:space="preserve">, </w:t>
      </w:r>
      <w:r w:rsidRPr="00F60BA3" w:rsidR="002C3F71">
        <w:rPr>
          <w:b/>
          <w:bCs/>
          <w:noProof/>
          <w:spacing w:val="-2"/>
          <w:sz w:val="18"/>
          <w:szCs w:val="18"/>
        </w:rPr>
        <w:t>Beit Dagan</w:t>
      </w:r>
      <w:r w:rsidRPr="008D094F" w:rsidR="002C3F71">
        <w:rPr>
          <w:noProof/>
          <w:spacing w:val="-2"/>
          <w:sz w:val="18"/>
          <w:szCs w:val="18"/>
        </w:rPr>
        <w:t xml:space="preserve">, </w:t>
      </w:r>
      <w:r w:rsidRPr="00F60BA3" w:rsidR="002C3F71">
        <w:rPr>
          <w:b/>
          <w:bCs/>
          <w:noProof/>
          <w:spacing w:val="-2"/>
          <w:sz w:val="18"/>
          <w:szCs w:val="18"/>
        </w:rPr>
        <w:t>Fureidis</w:t>
      </w:r>
      <w:r w:rsidRPr="008D094F" w:rsidR="002C3F71">
        <w:rPr>
          <w:noProof/>
          <w:spacing w:val="-2"/>
          <w:sz w:val="18"/>
          <w:szCs w:val="18"/>
        </w:rPr>
        <w:t xml:space="preserve">, </w:t>
      </w:r>
      <w:r w:rsidRPr="00F60BA3" w:rsidR="002C3F71">
        <w:rPr>
          <w:b/>
          <w:bCs/>
          <w:noProof/>
          <w:spacing w:val="-2"/>
          <w:sz w:val="18"/>
          <w:szCs w:val="18"/>
        </w:rPr>
        <w:t>Kiryat</w:t>
      </w:r>
      <w:r w:rsidRPr="008D094F" w:rsidR="002C3F71">
        <w:rPr>
          <w:noProof/>
          <w:spacing w:val="-2"/>
          <w:sz w:val="18"/>
          <w:szCs w:val="18"/>
        </w:rPr>
        <w:t xml:space="preserve"> </w:t>
      </w:r>
      <w:r w:rsidRPr="00F60BA3" w:rsidR="002C3F71">
        <w:rPr>
          <w:b/>
          <w:bCs/>
          <w:noProof/>
          <w:spacing w:val="-2"/>
          <w:sz w:val="18"/>
          <w:szCs w:val="18"/>
        </w:rPr>
        <w:t>Ye'arim</w:t>
      </w:r>
      <w:r w:rsidRPr="008D094F" w:rsidR="002C3F71">
        <w:rPr>
          <w:noProof/>
          <w:spacing w:val="-2"/>
          <w:sz w:val="18"/>
          <w:szCs w:val="18"/>
        </w:rPr>
        <w:t xml:space="preserve">, and </w:t>
      </w:r>
      <w:r w:rsidRPr="00F60BA3" w:rsidR="002C3F71">
        <w:rPr>
          <w:b/>
          <w:bCs/>
          <w:noProof/>
          <w:spacing w:val="-2"/>
          <w:sz w:val="18"/>
          <w:szCs w:val="18"/>
        </w:rPr>
        <w:t>Merhavim</w:t>
      </w:r>
      <w:r w:rsidRPr="008D094F" w:rsidR="002C3F71">
        <w:rPr>
          <w:noProof/>
          <w:spacing w:val="-2"/>
          <w:sz w:val="18"/>
          <w:szCs w:val="18"/>
        </w:rPr>
        <w:t xml:space="preserve"> Regional Council should formulate a long-term strategy for computing and form a comprehensive master plan. This plan should include technological requirements and a practical implementation framework, encompassing budget and schedules</w:t>
      </w:r>
      <w:r w:rsidRPr="00C50F58">
        <w:rPr>
          <w:rFonts w:hint="cs"/>
          <w:spacing w:val="-2"/>
          <w:sz w:val="18"/>
          <w:szCs w:val="18"/>
        </w:rPr>
        <w:t>.</w:t>
      </w:r>
    </w:p>
    <w:p w:rsidR="00D12832" w:rsidRPr="00C50F58" w:rsidP="00D12832" w14:paraId="275C7970" w14:textId="238E7D59">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329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7672958" name="תמונה 33"/>
            <wp:cNvGraphicFramePr/>
            <a:graphic xmlns:a="http://schemas.openxmlformats.org/drawingml/2006/main">
              <a:graphicData uri="http://schemas.openxmlformats.org/drawingml/2006/picture">
                <pic:pic xmlns:pic="http://schemas.openxmlformats.org/drawingml/2006/picture">
                  <pic:nvPicPr>
                    <pic:cNvPr id="1917672958"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94F" w:rsidR="002C3F71">
        <w:rPr>
          <w:noProof/>
          <w:spacing w:val="-2"/>
          <w:sz w:val="18"/>
          <w:szCs w:val="18"/>
        </w:rPr>
        <w:t xml:space="preserve">Given the significance of information systems and digitization, it is recommended that </w:t>
      </w:r>
      <w:r w:rsidRPr="00F60BA3" w:rsidR="002C3F71">
        <w:rPr>
          <w:b/>
          <w:bCs/>
          <w:noProof/>
          <w:spacing w:val="-2"/>
          <w:sz w:val="18"/>
          <w:szCs w:val="18"/>
        </w:rPr>
        <w:t>Elyakhin</w:t>
      </w:r>
      <w:r w:rsidRPr="008D094F" w:rsidR="002C3F71">
        <w:rPr>
          <w:noProof/>
          <w:spacing w:val="-2"/>
          <w:sz w:val="18"/>
          <w:szCs w:val="18"/>
        </w:rPr>
        <w:t xml:space="preserve"> and </w:t>
      </w:r>
      <w:r w:rsidRPr="00F60BA3" w:rsidR="002C3F71">
        <w:rPr>
          <w:b/>
          <w:bCs/>
          <w:noProof/>
          <w:spacing w:val="-2"/>
          <w:sz w:val="18"/>
          <w:szCs w:val="18"/>
        </w:rPr>
        <w:t>Fureidis</w:t>
      </w:r>
      <w:r w:rsidRPr="008D094F" w:rsidR="002C3F71">
        <w:rPr>
          <w:noProof/>
          <w:spacing w:val="-2"/>
          <w:sz w:val="18"/>
          <w:szCs w:val="18"/>
        </w:rPr>
        <w:t xml:space="preserve"> appoint a professional body within their administrative framework to manage and advance this field. Furthermore, </w:t>
      </w:r>
      <w:r w:rsidRPr="00F60BA3" w:rsidR="002C3F71">
        <w:rPr>
          <w:b/>
          <w:bCs/>
          <w:noProof/>
          <w:spacing w:val="-2"/>
          <w:sz w:val="18"/>
          <w:szCs w:val="18"/>
        </w:rPr>
        <w:t>Beit</w:t>
      </w:r>
      <w:r w:rsidRPr="008D094F" w:rsidR="002C3F71">
        <w:rPr>
          <w:noProof/>
          <w:spacing w:val="-2"/>
          <w:sz w:val="18"/>
          <w:szCs w:val="18"/>
        </w:rPr>
        <w:t xml:space="preserve"> </w:t>
      </w:r>
      <w:r w:rsidRPr="00F60BA3" w:rsidR="002C3F71">
        <w:rPr>
          <w:b/>
          <w:bCs/>
          <w:noProof/>
          <w:spacing w:val="-2"/>
          <w:sz w:val="18"/>
          <w:szCs w:val="18"/>
        </w:rPr>
        <w:t>Dagan</w:t>
      </w:r>
      <w:r w:rsidRPr="008D094F" w:rsidR="002C3F71">
        <w:rPr>
          <w:noProof/>
          <w:spacing w:val="-2"/>
          <w:sz w:val="18"/>
          <w:szCs w:val="18"/>
        </w:rPr>
        <w:t xml:space="preserve">, </w:t>
      </w:r>
      <w:r w:rsidRPr="00F60BA3" w:rsidR="002C3F71">
        <w:rPr>
          <w:b/>
          <w:bCs/>
          <w:noProof/>
          <w:spacing w:val="-2"/>
          <w:sz w:val="18"/>
          <w:szCs w:val="18"/>
        </w:rPr>
        <w:t>Kiryat</w:t>
      </w:r>
      <w:r w:rsidRPr="008D094F" w:rsidR="002C3F71">
        <w:rPr>
          <w:noProof/>
          <w:spacing w:val="-2"/>
          <w:sz w:val="18"/>
          <w:szCs w:val="18"/>
        </w:rPr>
        <w:t xml:space="preserve"> </w:t>
      </w:r>
      <w:r w:rsidRPr="00F60BA3" w:rsidR="002C3F71">
        <w:rPr>
          <w:b/>
          <w:bCs/>
          <w:noProof/>
          <w:spacing w:val="-2"/>
          <w:sz w:val="18"/>
          <w:szCs w:val="18"/>
        </w:rPr>
        <w:t>Ye'arim</w:t>
      </w:r>
      <w:r w:rsidRPr="008D094F" w:rsidR="002C3F71">
        <w:rPr>
          <w:noProof/>
          <w:spacing w:val="-2"/>
          <w:sz w:val="18"/>
          <w:szCs w:val="18"/>
        </w:rPr>
        <w:t xml:space="preserve">, and the </w:t>
      </w:r>
      <w:r w:rsidRPr="00F60BA3" w:rsidR="002C3F71">
        <w:rPr>
          <w:b/>
          <w:bCs/>
          <w:noProof/>
          <w:spacing w:val="-2"/>
          <w:sz w:val="18"/>
          <w:szCs w:val="18"/>
        </w:rPr>
        <w:t>Merhavim</w:t>
      </w:r>
      <w:r w:rsidRPr="008D094F" w:rsidR="002C3F71">
        <w:rPr>
          <w:noProof/>
          <w:spacing w:val="-2"/>
          <w:sz w:val="18"/>
          <w:szCs w:val="18"/>
        </w:rPr>
        <w:t xml:space="preserve"> Regional Council should involve the external manager of their computing services in decision-making within the local authority's management team</w:t>
      </w:r>
      <w:r w:rsidRPr="00C50F58">
        <w:rPr>
          <w:rFonts w:hint="cs"/>
          <w:spacing w:val="-2"/>
          <w:sz w:val="18"/>
          <w:szCs w:val="18"/>
        </w:rPr>
        <w:t xml:space="preserve">. </w:t>
      </w:r>
    </w:p>
    <w:p w:rsidR="00D12832" w:rsidRPr="00C50F58" w:rsidP="00D12832" w14:paraId="60A330EC" w14:textId="0F0CBB22">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432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719082896" name="תמונה 33"/>
            <wp:cNvGraphicFramePr/>
            <a:graphic xmlns:a="http://schemas.openxmlformats.org/drawingml/2006/main">
              <a:graphicData uri="http://schemas.openxmlformats.org/drawingml/2006/picture">
                <pic:pic xmlns:pic="http://schemas.openxmlformats.org/drawingml/2006/picture">
                  <pic:nvPicPr>
                    <pic:cNvPr id="719082896"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94F" w:rsidR="002C3F71">
        <w:rPr>
          <w:noProof/>
          <w:spacing w:val="-2"/>
          <w:sz w:val="18"/>
          <w:szCs w:val="18"/>
        </w:rPr>
        <w:t>The Ministry of Interior should establish an incentive mechanism to encourage local authority representatives to participate in the "Digital Leaders" program and reassess the eligibility criteria for the "Digital Leaders" and "Digital Accelerators" programs. This reassessment should increase employee participation and emphasize training initiatives for smaller local authorities</w:t>
      </w:r>
      <w:r w:rsidRPr="00C50F58">
        <w:rPr>
          <w:rFonts w:hint="cs"/>
          <w:spacing w:val="-2"/>
          <w:sz w:val="18"/>
          <w:szCs w:val="18"/>
        </w:rPr>
        <w:t xml:space="preserve">. </w:t>
      </w:r>
    </w:p>
    <w:p w:rsidR="00D12832" w:rsidRPr="00C50F58" w:rsidP="00D12832" w14:paraId="195EE1A5" w14:textId="6070C75F">
      <w:pPr>
        <w:pStyle w:val="ListParagraph"/>
        <w:numPr>
          <w:ilvl w:val="0"/>
          <w:numId w:val="0"/>
        </w:numPr>
        <w:bidi w:val="0"/>
        <w:spacing w:after="180" w:line="260" w:lineRule="exact"/>
        <w:ind w:left="397"/>
        <w:rPr>
          <w:spacing w:val="-2"/>
          <w:sz w:val="18"/>
          <w:szCs w:val="18"/>
        </w:rPr>
      </w:pPr>
      <w:r w:rsidRPr="00F60BA3">
        <w:rPr>
          <w:b/>
          <w:bCs/>
          <w:noProof/>
          <w:spacing w:val="-2"/>
          <w:sz w:val="18"/>
          <w:szCs w:val="18"/>
        </w:rPr>
        <w:drawing>
          <wp:anchor distT="0" distB="3600450" distL="114300" distR="114300" simplePos="0" relativeHeight="25170534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474628561" name="תמונה 33"/>
            <wp:cNvGraphicFramePr/>
            <a:graphic xmlns:a="http://schemas.openxmlformats.org/drawingml/2006/main">
              <a:graphicData uri="http://schemas.openxmlformats.org/drawingml/2006/picture">
                <pic:pic xmlns:pic="http://schemas.openxmlformats.org/drawingml/2006/picture">
                  <pic:nvPicPr>
                    <pic:cNvPr id="1474628561"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0BA3" w:rsidR="002C3F71">
        <w:rPr>
          <w:b/>
          <w:bCs/>
          <w:noProof/>
          <w:spacing w:val="-2"/>
          <w:sz w:val="18"/>
          <w:szCs w:val="18"/>
        </w:rPr>
        <w:t>Elyakhin</w:t>
      </w:r>
      <w:r w:rsidRPr="008D094F" w:rsidR="002C3F71">
        <w:rPr>
          <w:noProof/>
          <w:spacing w:val="-2"/>
          <w:sz w:val="18"/>
          <w:szCs w:val="18"/>
        </w:rPr>
        <w:t xml:space="preserve">, </w:t>
      </w:r>
      <w:r w:rsidRPr="00F60BA3" w:rsidR="002C3F71">
        <w:rPr>
          <w:b/>
          <w:bCs/>
          <w:noProof/>
          <w:spacing w:val="-2"/>
          <w:sz w:val="18"/>
          <w:szCs w:val="18"/>
        </w:rPr>
        <w:t>Beit Dagan</w:t>
      </w:r>
      <w:r w:rsidRPr="008D094F" w:rsidR="002C3F71">
        <w:rPr>
          <w:noProof/>
          <w:spacing w:val="-2"/>
          <w:sz w:val="18"/>
          <w:szCs w:val="18"/>
        </w:rPr>
        <w:t xml:space="preserve">, </w:t>
      </w:r>
      <w:r w:rsidRPr="00F60BA3" w:rsidR="002C3F71">
        <w:rPr>
          <w:b/>
          <w:bCs/>
          <w:noProof/>
          <w:spacing w:val="-2"/>
          <w:sz w:val="18"/>
          <w:szCs w:val="18"/>
        </w:rPr>
        <w:t>Kiryat</w:t>
      </w:r>
      <w:r w:rsidRPr="008D094F" w:rsidR="002C3F71">
        <w:rPr>
          <w:noProof/>
          <w:spacing w:val="-2"/>
          <w:sz w:val="18"/>
          <w:szCs w:val="18"/>
        </w:rPr>
        <w:t xml:space="preserve"> </w:t>
      </w:r>
      <w:r w:rsidRPr="00F60BA3" w:rsidR="002C3F71">
        <w:rPr>
          <w:b/>
          <w:bCs/>
          <w:noProof/>
          <w:spacing w:val="-2"/>
          <w:sz w:val="18"/>
          <w:szCs w:val="18"/>
        </w:rPr>
        <w:t>Ye'arim</w:t>
      </w:r>
      <w:r w:rsidRPr="008D094F" w:rsidR="002C3F71">
        <w:rPr>
          <w:noProof/>
          <w:spacing w:val="-2"/>
          <w:sz w:val="18"/>
          <w:szCs w:val="18"/>
        </w:rPr>
        <w:t xml:space="preserve">, and </w:t>
      </w:r>
      <w:r w:rsidRPr="00F60BA3" w:rsidR="002C3F71">
        <w:rPr>
          <w:b/>
          <w:bCs/>
          <w:noProof/>
          <w:spacing w:val="-2"/>
          <w:sz w:val="18"/>
          <w:szCs w:val="18"/>
        </w:rPr>
        <w:t>Fureidis</w:t>
      </w:r>
      <w:r w:rsidRPr="008D094F" w:rsidR="002C3F71">
        <w:rPr>
          <w:noProof/>
          <w:spacing w:val="-2"/>
          <w:sz w:val="18"/>
          <w:szCs w:val="18"/>
        </w:rPr>
        <w:t xml:space="preserve"> should develop annual and multi-year computing plans linked to their budgets, incorporating performance indicators for execution. They must prepare a budget for the computing field according to their computing needs and approve necessary budget adjustments according to the utilization of budgets during the year as required by the provisions of the law. Moreover, it is recommended that the Ministry of Interior and the National Digital Agency explore the feasibility of integrating local authorities' annual budget proposals for computing as derivatives of multi-year budget plans, with all the implications deriving from this</w:t>
      </w:r>
      <w:r w:rsidRPr="00C50F58">
        <w:rPr>
          <w:rFonts w:hint="cs"/>
          <w:spacing w:val="-2"/>
          <w:sz w:val="18"/>
          <w:szCs w:val="18"/>
        </w:rPr>
        <w:t xml:space="preserve">. </w:t>
      </w:r>
    </w:p>
    <w:p w:rsidR="00D12832" w:rsidRPr="00C50F58" w:rsidP="00D12832" w14:paraId="7D34CD01" w14:textId="7E1E31A0">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636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55820183" name="תמונה 33"/>
            <wp:cNvGraphicFramePr/>
            <a:graphic xmlns:a="http://schemas.openxmlformats.org/drawingml/2006/main">
              <a:graphicData uri="http://schemas.openxmlformats.org/drawingml/2006/picture">
                <pic:pic xmlns:pic="http://schemas.openxmlformats.org/drawingml/2006/picture">
                  <pic:nvPicPr>
                    <pic:cNvPr id="455820183"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94F" w:rsidR="002C3F71">
        <w:rPr>
          <w:noProof/>
          <w:spacing w:val="-2"/>
          <w:sz w:val="18"/>
          <w:szCs w:val="18"/>
        </w:rPr>
        <w:t>The National Digital Agency should examine the implementation of advanced digital projects following the calls for proposals, analyze the reasons why local and regional authorities are not implementing the budget, and identify ways for easing budget execution, including assessing local authorities' self-participation rates in financing digital initiatives (corresponding financing rate), especially for local authorities in lower socio-economic clusters and recovery plans</w:t>
      </w:r>
      <w:r w:rsidRPr="00C50F58">
        <w:rPr>
          <w:rFonts w:hint="cs"/>
          <w:spacing w:val="-2"/>
          <w:sz w:val="18"/>
          <w:szCs w:val="18"/>
        </w:rPr>
        <w:t xml:space="preserve">. </w:t>
      </w:r>
    </w:p>
    <w:p w:rsidR="00D12832" w:rsidRPr="00C50F58" w:rsidP="00D12832" w14:paraId="329B0D2A" w14:textId="34DEDD53">
      <w:pPr>
        <w:pStyle w:val="ListParagraph"/>
        <w:numPr>
          <w:ilvl w:val="0"/>
          <w:numId w:val="0"/>
        </w:numPr>
        <w:bidi w:val="0"/>
        <w:spacing w:after="180" w:line="260" w:lineRule="exact"/>
        <w:ind w:left="397"/>
        <w:rPr>
          <w:spacing w:val="-2"/>
          <w:sz w:val="18"/>
          <w:szCs w:val="18"/>
        </w:rPr>
      </w:pPr>
      <w:r w:rsidRPr="00F60BA3">
        <w:rPr>
          <w:b/>
          <w:bCs/>
          <w:noProof/>
          <w:spacing w:val="-2"/>
          <w:sz w:val="18"/>
          <w:szCs w:val="18"/>
        </w:rPr>
        <w:drawing>
          <wp:anchor distT="0" distB="3600450" distL="114300" distR="114300" simplePos="0" relativeHeight="25170739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61824964" name="תמונה 33"/>
            <wp:cNvGraphicFramePr/>
            <a:graphic xmlns:a="http://schemas.openxmlformats.org/drawingml/2006/main">
              <a:graphicData uri="http://schemas.openxmlformats.org/drawingml/2006/picture">
                <pic:pic xmlns:pic="http://schemas.openxmlformats.org/drawingml/2006/picture">
                  <pic:nvPicPr>
                    <pic:cNvPr id="61824964"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0BA3" w:rsidR="002C3F71">
        <w:rPr>
          <w:b/>
          <w:bCs/>
          <w:noProof/>
          <w:spacing w:val="-2"/>
          <w:sz w:val="18"/>
          <w:szCs w:val="18"/>
        </w:rPr>
        <w:t>Elyakhin</w:t>
      </w:r>
      <w:r w:rsidRPr="008D094F" w:rsidR="002C3F71">
        <w:rPr>
          <w:noProof/>
          <w:spacing w:val="-2"/>
          <w:sz w:val="18"/>
          <w:szCs w:val="18"/>
        </w:rPr>
        <w:t xml:space="preserve">, </w:t>
      </w:r>
      <w:r w:rsidRPr="00F60BA3" w:rsidR="002C3F71">
        <w:rPr>
          <w:b/>
          <w:bCs/>
          <w:noProof/>
          <w:spacing w:val="-2"/>
          <w:sz w:val="18"/>
          <w:szCs w:val="18"/>
        </w:rPr>
        <w:t>Merhavim</w:t>
      </w:r>
      <w:r w:rsidRPr="008D094F" w:rsidR="002C3F71">
        <w:rPr>
          <w:noProof/>
          <w:spacing w:val="-2"/>
          <w:sz w:val="18"/>
          <w:szCs w:val="18"/>
        </w:rPr>
        <w:t xml:space="preserve">, and </w:t>
      </w:r>
      <w:r w:rsidRPr="00F60BA3" w:rsidR="002C3F71">
        <w:rPr>
          <w:b/>
          <w:bCs/>
          <w:noProof/>
          <w:spacing w:val="-2"/>
          <w:sz w:val="18"/>
          <w:szCs w:val="18"/>
        </w:rPr>
        <w:t>Fureidis</w:t>
      </w:r>
      <w:r w:rsidRPr="008D094F" w:rsidR="002C3F71">
        <w:rPr>
          <w:noProof/>
          <w:spacing w:val="-2"/>
          <w:sz w:val="18"/>
          <w:szCs w:val="18"/>
        </w:rPr>
        <w:t xml:space="preserve"> should appoint an information security officer and ensure that the appointment letter includes all details specified by information security regulations. Additionally, </w:t>
      </w:r>
      <w:r w:rsidRPr="00F60BA3" w:rsidR="002C3F71">
        <w:rPr>
          <w:b/>
          <w:bCs/>
          <w:noProof/>
          <w:spacing w:val="-2"/>
          <w:sz w:val="18"/>
          <w:szCs w:val="18"/>
        </w:rPr>
        <w:t>Elyakhin</w:t>
      </w:r>
      <w:r w:rsidRPr="008D094F" w:rsidR="002C3F71">
        <w:rPr>
          <w:noProof/>
          <w:spacing w:val="-2"/>
          <w:sz w:val="18"/>
          <w:szCs w:val="18"/>
        </w:rPr>
        <w:t xml:space="preserve"> and </w:t>
      </w:r>
      <w:r w:rsidRPr="00F60BA3" w:rsidR="002C3F71">
        <w:rPr>
          <w:b/>
          <w:bCs/>
          <w:noProof/>
          <w:spacing w:val="-2"/>
          <w:sz w:val="18"/>
          <w:szCs w:val="18"/>
        </w:rPr>
        <w:t>Fureidis</w:t>
      </w:r>
      <w:r w:rsidRPr="008D094F" w:rsidR="002C3F71">
        <w:rPr>
          <w:noProof/>
          <w:spacing w:val="-2"/>
          <w:sz w:val="18"/>
          <w:szCs w:val="18"/>
        </w:rPr>
        <w:t xml:space="preserve"> should prepare information security procedures as mandated. </w:t>
      </w:r>
      <w:r w:rsidRPr="00F60BA3" w:rsidR="002C3F71">
        <w:rPr>
          <w:b/>
          <w:bCs/>
          <w:noProof/>
          <w:spacing w:val="-2"/>
          <w:sz w:val="18"/>
          <w:szCs w:val="18"/>
        </w:rPr>
        <w:t>Elyakhin</w:t>
      </w:r>
      <w:r w:rsidRPr="008D094F" w:rsidR="002C3F71">
        <w:rPr>
          <w:noProof/>
          <w:spacing w:val="-2"/>
          <w:sz w:val="18"/>
          <w:szCs w:val="18"/>
        </w:rPr>
        <w:t xml:space="preserve"> and </w:t>
      </w:r>
      <w:r w:rsidRPr="00F60BA3" w:rsidR="002C3F71">
        <w:rPr>
          <w:b/>
          <w:bCs/>
          <w:noProof/>
          <w:spacing w:val="-2"/>
          <w:sz w:val="18"/>
          <w:szCs w:val="18"/>
        </w:rPr>
        <w:t>Fureidis</w:t>
      </w:r>
      <w:r w:rsidRPr="008D094F" w:rsidR="002C3F71">
        <w:rPr>
          <w:noProof/>
          <w:spacing w:val="-2"/>
          <w:sz w:val="18"/>
          <w:szCs w:val="18"/>
        </w:rPr>
        <w:t xml:space="preserve"> should create formal procedures for granting and revoking access privileges for current and former employees, maintaining an updated list. They should also establish a data backup procedure for their information systems and adhere to specified backup protocols. Furthermore, as outlined in the regulations, they must conduct periodic audits to ensure database compliance with information security standards</w:t>
      </w:r>
      <w:r w:rsidR="002C3F71">
        <w:rPr>
          <w:spacing w:val="-2"/>
          <w:sz w:val="18"/>
          <w:szCs w:val="18"/>
        </w:rPr>
        <w:t>.</w:t>
      </w:r>
      <w:r w:rsidRPr="00C50F58">
        <w:rPr>
          <w:rFonts w:hint="cs"/>
          <w:spacing w:val="-2"/>
          <w:sz w:val="18"/>
          <w:szCs w:val="18"/>
        </w:rPr>
        <w:t xml:space="preserve"> </w:t>
      </w:r>
    </w:p>
    <w:p w:rsidR="00D12832" w:rsidRPr="00C50F58" w:rsidP="00D12832" w14:paraId="1DB53ACD" w14:textId="2ADBAC58">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841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508346261" name="תמונה 33"/>
            <wp:cNvGraphicFramePr/>
            <a:graphic xmlns:a="http://schemas.openxmlformats.org/drawingml/2006/main">
              <a:graphicData uri="http://schemas.openxmlformats.org/drawingml/2006/picture">
                <pic:pic xmlns:pic="http://schemas.openxmlformats.org/drawingml/2006/picture">
                  <pic:nvPicPr>
                    <pic:cNvPr id="1508346261"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94F" w:rsidR="002C3F71">
        <w:rPr>
          <w:noProof/>
          <w:spacing w:val="-2"/>
          <w:sz w:val="18"/>
          <w:szCs w:val="18"/>
        </w:rPr>
        <w:t>Given the findings in this report and prior assessments indicating deficiencies in local authorities' information security practices, it is recommended that the Ministry of Interior incorporate information security into its annual audit plan or conduct special audits to monitor local authorities' deficiencies rectification</w:t>
      </w:r>
      <w:r w:rsidRPr="00C50F58">
        <w:rPr>
          <w:rFonts w:hint="cs"/>
          <w:spacing w:val="-2"/>
          <w:sz w:val="18"/>
          <w:szCs w:val="18"/>
        </w:rPr>
        <w:t xml:space="preserve">. </w:t>
      </w:r>
    </w:p>
    <w:p w:rsidR="00D12832" w14:paraId="74026A2B" w14:textId="77777777">
      <w:pPr>
        <w:bidi w:val="0"/>
        <w:rPr>
          <w:rFonts w:ascii="Tahoma" w:hAnsi="Tahoma" w:cs="Tahoma"/>
          <w:b/>
          <w:bCs/>
          <w:noProof/>
          <w:color w:val="FFFFFF" w:themeColor="background1"/>
          <w:sz w:val="22"/>
          <w:szCs w:val="22"/>
        </w:rPr>
      </w:pPr>
      <w:r>
        <w:rPr>
          <w:rFonts w:ascii="Tahoma" w:hAnsi="Tahoma" w:cs="Tahoma"/>
          <w:b/>
          <w:bCs/>
          <w:noProof/>
          <w:color w:val="FFFFFF" w:themeColor="background1"/>
          <w:sz w:val="22"/>
          <w:szCs w:val="22"/>
        </w:rPr>
        <w:br w:type="page"/>
      </w:r>
    </w:p>
    <w:p w:rsidR="004B3772" w:rsidRPr="004C3206" w:rsidP="00837C74" w14:paraId="65300AB3" w14:textId="6737E8AA">
      <w:pPr>
        <w:bidi w:val="0"/>
        <w:spacing w:line="276" w:lineRule="auto"/>
        <w:ind w:left="170" w:right="113"/>
        <w:rPr>
          <w:rFonts w:ascii="Tahoma" w:hAnsi="Tahoma" w:cs="Tahoma"/>
          <w:b/>
          <w:bCs/>
          <w:color w:val="FFFFFF" w:themeColor="background1"/>
          <w:sz w:val="22"/>
          <w:szCs w:val="22"/>
        </w:rPr>
      </w:pPr>
      <w:r w:rsidRPr="00474ED3">
        <w:rPr>
          <w:rFonts w:ascii="Tahoma" w:hAnsi="Tahoma" w:cs="Tahoma" w:hint="eastAsia"/>
          <w:b/>
          <w:bCs/>
          <w:noProof/>
          <w:color w:val="FFFFFF" w:themeColor="background1"/>
          <w:sz w:val="22"/>
          <w:szCs w:val="22"/>
          <w:rtl/>
        </w:rPr>
        <w:drawing>
          <wp:anchor distT="0" distB="0" distL="114300" distR="114300" simplePos="0" relativeHeight="251682816" behindDoc="1" locked="0" layoutInCell="1" allowOverlap="1">
            <wp:simplePos x="0" y="0"/>
            <wp:positionH relativeFrom="column">
              <wp:posOffset>-19594</wp:posOffset>
            </wp:positionH>
            <wp:positionV relativeFrom="paragraph">
              <wp:posOffset>-130084</wp:posOffset>
            </wp:positionV>
            <wp:extent cx="4698112" cy="522514"/>
            <wp:effectExtent l="0" t="0" r="1270" b="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38336" cy="526988"/>
                    </a:xfrm>
                    <a:prstGeom prst="rect">
                      <a:avLst/>
                    </a:prstGeom>
                  </pic:spPr>
                </pic:pic>
              </a:graphicData>
            </a:graphic>
            <wp14:sizeRelH relativeFrom="margin">
              <wp14:pctWidth>0</wp14:pctWidth>
            </wp14:sizeRelH>
            <wp14:sizeRelV relativeFrom="margin">
              <wp14:pctHeight>0</wp14:pctHeight>
            </wp14:sizeRelV>
          </wp:anchor>
        </w:drawing>
      </w:r>
      <w:r w:rsidRPr="00F769F3" w:rsidR="00F769F3">
        <w:rPr>
          <w:rFonts w:ascii="Tahoma" w:hAnsi="Tahoma" w:cs="Tahoma"/>
          <w:b/>
          <w:bCs/>
          <w:noProof/>
          <w:color w:val="FFFFFF" w:themeColor="background1"/>
          <w:sz w:val="22"/>
          <w:szCs w:val="22"/>
        </w:rPr>
        <w:t>Types of Computer Systems in Local Authorities</w:t>
      </w:r>
    </w:p>
    <w:p w:rsidR="004B58CE" w:rsidRPr="004B58CE" w:rsidP="00837C74" w14:paraId="3ADE1FD2" w14:textId="3C9707C0">
      <w:pPr>
        <w:spacing w:before="480"/>
        <w:rPr>
          <w:rtl/>
        </w:rPr>
      </w:pPr>
      <w:r>
        <w:rPr>
          <w:noProof/>
          <w:rtl/>
          <w:lang w:val="he-IL"/>
        </w:rPr>
        <w:drawing>
          <wp:inline distT="0" distB="0" distL="0" distR="0">
            <wp:extent cx="4702530" cy="5785769"/>
            <wp:effectExtent l="0" t="0" r="0" b="0"/>
            <wp:docPr id="180261448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14487" name="תמונה 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4702530" cy="5785769"/>
                    </a:xfrm>
                    <a:prstGeom prst="rect">
                      <a:avLst/>
                    </a:prstGeom>
                  </pic:spPr>
                </pic:pic>
              </a:graphicData>
            </a:graphic>
          </wp:inline>
        </w:drawing>
      </w:r>
    </w:p>
    <w:p w:rsidR="00804534" w:rsidRPr="00F769F3" w:rsidP="00F769F3" w14:paraId="6D6C7CB6" w14:textId="05C11E1C">
      <w:pPr>
        <w:pStyle w:val="711"/>
        <w:bidi w:val="0"/>
        <w:ind w:left="0" w:firstLine="0"/>
        <w:rPr>
          <w:rtl/>
        </w:rPr>
      </w:pPr>
      <w:r w:rsidRPr="00F769F3">
        <w:t>Source: According to previous reports of the State Comptroller and the Israel Democracy Institute, processed by the Office of the State Comptroller</w:t>
      </w:r>
      <w:r w:rsidRPr="00F769F3" w:rsidR="00FF2854">
        <w:t>.</w:t>
      </w:r>
    </w:p>
    <w:p w:rsidR="001C27C2" w14:paraId="003A9204" w14:textId="6A4722E1">
      <w:pPr>
        <w:bidi w:val="0"/>
        <w:rPr>
          <w:rFonts w:ascii="Tahoma" w:hAnsi="Tahoma" w:cs="Tahoma"/>
          <w:spacing w:val="-2"/>
          <w:sz w:val="18"/>
          <w:szCs w:val="18"/>
        </w:rPr>
      </w:pPr>
      <w:r>
        <w:rPr>
          <w:rFonts w:ascii="Tahoma" w:hAnsi="Tahoma" w:cs="Tahoma"/>
          <w:spacing w:val="-2"/>
          <w:sz w:val="18"/>
          <w:szCs w:val="18"/>
        </w:rPr>
        <w:br w:type="page"/>
      </w:r>
    </w:p>
    <w:p w:rsidR="001C27C2" w:rsidP="00F769F3" w14:paraId="1E778572" w14:textId="33198737">
      <w:pPr>
        <w:spacing w:before="480" w:after="0" w:line="100" w:lineRule="exact"/>
        <w:ind w:left="1361" w:right="57"/>
        <w:jc w:val="right"/>
        <w:rPr>
          <w:rFonts w:ascii="Tahoma" w:hAnsi="Tahoma" w:cs="Tahoma"/>
          <w:b/>
          <w:bCs/>
          <w:color w:val="003364"/>
          <w:w w:val="90"/>
          <w:sz w:val="32"/>
          <w:szCs w:val="32"/>
        </w:rPr>
      </w:pPr>
    </w:p>
    <w:p w:rsidR="00496CBE" w:rsidP="004B3772" w14:paraId="5C46C175" w14:textId="6CEEC138">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9661D6" w14:paraId="21789D2B" w14:textId="045CFE3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F769F3" w:rsidRPr="004073BE" w:rsidP="00F769F3" w14:paraId="11925AD1" w14:textId="77777777">
      <w:pPr>
        <w:pStyle w:val="running-text"/>
        <w:spacing w:after="180" w:line="260" w:lineRule="exact"/>
        <w:ind w:right="0"/>
        <w:rPr>
          <w:color w:val="0D0D0D" w:themeColor="text1" w:themeTint="F2"/>
          <w:sz w:val="18"/>
        </w:rPr>
      </w:pPr>
      <w:r w:rsidRPr="004073BE">
        <w:rPr>
          <w:color w:val="0D0D0D" w:themeColor="text1" w:themeTint="F2"/>
          <w:sz w:val="18"/>
        </w:rPr>
        <w:t>The lack of regulation in the computing field among local authorities exacerbates the digital gap and socio-economic inequality, undermining the relationship between local authorities and residents and hindering efficiency, cost savings, and economic growth. The audit findings indicate that small local authorities struggle to keep pace with technological advancements, update their computing infrastructure, and secure its information due to the absence of dedicated budgets and personnel. Consequently, each local authority addresses computerization based on its understanding and the resources it can allocate or secure from external funding sources.</w:t>
      </w:r>
    </w:p>
    <w:p w:rsidR="00F769F3" w:rsidRPr="004073BE" w:rsidP="00F769F3" w14:paraId="36B2C603" w14:textId="77777777">
      <w:pPr>
        <w:pStyle w:val="running-text"/>
        <w:spacing w:after="180" w:line="260" w:lineRule="exact"/>
        <w:ind w:right="0"/>
        <w:rPr>
          <w:color w:val="0D0D0D" w:themeColor="text1" w:themeTint="F2"/>
          <w:sz w:val="18"/>
        </w:rPr>
      </w:pPr>
      <w:r w:rsidRPr="004073BE">
        <w:rPr>
          <w:color w:val="0D0D0D" w:themeColor="text1" w:themeTint="F2"/>
          <w:sz w:val="18"/>
        </w:rPr>
        <w:t xml:space="preserve">However, the audit results from the </w:t>
      </w:r>
      <w:r w:rsidRPr="00F769F3">
        <w:rPr>
          <w:b/>
          <w:bCs/>
          <w:color w:val="0D0D0D" w:themeColor="text1" w:themeTint="F2"/>
          <w:sz w:val="18"/>
        </w:rPr>
        <w:t>Jaljulia</w:t>
      </w:r>
      <w:r w:rsidRPr="004073BE">
        <w:rPr>
          <w:color w:val="0D0D0D" w:themeColor="text1" w:themeTint="F2"/>
          <w:sz w:val="18"/>
        </w:rPr>
        <w:t xml:space="preserve"> and </w:t>
      </w:r>
      <w:r w:rsidRPr="00F769F3">
        <w:rPr>
          <w:b/>
          <w:bCs/>
          <w:color w:val="0D0D0D" w:themeColor="text1" w:themeTint="F2"/>
          <w:sz w:val="18"/>
        </w:rPr>
        <w:t>Kiryat</w:t>
      </w:r>
      <w:r w:rsidRPr="00F769F3">
        <w:rPr>
          <w:b/>
          <w:bCs/>
          <w:color w:val="0D0D0D" w:themeColor="text1" w:themeTint="F2"/>
          <w:sz w:val="18"/>
        </w:rPr>
        <w:t xml:space="preserve"> </w:t>
      </w:r>
      <w:r w:rsidRPr="00F769F3">
        <w:rPr>
          <w:b/>
          <w:bCs/>
          <w:color w:val="0D0D0D" w:themeColor="text1" w:themeTint="F2"/>
          <w:sz w:val="18"/>
        </w:rPr>
        <w:t>Ye'arim</w:t>
      </w:r>
      <w:r w:rsidRPr="004073BE">
        <w:rPr>
          <w:color w:val="0D0D0D" w:themeColor="text1" w:themeTint="F2"/>
          <w:sz w:val="18"/>
        </w:rPr>
        <w:t xml:space="preserve"> demonstrate that recognizing computing's importance can lead to technological advancements, even in small local authorities lacking independent budgets.  </w:t>
      </w:r>
    </w:p>
    <w:p w:rsidR="00F769F3" w:rsidRPr="004073BE" w:rsidP="00F769F3" w14:paraId="036342E0" w14:textId="77777777">
      <w:pPr>
        <w:pStyle w:val="running-text"/>
        <w:spacing w:after="180" w:line="260" w:lineRule="exact"/>
        <w:ind w:right="0"/>
        <w:rPr>
          <w:color w:val="0D0D0D" w:themeColor="text1" w:themeTint="F2"/>
          <w:sz w:val="18"/>
        </w:rPr>
      </w:pPr>
      <w:r w:rsidRPr="004073BE">
        <w:rPr>
          <w:color w:val="0D0D0D" w:themeColor="text1" w:themeTint="F2"/>
          <w:sz w:val="18"/>
        </w:rPr>
        <w:t>Moreover, the audit indicates that the examined local authorities inadequately manage their information security. These authorities must rectify the report's deficiencies regarding the protection of information systems and the security of their databases.</w:t>
      </w:r>
    </w:p>
    <w:p w:rsidR="00F769F3" w:rsidRPr="004073BE" w:rsidP="00F769F3" w14:paraId="1209406D" w14:textId="77777777">
      <w:pPr>
        <w:pStyle w:val="running-text"/>
        <w:spacing w:after="180" w:line="260" w:lineRule="exact"/>
        <w:ind w:right="0"/>
        <w:rPr>
          <w:color w:val="0D0D0D" w:themeColor="text1" w:themeTint="F2"/>
          <w:sz w:val="18"/>
        </w:rPr>
      </w:pPr>
      <w:r w:rsidRPr="004073BE">
        <w:rPr>
          <w:color w:val="0D0D0D" w:themeColor="text1" w:themeTint="F2"/>
          <w:sz w:val="18"/>
        </w:rPr>
        <w:t xml:space="preserve">Advancing computing capabilities in small local authorities is crucial for enhancing operational effectiveness and improving relationships with residents. The complexity of managing multiple computerized systems and service providers necessitates the employment of dedicated professionals with a comprehensive understanding of all systems and processes within the authority. Given the challenges small local authorities face in hiring such personnel, it is recommended that they designate a qualified individual within their administrative structure to supervise and promote the field or utilize the services of regional clusters' Chief Information Systems Officers (CIOs). </w:t>
      </w:r>
    </w:p>
    <w:p w:rsidR="00C64FB4" w:rsidP="000E30D6" w14:paraId="13263362" w14:textId="7D47764C">
      <w:pPr>
        <w:pStyle w:val="running-text"/>
        <w:bidi/>
        <w:spacing w:after="180" w:line="260" w:lineRule="exact"/>
        <w:ind w:right="0"/>
        <w:rPr>
          <w:color w:val="0D0D0D" w:themeColor="text1" w:themeTint="F2"/>
          <w:sz w:val="18"/>
          <w:rtl/>
        </w:rPr>
      </w:pPr>
    </w:p>
    <w:p w:rsidR="00C82866" w:rsidRPr="00485F83" w:rsidP="00D05191" w14:paraId="06F4B564" w14:textId="19DF3668">
      <w:pPr>
        <w:pStyle w:val="running-text"/>
        <w:spacing w:after="180" w:line="260" w:lineRule="exact"/>
        <w:ind w:right="0"/>
        <w:rPr>
          <w:color w:val="0D0D0D" w:themeColor="text1" w:themeTint="F2"/>
          <w:sz w:val="18"/>
          <w:rtl/>
        </w:rPr>
      </w:pPr>
      <w:r>
        <w:rPr>
          <w:noProof/>
          <w:color w:val="0D0D0D" w:themeColor="text1" w:themeTint="F2"/>
          <w:sz w:val="18"/>
          <w:rtl/>
          <w:lang w:val="he-IL"/>
        </w:rPr>
        <mc:AlternateContent>
          <mc:Choice Requires="wps">
            <w:drawing>
              <wp:anchor distT="0" distB="0" distL="114300" distR="114300" simplePos="0" relativeHeight="251683840" behindDoc="0" locked="0" layoutInCell="1" allowOverlap="1">
                <wp:simplePos x="0" y="0"/>
                <wp:positionH relativeFrom="column">
                  <wp:posOffset>-562701</wp:posOffset>
                </wp:positionH>
                <wp:positionV relativeFrom="paragraph">
                  <wp:posOffset>6555650</wp:posOffset>
                </wp:positionV>
                <wp:extent cx="6180364" cy="857250"/>
                <wp:effectExtent l="0" t="0" r="5080" b="6350"/>
                <wp:wrapNone/>
                <wp:docPr id="36" name="מלבן 36"/>
                <wp:cNvGraphicFramePr/>
                <a:graphic xmlns:a="http://schemas.openxmlformats.org/drawingml/2006/main">
                  <a:graphicData uri="http://schemas.microsoft.com/office/word/2010/wordprocessingShape">
                    <wps:wsp xmlns:wps="http://schemas.microsoft.com/office/word/2010/wordprocessingShape">
                      <wps:cNvSpPr/>
                      <wps:spPr>
                        <a:xfrm>
                          <a:off x="0" y="0"/>
                          <a:ext cx="6180364" cy="857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6" o:spid="_x0000_s1035" style="width:486.65pt;height:67.5pt;margin-top:516.2pt;margin-left:-44.3pt;mso-wrap-distance-bottom:0;mso-wrap-distance-left:9pt;mso-wrap-distance-right:9pt;mso-wrap-distance-top:0;mso-wrap-style:square;position:absolute;visibility:visible;v-text-anchor:middle;z-index:251684864" fillcolor="white" stroked="f" strokeweight="1.5pt">
                <v:stroke endcap="round"/>
              </v:rect>
            </w:pict>
          </mc:Fallback>
        </mc:AlternateContent>
      </w:r>
      <w:r w:rsidR="0076183F">
        <w:rPr>
          <w:noProof/>
          <w:color w:val="0D0D0D" w:themeColor="text1" w:themeTint="F2"/>
          <w:sz w:val="18"/>
          <w:rtl/>
          <w:lang w:val="he-IL"/>
        </w:rPr>
        <mc:AlternateContent>
          <mc:Choice Requires="wps">
            <w:drawing>
              <wp:anchor distT="0" distB="0" distL="114300" distR="114300" simplePos="0" relativeHeight="251680768" behindDoc="0" locked="0" layoutInCell="1" allowOverlap="1">
                <wp:simplePos x="0" y="0"/>
                <wp:positionH relativeFrom="column">
                  <wp:posOffset>-717369</wp:posOffset>
                </wp:positionH>
                <wp:positionV relativeFrom="paragraph">
                  <wp:posOffset>7240542</wp:posOffset>
                </wp:positionV>
                <wp:extent cx="1419498" cy="522514"/>
                <wp:effectExtent l="12700" t="12700" r="15875" b="11430"/>
                <wp:wrapNone/>
                <wp:docPr id="5" name="מלבן 5"/>
                <wp:cNvGraphicFramePr/>
                <a:graphic xmlns:a="http://schemas.openxmlformats.org/drawingml/2006/main">
                  <a:graphicData uri="http://schemas.microsoft.com/office/word/2010/wordprocessingShape">
                    <wps:wsp xmlns:wps="http://schemas.microsoft.com/office/word/2010/wordprocessingShape">
                      <wps:cNvSpPr/>
                      <wps:spPr>
                        <a:xfrm>
                          <a:off x="0" y="0"/>
                          <a:ext cx="1419498" cy="5225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5" o:spid="_x0000_s1036" style="width:111.75pt;height:41.15pt;margin-top:570.1pt;margin-left:-56.5pt;mso-wrap-distance-bottom:0;mso-wrap-distance-left:9pt;mso-wrap-distance-right:9pt;mso-wrap-distance-top:0;mso-wrap-style:square;position:absolute;visibility:visible;v-text-anchor:middle;z-index:251681792" fillcolor="white" strokecolor="white" strokeweight="1.5pt">
                <v:stroke endcap="round"/>
              </v:rect>
            </w:pict>
          </mc:Fallback>
        </mc:AlternateContent>
      </w:r>
    </w:p>
    <w:p w:rsidR="001C54F4" w:rsidRPr="00485F83" w14:paraId="1C1ADDB0" w14:textId="77777777">
      <w:pPr>
        <w:pStyle w:val="running-text"/>
        <w:spacing w:after="180" w:line="260" w:lineRule="exact"/>
        <w:ind w:right="0"/>
        <w:rPr>
          <w:color w:val="0D0D0D" w:themeColor="text1" w:themeTint="F2"/>
          <w:sz w:val="18"/>
        </w:rPr>
      </w:pPr>
    </w:p>
    <w:sectPr w:rsidSect="00964212">
      <w:headerReference w:type="even" r:id="rId25"/>
      <w:headerReference w:type="default" r:id="rId26"/>
      <w:headerReference w:type="first" r:id="rId27"/>
      <w:pgSz w:w="11906" w:h="16838" w:code="9"/>
      <w:pgMar w:top="2892" w:right="2268" w:bottom="2438" w:left="2268" w:header="1871" w:footer="1928" w:gutter="0"/>
      <w:pgNumType w:start="13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815D6" w14:paraId="381FFA38" w14:textId="77777777">
      <w:pPr>
        <w:spacing w:after="0" w:line="240" w:lineRule="auto"/>
      </w:pPr>
      <w:r>
        <w:separator/>
      </w:r>
    </w:p>
  </w:endnote>
  <w:endnote w:type="continuationSeparator" w:id="1">
    <w:p w:rsidR="00E815D6" w14:paraId="47F8176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815D6" w:rsidP="00BD3044" w14:paraId="79A2EB7F" w14:textId="77777777">
      <w:pPr>
        <w:spacing w:after="0" w:line="240" w:lineRule="auto"/>
        <w:jc w:val="right"/>
      </w:pPr>
      <w:r>
        <w:separator/>
      </w:r>
    </w:p>
  </w:footnote>
  <w:footnote w:type="continuationSeparator" w:id="1">
    <w:p w:rsidR="00E815D6" w14:paraId="55561AC4" w14:textId="77777777">
      <w:pPr>
        <w:spacing w:after="0" w:line="240" w:lineRule="auto"/>
      </w:pPr>
      <w:r>
        <w:continuationSeparator/>
      </w:r>
    </w:p>
  </w:footnote>
  <w:footnote w:id="2">
    <w:p w:rsidR="00A40B86" w:rsidRPr="00A076DA" w:rsidP="00A076DA" w14:paraId="0FF0D94A" w14:textId="77777777">
      <w:pPr>
        <w:pStyle w:val="730"/>
        <w:bidi w:val="0"/>
      </w:pPr>
      <w:r w:rsidRPr="00A076DA">
        <w:rPr>
          <w:rStyle w:val="FootnoteReference1"/>
        </w:rPr>
        <w:footnoteRef/>
      </w:r>
      <w:r w:rsidRPr="00A076DA">
        <w:rPr>
          <w:rtl/>
        </w:rPr>
        <w:t xml:space="preserve"> </w:t>
      </w:r>
      <w:r>
        <w:tab/>
      </w:r>
      <w:r w:rsidRPr="00A076DA">
        <w:t xml:space="preserve">In the data file of the Central Bureau of Statistics updated for 2021, 258 local authorities were included, but on May 31, 2023, the Minister of Interior decree went into effect declaring the locality of </w:t>
      </w:r>
      <w:r w:rsidRPr="00A076DA">
        <w:t>Zur</w:t>
      </w:r>
      <w:r w:rsidRPr="00A076DA">
        <w:t xml:space="preserve"> Hadassah a local council. Therefore, at the time of writing the report, 259 local authorities are registered in Israel.</w:t>
      </w:r>
    </w:p>
  </w:footnote>
  <w:footnote w:id="3">
    <w:p w:rsidR="00A40B86" w:rsidRPr="008948E0" w:rsidP="00A076DA" w14:paraId="2B77AF3A" w14:textId="77777777">
      <w:pPr>
        <w:pStyle w:val="730"/>
        <w:bidi w:val="0"/>
      </w:pPr>
      <w:r w:rsidRPr="00A076DA">
        <w:rPr>
          <w:rStyle w:val="FootnoteReference1"/>
        </w:rPr>
        <w:footnoteRef/>
      </w:r>
      <w:r w:rsidRPr="00A076DA">
        <w:rPr>
          <w:rtl/>
        </w:rPr>
        <w:t xml:space="preserve"> </w:t>
      </w:r>
      <w:r>
        <w:tab/>
      </w:r>
      <w:r w:rsidRPr="00A076DA">
        <w:t>This report refers to an authority with up to 15,000 inhabitants as a "small local authority", since about half of the local authorities in Israel have a population of less than 15,000 inhabitants.</w:t>
      </w:r>
    </w:p>
  </w:footnote>
  <w:footnote w:id="4">
    <w:p w:rsidR="00A40B86" w:rsidRPr="00A40B86" w:rsidP="00A40B86" w14:paraId="21E6C21B" w14:textId="3F4ADBF8">
      <w:pPr>
        <w:pStyle w:val="730"/>
        <w:bidi w:val="0"/>
      </w:pPr>
      <w:r w:rsidRPr="00A40B86">
        <w:rPr>
          <w:rStyle w:val="FootnoteReference1"/>
          <w:vertAlign w:val="baseline"/>
        </w:rPr>
        <w:footnoteRef/>
      </w:r>
      <w:r w:rsidRPr="00A40B86">
        <w:rPr>
          <w:rtl/>
        </w:rPr>
        <w:t xml:space="preserve"> </w:t>
      </w:r>
      <w:r>
        <w:tab/>
      </w:r>
      <w:r w:rsidRPr="00A40B86">
        <w:t xml:space="preserve">Data and findings regarding the </w:t>
      </w:r>
      <w:r w:rsidRPr="002C3F71">
        <w:t>Merhavim</w:t>
      </w:r>
      <w:r w:rsidRPr="00A40B86">
        <w:t xml:space="preserve"> Regional Council were not included in the computer expenses chapter, since during the audit Swords of Iron war broke out, preventing the council from furnishing all the required documents.</w:t>
      </w:r>
    </w:p>
  </w:footnote>
  <w:footnote w:id="5">
    <w:p w:rsidR="00A40B86" w:rsidRPr="002C3F71" w:rsidP="002C3F71" w14:paraId="0ABBD4B9" w14:textId="024D45F8">
      <w:pPr>
        <w:pStyle w:val="730"/>
        <w:bidi w:val="0"/>
      </w:pPr>
      <w:r w:rsidRPr="002C3F71">
        <w:rPr>
          <w:rStyle w:val="FootnoteReference1"/>
          <w:vertAlign w:val="baseline"/>
        </w:rPr>
        <w:footnoteRef/>
      </w:r>
      <w:r w:rsidRPr="002C3F71">
        <w:rPr>
          <w:rtl/>
        </w:rPr>
        <w:t xml:space="preserve"> </w:t>
      </w:r>
      <w:r w:rsidR="002C3F71">
        <w:tab/>
      </w:r>
      <w:r w:rsidRPr="002C3F71">
        <w:t xml:space="preserve">Digital transformation – A tool designed so organizations could reach customers through the new channels they use, improve the customer experience, adapt technology to employee expectations, and assist in the development of smart products and services. See: The Development Administration at the Ministry of Interior, </w:t>
      </w:r>
      <w:r w:rsidRPr="002C3F71">
        <w:rPr>
          <w:b/>
          <w:bCs/>
        </w:rPr>
        <w:t xml:space="preserve">Digital Development </w:t>
      </w:r>
      <w:r w:rsidRPr="002C3F71">
        <w:rPr>
          <w:b/>
          <w:bCs/>
        </w:rPr>
        <w:t>Axis</w:t>
      </w:r>
      <w:r w:rsidRPr="002C3F71">
        <w:rPr>
          <w:b/>
          <w:bCs/>
        </w:rPr>
        <w:t xml:space="preserve"> and Promotion of Innovation – Comprehensive Development Plan </w:t>
      </w:r>
      <w:r w:rsidRPr="002C3F71">
        <w:t>(2019).</w:t>
      </w:r>
    </w:p>
  </w:footnote>
  <w:footnote w:id="6">
    <w:p w:rsidR="00A40B86" w:rsidRPr="002C3F71" w:rsidP="002C3F71" w14:paraId="2723B001" w14:textId="53847767">
      <w:pPr>
        <w:pStyle w:val="730"/>
        <w:bidi w:val="0"/>
      </w:pPr>
      <w:r w:rsidRPr="002C3F71">
        <w:rPr>
          <w:rStyle w:val="FootnoteReference1"/>
          <w:vertAlign w:val="baseline"/>
        </w:rPr>
        <w:footnoteRef/>
      </w:r>
      <w:r w:rsidRPr="002C3F71">
        <w:rPr>
          <w:rtl/>
        </w:rPr>
        <w:t xml:space="preserve"> </w:t>
      </w:r>
      <w:r w:rsidR="002C3F71">
        <w:tab/>
      </w:r>
      <w:r w:rsidRPr="002C3F71">
        <w:t>For more on this matter, see the chapter "Information security of collection systems in local authorities" in this collection of 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3A2295C0">
                          <w:pPr>
                            <w:bidi w:val="0"/>
                            <w:spacing w:after="0" w:line="240" w:lineRule="auto"/>
                            <w:rPr>
                              <w:rFonts w:ascii="Tahoma" w:hAnsi="Tahoma" w:cs="Tahoma"/>
                              <w:color w:val="0D0D0D" w:themeColor="text1" w:themeTint="F2"/>
                              <w:sz w:val="16"/>
                              <w:szCs w:val="16"/>
                              <w:lang w:val="en"/>
                            </w:rPr>
                          </w:pPr>
                          <w:r w:rsidRPr="00784C65">
                            <w:rPr>
                              <w:rFonts w:ascii="Tahoma" w:hAnsi="Tahoma" w:cs="Tahoma"/>
                              <w:color w:val="0D0D0D" w:themeColor="text1" w:themeTint="F2"/>
                              <w:sz w:val="16"/>
                              <w:szCs w:val="16"/>
                              <w:lang w:val="en"/>
                            </w:rPr>
                            <w:t>Computerization of Small Local Authorities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3A2295C0">
                    <w:pPr>
                      <w:bidi w:val="0"/>
                      <w:spacing w:after="0" w:line="240" w:lineRule="auto"/>
                      <w:rPr>
                        <w:rFonts w:ascii="Tahoma" w:hAnsi="Tahoma" w:cs="Tahoma"/>
                        <w:color w:val="0D0D0D" w:themeColor="text1" w:themeTint="F2"/>
                        <w:sz w:val="16"/>
                        <w:szCs w:val="16"/>
                        <w:lang w:val="en"/>
                      </w:rPr>
                    </w:pPr>
                    <w:r w:rsidRPr="00784C65">
                      <w:rPr>
                        <w:rFonts w:ascii="Tahoma" w:hAnsi="Tahoma" w:cs="Tahoma"/>
                        <w:color w:val="0D0D0D" w:themeColor="text1" w:themeTint="F2"/>
                        <w:sz w:val="16"/>
                        <w:szCs w:val="16"/>
                        <w:lang w:val="en"/>
                      </w:rPr>
                      <w:t>Computerization of Small Local Authorities</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23981114">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6B326D" w14:textId="506D24A6">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784C65" w:rsidR="00784C65">
                            <w:rPr>
                              <w:rFonts w:eastAsiaTheme="minorEastAsia"/>
                              <w:color w:val="FFFFFF" w:themeColor="background1"/>
                              <w:spacing w:val="-2"/>
                              <w:sz w:val="20"/>
                              <w:szCs w:val="20"/>
                            </w:rPr>
                            <w:t xml:space="preserve">Computerization of Small Local Authorities </w:t>
                          </w:r>
                          <w:r w:rsidRPr="006B326D" w:rsidR="006B326D">
                            <w:rPr>
                              <w:rFonts w:eastAsiaTheme="minorEastAsia"/>
                              <w:color w:val="FFFFFF" w:themeColor="background1"/>
                              <w:spacing w:val="-2"/>
                              <w:sz w:val="20"/>
                              <w:szCs w:val="20"/>
                            </w:rPr>
                            <w:t xml:space="preserve">  </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6B326D" w14:paraId="542790B6" w14:textId="506D24A6">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784C65" w:rsidR="00784C65">
                      <w:rPr>
                        <w:rFonts w:eastAsiaTheme="minorEastAsia"/>
                        <w:color w:val="FFFFFF" w:themeColor="background1"/>
                        <w:spacing w:val="-2"/>
                        <w:sz w:val="20"/>
                        <w:szCs w:val="20"/>
                      </w:rPr>
                      <w:t xml:space="preserve">Computerization of Small Local Authorities </w:t>
                    </w:r>
                    <w:r w:rsidRPr="006B326D" w:rsidR="006B326D">
                      <w:rPr>
                        <w:rFonts w:eastAsiaTheme="minorEastAsia"/>
                        <w:color w:val="FFFFFF" w:themeColor="background1"/>
                        <w:spacing w:val="-2"/>
                        <w:sz w:val="20"/>
                        <w:szCs w:val="20"/>
                      </w:rPr>
                      <w:t xml:space="preserve">  </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1A1B69" w:rsidR="001A1B69">
      <w:rPr>
        <w:rFonts w:ascii="Tahoma" w:hAnsi="Tahoma" w:eastAsiaTheme="majorEastAsia" w:cs="Tahoma"/>
        <w:noProof/>
        <w:color w:val="0D0D0D" w:themeColor="text1" w:themeTint="F2"/>
        <w:sz w:val="16"/>
        <w:szCs w:val="16"/>
      </w:rPr>
      <w:t>State Comptroller of Israel | Local Government Audit Report | July 2024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pt;height:57.85pt" o:bullet="t">
        <v:imagedata r:id="rId1" o:title=""/>
      </v:shape>
    </w:pic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6">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7">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8">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4">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3"/>
  </w:num>
  <w:num w:numId="2" w16cid:durableId="767771938">
    <w:abstractNumId w:val="20"/>
  </w:num>
  <w:num w:numId="3" w16cid:durableId="1533149807">
    <w:abstractNumId w:val="9"/>
  </w:num>
  <w:num w:numId="4" w16cid:durableId="1169364424">
    <w:abstractNumId w:val="8"/>
  </w:num>
  <w:num w:numId="5" w16cid:durableId="1531528138">
    <w:abstractNumId w:val="7"/>
  </w:num>
  <w:num w:numId="6" w16cid:durableId="378214401">
    <w:abstractNumId w:val="2"/>
  </w:num>
  <w:num w:numId="7" w16cid:durableId="1558588035">
    <w:abstractNumId w:val="3"/>
  </w:num>
  <w:num w:numId="8" w16cid:durableId="966810605">
    <w:abstractNumId w:val="25"/>
  </w:num>
  <w:num w:numId="9" w16cid:durableId="1709639913">
    <w:abstractNumId w:val="11"/>
  </w:num>
  <w:num w:numId="10" w16cid:durableId="2061510871">
    <w:abstractNumId w:val="9"/>
  </w:num>
  <w:num w:numId="11" w16cid:durableId="150566361">
    <w:abstractNumId w:val="14"/>
  </w:num>
  <w:num w:numId="12" w16cid:durableId="1884517408">
    <w:abstractNumId w:val="6"/>
  </w:num>
  <w:num w:numId="13" w16cid:durableId="1138574288">
    <w:abstractNumId w:val="15"/>
  </w:num>
  <w:num w:numId="14" w16cid:durableId="2021731970">
    <w:abstractNumId w:val="9"/>
  </w:num>
  <w:num w:numId="15" w16cid:durableId="294525774">
    <w:abstractNumId w:val="12"/>
  </w:num>
  <w:num w:numId="16" w16cid:durableId="1938829469">
    <w:abstractNumId w:val="17"/>
  </w:num>
  <w:num w:numId="17" w16cid:durableId="1870992102">
    <w:abstractNumId w:val="9"/>
  </w:num>
  <w:num w:numId="18" w16cid:durableId="875392425">
    <w:abstractNumId w:val="19"/>
  </w:num>
  <w:num w:numId="19" w16cid:durableId="1757364398">
    <w:abstractNumId w:val="9"/>
  </w:num>
  <w:num w:numId="20" w16cid:durableId="2080326639">
    <w:abstractNumId w:val="5"/>
  </w:num>
  <w:num w:numId="21" w16cid:durableId="1517109532">
    <w:abstractNumId w:val="18"/>
  </w:num>
  <w:num w:numId="22" w16cid:durableId="199829528">
    <w:abstractNumId w:val="21"/>
  </w:num>
  <w:num w:numId="23" w16cid:durableId="630592101">
    <w:abstractNumId w:val="9"/>
  </w:num>
  <w:num w:numId="24" w16cid:durableId="781344904">
    <w:abstractNumId w:val="9"/>
  </w:num>
  <w:num w:numId="25" w16cid:durableId="1029065817">
    <w:abstractNumId w:val="0"/>
  </w:num>
  <w:num w:numId="26" w16cid:durableId="1835028128">
    <w:abstractNumId w:val="10"/>
  </w:num>
  <w:num w:numId="27" w16cid:durableId="515264686">
    <w:abstractNumId w:val="9"/>
  </w:num>
  <w:num w:numId="28" w16cid:durableId="1118644431">
    <w:abstractNumId w:val="9"/>
  </w:num>
  <w:num w:numId="29" w16cid:durableId="495343087">
    <w:abstractNumId w:val="9"/>
  </w:num>
  <w:num w:numId="30" w16cid:durableId="93281274">
    <w:abstractNumId w:val="16"/>
  </w:num>
  <w:num w:numId="31" w16cid:durableId="575818460">
    <w:abstractNumId w:val="1"/>
  </w:num>
  <w:num w:numId="32" w16cid:durableId="871304304">
    <w:abstractNumId w:val="23"/>
  </w:num>
  <w:num w:numId="33" w16cid:durableId="1853570904">
    <w:abstractNumId w:val="4"/>
  </w:num>
  <w:num w:numId="34" w16cid:durableId="822430797">
    <w:abstractNumId w:val="24"/>
  </w:num>
  <w:num w:numId="35" w16cid:durableId="133484124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C76F0"/>
    <w:rsid w:val="000D115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0D6"/>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022"/>
    <w:rsid w:val="00144786"/>
    <w:rsid w:val="00144967"/>
    <w:rsid w:val="00145DAD"/>
    <w:rsid w:val="00146345"/>
    <w:rsid w:val="00150E90"/>
    <w:rsid w:val="001510CF"/>
    <w:rsid w:val="0015132E"/>
    <w:rsid w:val="0015187B"/>
    <w:rsid w:val="001519D2"/>
    <w:rsid w:val="00152684"/>
    <w:rsid w:val="00152C39"/>
    <w:rsid w:val="00153D39"/>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B69"/>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0B8C"/>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8E4"/>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64D6"/>
    <w:rsid w:val="00216564"/>
    <w:rsid w:val="00216CE4"/>
    <w:rsid w:val="00216E18"/>
    <w:rsid w:val="00217002"/>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5948"/>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3F7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438"/>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6333"/>
    <w:rsid w:val="00310CE8"/>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986"/>
    <w:rsid w:val="003D7E93"/>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073BE"/>
    <w:rsid w:val="004101F3"/>
    <w:rsid w:val="00410B08"/>
    <w:rsid w:val="004113F4"/>
    <w:rsid w:val="00411D15"/>
    <w:rsid w:val="00412094"/>
    <w:rsid w:val="004128AD"/>
    <w:rsid w:val="00413AE2"/>
    <w:rsid w:val="004145F3"/>
    <w:rsid w:val="00417BE8"/>
    <w:rsid w:val="00417E58"/>
    <w:rsid w:val="0042074F"/>
    <w:rsid w:val="004209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2377"/>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1DF6"/>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26D"/>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81580"/>
    <w:rsid w:val="00781B8F"/>
    <w:rsid w:val="007825F8"/>
    <w:rsid w:val="007829F0"/>
    <w:rsid w:val="00783703"/>
    <w:rsid w:val="00783C28"/>
    <w:rsid w:val="0078411D"/>
    <w:rsid w:val="0078455B"/>
    <w:rsid w:val="00784C65"/>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C74"/>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8E0"/>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094F"/>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212"/>
    <w:rsid w:val="00964AA4"/>
    <w:rsid w:val="00964DE9"/>
    <w:rsid w:val="00965598"/>
    <w:rsid w:val="009661D6"/>
    <w:rsid w:val="00966367"/>
    <w:rsid w:val="009665B5"/>
    <w:rsid w:val="0096660F"/>
    <w:rsid w:val="009677C7"/>
    <w:rsid w:val="00967BAB"/>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5F65"/>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03F"/>
    <w:rsid w:val="009B015F"/>
    <w:rsid w:val="009B04E6"/>
    <w:rsid w:val="009B084E"/>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6DA"/>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BFA"/>
    <w:rsid w:val="00A31F85"/>
    <w:rsid w:val="00A35A9D"/>
    <w:rsid w:val="00A36F15"/>
    <w:rsid w:val="00A371B5"/>
    <w:rsid w:val="00A40B86"/>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0E9F"/>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0B2"/>
    <w:rsid w:val="00BE237A"/>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53B"/>
    <w:rsid w:val="00DB6C5A"/>
    <w:rsid w:val="00DB7611"/>
    <w:rsid w:val="00DC00AE"/>
    <w:rsid w:val="00DC01A4"/>
    <w:rsid w:val="00DC0951"/>
    <w:rsid w:val="00DC0DE9"/>
    <w:rsid w:val="00DC20F7"/>
    <w:rsid w:val="00DC2820"/>
    <w:rsid w:val="00DC2EF4"/>
    <w:rsid w:val="00DC3224"/>
    <w:rsid w:val="00DC445E"/>
    <w:rsid w:val="00DC4B1B"/>
    <w:rsid w:val="00DC5533"/>
    <w:rsid w:val="00DC59F9"/>
    <w:rsid w:val="00DC5DD9"/>
    <w:rsid w:val="00DC7FAB"/>
    <w:rsid w:val="00DD0BE7"/>
    <w:rsid w:val="00DD1477"/>
    <w:rsid w:val="00DD1C36"/>
    <w:rsid w:val="00DD29E9"/>
    <w:rsid w:val="00DD31F3"/>
    <w:rsid w:val="00DD3938"/>
    <w:rsid w:val="00DD3AE5"/>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9E"/>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3F01"/>
    <w:rsid w:val="00E46189"/>
    <w:rsid w:val="00E46878"/>
    <w:rsid w:val="00E46C28"/>
    <w:rsid w:val="00E46EE5"/>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5D6"/>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0BA3"/>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9F3"/>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311">
    <w:name w:val="טבלת רשת 31"/>
    <w:basedOn w:val="TableNormal"/>
    <w:uiPriority w:val="48"/>
    <w:rsid w:val="006B326D"/>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7.jpeg"/><Relationship Id="rId26" Type="http://schemas.openxmlformats.org/officeDocument/2006/relationships/header" Target="header6.xml"/><Relationship Id="rId21" Type="http://schemas.openxmlformats.org/officeDocument/2006/relationships/image" Target="media/image10.jpe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header" Target="header5.xml"/><Relationship Id="rId7" Type="http://schemas.openxmlformats.org/officeDocument/2006/relationships/footer" Target="footer1.xml"/><Relationship Id="rId33" Type="http://schemas.openxmlformats.org/officeDocument/2006/relationships/customXml" Target="../customXml/item4.xml"/><Relationship Id="rId16" Type="http://schemas.openxmlformats.org/officeDocument/2006/relationships/image" Target="media/image5.jpeg"/><Relationship Id="rId2" Type="http://schemas.openxmlformats.org/officeDocument/2006/relationships/endnotes" Target="endnotes.xml"/><Relationship Id="rId20" Type="http://schemas.openxmlformats.org/officeDocument/2006/relationships/image" Target="media/image9.jpeg"/><Relationship Id="rId29" Type="http://schemas.openxmlformats.org/officeDocument/2006/relationships/numbering" Target="numbering.xml"/><Relationship Id="rId1"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emf"/><Relationship Id="rId6" Type="http://schemas.openxmlformats.org/officeDocument/2006/relationships/customXml" Target="../customXml/item1.xml"/><Relationship Id="rId32" Type="http://schemas.openxmlformats.org/officeDocument/2006/relationships/customXml" Target="../customXml/item3.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customXml" Target="../customXml/item2.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eader" Target="header7.xml"/><Relationship Id="rId30" Type="http://schemas.openxmlformats.org/officeDocument/2006/relationships/styles" Target="styles.xml"/><Relationship Id="rId4" Type="http://schemas.openxmlformats.org/officeDocument/2006/relationships/webSettings" Target="webSettings.xml"/><Relationship Id="rId9"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14.jpeg" /></Relationships>
</file>

<file path=word/_rels/header6.xml.rels><?xml version="1.0" encoding="utf-8" standalone="yes"?><Relationships xmlns="http://schemas.openxmlformats.org/package/2006/relationships"><Relationship Id="rId1" Type="http://schemas.openxmlformats.org/officeDocument/2006/relationships/image" Target="media/image15.jpeg" /></Relationships>
</file>

<file path=word/_rels/numbering.xml.rels><?xml version="1.0" encoding="utf-8" standalone="yes"?><Relationships xmlns="http://schemas.openxmlformats.org/package/2006/relationships"><Relationship Id="rId1" Type="http://schemas.openxmlformats.org/officeDocument/2006/relationships/image" Target="media/image16.png" /></Relationships>
</file>

<file path=word/theme/_rels/theme1.xml.rels><?xml version="1.0" encoding="utf-8" standalone="yes"?><Relationships xmlns="http://schemas.openxmlformats.org/package/2006/relationships"><Relationship Id="rId1" Type="http://schemas.openxmlformats.org/officeDocument/2006/relationships/image" Target="../media/image17.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411B7684-2EE4-43D5-88CD-E1DDBB4E56C1}"/>
</file>

<file path=customXml/itemProps3.xml><?xml version="1.0" encoding="utf-8"?>
<ds:datastoreItem xmlns:ds="http://schemas.openxmlformats.org/officeDocument/2006/customXml" ds:itemID="{309959C0-CEEE-4C5A-B7CB-8F7B3759CBCC}"/>
</file>

<file path=customXml/itemProps4.xml><?xml version="1.0" encoding="utf-8"?>
<ds:datastoreItem xmlns:ds="http://schemas.openxmlformats.org/officeDocument/2006/customXml" ds:itemID="{B6671ED0-8A1E-4332-BE21-73E52BC445FC}"/>
</file>

<file path=docProps/app.xml><?xml version="1.0" encoding="utf-8"?>
<Properties xmlns="http://schemas.openxmlformats.org/officeDocument/2006/extended-properties" xmlns:vt="http://schemas.openxmlformats.org/officeDocument/2006/docPropsVTypes">
  <Template>Normal.dotm</Template>
  <TotalTime>1</TotalTime>
  <Pages>12</Pages>
  <Words>3503</Words>
  <Characters>17519</Characters>
  <Application>Microsoft Office Word</Application>
  <DocSecurity>0</DocSecurity>
  <Lines>145</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Computerization of Small Local Authorities</dc:title>
  <cp:lastModifiedBy>סטודיו אי.אר.</cp:lastModifiedBy>
  <cp:revision>4</cp:revision>
  <cp:lastPrinted>2024-12-12T13:51:00Z</cp:lastPrinted>
  <dcterms:created xsi:type="dcterms:W3CDTF">2024-12-12T13:51:00Z</dcterms:created>
  <dcterms:modified xsi:type="dcterms:W3CDTF">2024-12-16T11:05:00Z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