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1.xml" ContentType="application/xml"/>
  <Override PartName="/customXml/item3.xml" ContentType="application/xml"/>
  <Override PartName="/customXml/item4.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media/image44.tif" ContentType="image/tiff"/>
  <Override PartName="/word/media/image46.tif" ContentType="image/tiff"/>
  <Override PartName="/word/media/image47.tif" ContentType="image/tiff"/>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Override PartName="/customXml/item2.xml" ContentType="application/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officeDocument/2006/relationships/extended-properties" Target="docProps/app.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20.2 -->
  <w:background w:color="ffffff">
    <v:background id="_x0000_s1025" filled="t"/>
  </w:background>
  <w:body>
    <w:p w:rsidR="008B2E28" w:rsidP="001F3363" w14:paraId="1815C0C8" w14:textId="1EC09406">
      <w:pPr>
        <w:rPr>
          <w:rtl/>
        </w:rPr>
      </w:pPr>
      <w:r>
        <w:rPr>
          <w:noProof/>
        </w:rPr>
        <w:drawing>
          <wp:anchor distT="0" distB="0" distL="114300" distR="114300" simplePos="0" relativeHeight="251693056" behindDoc="0" locked="0" layoutInCell="1" allowOverlap="1">
            <wp:simplePos x="0" y="0"/>
            <wp:positionH relativeFrom="column">
              <wp:posOffset>-1440180</wp:posOffset>
            </wp:positionH>
            <wp:positionV relativeFrom="paragraph">
              <wp:posOffset>-1936206</wp:posOffset>
            </wp:positionV>
            <wp:extent cx="7553043" cy="10683902"/>
            <wp:effectExtent l="0" t="0" r="3810" b="0"/>
            <wp:wrapNone/>
            <wp:docPr id="1482912044" name="תמונה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50066" name="תמונה 12"/>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7553043" cy="10683902"/>
                    </a:xfrm>
                    <a:prstGeom prst="rect">
                      <a:avLst/>
                    </a:prstGeom>
                  </pic:spPr>
                </pic:pic>
              </a:graphicData>
            </a:graphic>
            <wp14:sizeRelH relativeFrom="page">
              <wp14:pctWidth>0</wp14:pctWidth>
            </wp14:sizeRelH>
            <wp14:sizeRelV relativeFrom="page">
              <wp14:pctHeight>0</wp14:pctHeight>
            </wp14:sizeRelV>
          </wp:anchor>
        </w:drawing>
      </w:r>
      <w:r w:rsidR="009D10F3">
        <w:rPr>
          <w:noProof/>
        </w:rPr>
        <mc:AlternateContent>
          <mc:Choice Requires="wps">
            <w:drawing>
              <wp:anchor distT="0" distB="0" distL="114300" distR="114300" simplePos="0" relativeHeight="251663360" behindDoc="1" locked="0" layoutInCell="1" allowOverlap="1">
                <wp:simplePos x="0" y="0"/>
                <wp:positionH relativeFrom="column">
                  <wp:posOffset>-589915</wp:posOffset>
                </wp:positionH>
                <wp:positionV relativeFrom="paragraph">
                  <wp:posOffset>-243673</wp:posOffset>
                </wp:positionV>
                <wp:extent cx="6721475" cy="0"/>
                <wp:effectExtent l="0" t="0" r="9525" b="12700"/>
                <wp:wrapNone/>
                <wp:docPr id="618" name="Straight Connector 618"/>
                <wp:cNvGraphicFramePr/>
                <a:graphic xmlns:a="http://schemas.openxmlformats.org/drawingml/2006/main">
                  <a:graphicData uri="http://schemas.microsoft.com/office/word/2010/wordprocessingShape">
                    <wps:wsp xmlns:wps="http://schemas.microsoft.com/office/word/2010/wordprocessingShape">
                      <wps:cNvCnPr/>
                      <wps:spPr>
                        <a:xfrm flipH="1">
                          <a:off x="0" y="0"/>
                          <a:ext cx="6721475" cy="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18" o:spid="_x0000_s1026" style="flip:x;mso-height-percent:0;mso-height-relative:margin;mso-width-percent:0;mso-width-relative:margin;mso-wrap-distance-bottom:0;mso-wrap-distance-left:9pt;mso-wrap-distance-right:9pt;mso-wrap-distance-top:0;mso-wrap-style:square;position:absolute;visibility:visible;z-index:-251652096" from="-46.45pt,-19.2pt" to="482.8pt,-19.2pt" strokecolor="white"/>
            </w:pict>
          </mc:Fallback>
        </mc:AlternateContent>
      </w:r>
      <w:r w:rsidR="003C32FE">
        <w:rPr>
          <w:rFonts w:hint="cs"/>
          <w:noProof/>
          <w:rtl/>
          <w:lang w:val="he-IL"/>
        </w:rPr>
        <w:drawing>
          <wp:anchor distT="0" distB="0" distL="114300" distR="114300" simplePos="0" relativeHeight="251660288" behindDoc="0" locked="0" layoutInCell="1" allowOverlap="1">
            <wp:simplePos x="0" y="0"/>
            <wp:positionH relativeFrom="column">
              <wp:posOffset>-7113867</wp:posOffset>
            </wp:positionH>
            <wp:positionV relativeFrom="paragraph">
              <wp:posOffset>-4161346</wp:posOffset>
            </wp:positionV>
            <wp:extent cx="474980" cy="177800"/>
            <wp:effectExtent l="0" t="0" r="1270" b="0"/>
            <wp:wrapNone/>
            <wp:docPr id="26" name="Picture 26"/>
            <wp:cNvGraphicFramePr/>
            <a:graphic xmlns:a="http://schemas.openxmlformats.org/drawingml/2006/main">
              <a:graphicData uri="http://schemas.openxmlformats.org/drawingml/2006/picture">
                <pic:pic xmlns:pic="http://schemas.openxmlformats.org/drawingml/2006/picture">
                  <pic:nvPicPr>
                    <pic:cNvPr id="1218718374" name="Picture 956"/>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474980" cy="177800"/>
                    </a:xfrm>
                    <a:prstGeom prst="rect">
                      <a:avLst/>
                    </a:prstGeom>
                  </pic:spPr>
                </pic:pic>
              </a:graphicData>
            </a:graphic>
            <wp14:sizeRelH relativeFrom="margin">
              <wp14:pctWidth>0</wp14:pctWidth>
            </wp14:sizeRelH>
            <wp14:sizeRelV relativeFrom="margin">
              <wp14:pctHeight>0</wp14:pctHeight>
            </wp14:sizeRelV>
          </wp:anchor>
        </w:drawing>
      </w:r>
      <w:r w:rsidR="008B694B">
        <w:rPr>
          <w:rtl/>
        </w:rPr>
        <w:tab/>
      </w:r>
    </w:p>
    <w:p w:rsidR="008B694B" w:rsidP="005169B9" w14:paraId="25435DCB" w14:textId="62442198">
      <w:pPr>
        <w:rPr>
          <w:rtl/>
        </w:rPr>
      </w:pPr>
    </w:p>
    <w:p w:rsidR="008B2E28" w:rsidP="008D2388" w14:paraId="09862827" w14:textId="4262AC02">
      <w:pPr>
        <w:spacing w:line="240" w:lineRule="atLeast"/>
        <w:jc w:val="center"/>
        <w:rPr>
          <w:rFonts w:ascii="Tahoma" w:hAnsi="Tahoma" w:cs="Tahoma"/>
          <w:sz w:val="22"/>
          <w:szCs w:val="22"/>
          <w:rtl/>
        </w:rPr>
      </w:pPr>
      <w:r w:rsidRPr="0030415A">
        <w:rPr>
          <w:rFonts w:ascii="Tahoma" w:hAnsi="Tahoma" w:cs="Tahoma"/>
          <w:noProof/>
          <w:sz w:val="22"/>
          <w:szCs w:val="22"/>
          <w:rtl/>
        </w:rPr>
        <mc:AlternateContent>
          <mc:Choice Requires="wps">
            <w:drawing>
              <wp:anchor distT="0" distB="0" distL="114300" distR="114300" simplePos="0" relativeHeight="251658240" behindDoc="0" locked="0" layoutInCell="1" allowOverlap="1">
                <wp:simplePos x="0" y="0"/>
                <wp:positionH relativeFrom="column">
                  <wp:posOffset>7165975</wp:posOffset>
                </wp:positionH>
                <wp:positionV relativeFrom="paragraph">
                  <wp:posOffset>281305</wp:posOffset>
                </wp:positionV>
                <wp:extent cx="0" cy="2235835"/>
                <wp:effectExtent l="19050" t="0" r="19050" b="31115"/>
                <wp:wrapNone/>
                <wp:docPr id="16" name="Straight Connector 16"/>
                <wp:cNvGraphicFramePr/>
                <a:graphic xmlns:a="http://schemas.openxmlformats.org/drawingml/2006/main">
                  <a:graphicData uri="http://schemas.microsoft.com/office/word/2010/wordprocessingShape">
                    <wps:wsp xmlns:wps="http://schemas.microsoft.com/office/word/2010/wordprocessingShape">
                      <wps:cNvCnPr/>
                      <wps:spPr>
                        <a:xfrm>
                          <a:off x="0" y="0"/>
                          <a:ext cx="0" cy="2235835"/>
                        </a:xfrm>
                        <a:prstGeom prst="line">
                          <a:avLst/>
                        </a:prstGeom>
                        <a:ln w="444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6" o:spid="_x0000_s1027" style="mso-wrap-distance-bottom:0;mso-wrap-distance-left:9pt;mso-wrap-distance-right:9pt;mso-wrap-distance-top:0;mso-wrap-style:square;position:absolute;visibility:visible;z-index:251659264" from="564.25pt,22.15pt" to="564.25pt,198.2pt" strokecolor="white" strokeweight="3.5pt"/>
            </w:pict>
          </mc:Fallback>
        </mc:AlternateContent>
      </w:r>
    </w:p>
    <w:p w:rsidR="008B2E28" w:rsidP="008D2388" w14:paraId="1061471B" w14:textId="3D081723">
      <w:pPr>
        <w:spacing w:line="240" w:lineRule="atLeast"/>
        <w:jc w:val="center"/>
        <w:rPr>
          <w:rFonts w:ascii="Tahoma" w:hAnsi="Tahoma" w:cs="Tahoma"/>
          <w:sz w:val="22"/>
          <w:szCs w:val="22"/>
          <w:rtl/>
        </w:rPr>
      </w:pPr>
    </w:p>
    <w:p w:rsidR="008B2E28" w:rsidP="008D2388" w14:paraId="40B3A360" w14:textId="3F96A396">
      <w:pPr>
        <w:spacing w:line="240" w:lineRule="atLeast"/>
        <w:jc w:val="center"/>
        <w:rPr>
          <w:rFonts w:ascii="Tahoma" w:hAnsi="Tahoma" w:cs="Tahoma"/>
          <w:sz w:val="22"/>
          <w:szCs w:val="22"/>
          <w:rtl/>
        </w:rPr>
      </w:pPr>
    </w:p>
    <w:p w:rsidR="003C32FE" w:rsidRPr="00170230" w:rsidP="003C32FE" w14:paraId="665C333F" w14:textId="7B704871">
      <w:pPr>
        <w:spacing w:line="240" w:lineRule="atLeast"/>
        <w:jc w:val="center"/>
        <w:rPr>
          <w:rFonts w:ascii="Tahoma" w:hAnsi="Tahoma" w:cs="Tahoma"/>
          <w:szCs w:val="18"/>
          <w:rtl/>
        </w:rPr>
      </w:pPr>
    </w:p>
    <w:p w:rsidR="003C32FE" w:rsidP="003C32FE" w14:paraId="7A26D94A" w14:textId="221C329B">
      <w:pPr>
        <w:spacing w:line="240" w:lineRule="atLeast"/>
        <w:jc w:val="center"/>
        <w:rPr>
          <w:rFonts w:ascii="Tahoma" w:hAnsi="Tahoma" w:cs="Tahoma"/>
          <w:sz w:val="22"/>
          <w:szCs w:val="22"/>
          <w:rtl/>
        </w:rPr>
      </w:pPr>
    </w:p>
    <w:p w:rsidR="003C32FE" w:rsidP="003C32FE" w14:paraId="3F6AF12E" w14:textId="61A93D98">
      <w:pPr>
        <w:spacing w:line="240" w:lineRule="atLeast"/>
        <w:jc w:val="center"/>
        <w:rPr>
          <w:rFonts w:ascii="Tahoma" w:hAnsi="Tahoma" w:cs="Tahoma"/>
          <w:sz w:val="22"/>
          <w:szCs w:val="22"/>
          <w:rtl/>
        </w:rPr>
      </w:pPr>
    </w:p>
    <w:p w:rsidR="00E35DF9" w:rsidRPr="00406E80" w:rsidP="008D2388" w14:paraId="5F398D7B" w14:textId="35B2B9AE">
      <w:pPr>
        <w:spacing w:line="240" w:lineRule="atLeast"/>
        <w:jc w:val="center"/>
        <w:rPr>
          <w:rFonts w:ascii="Tahoma" w:hAnsi="Tahoma" w:cs="Tahoma"/>
          <w:color w:val="C6D9F1"/>
          <w:sz w:val="22"/>
          <w:szCs w:val="22"/>
          <w:rtl/>
        </w:rPr>
      </w:pPr>
    </w:p>
    <w:p w:rsidR="008C0B8B" w:rsidP="008D2388" w14:paraId="1D311F15" w14:textId="5B461633">
      <w:pPr>
        <w:spacing w:line="240" w:lineRule="atLeast"/>
        <w:jc w:val="center"/>
        <w:rPr>
          <w:rFonts w:ascii="Tahoma" w:hAnsi="Tahoma" w:cs="Tahoma"/>
          <w:sz w:val="22"/>
          <w:szCs w:val="22"/>
          <w:rtl/>
        </w:rPr>
      </w:pPr>
    </w:p>
    <w:p w:rsidR="008C0B8B" w:rsidP="008D2388" w14:paraId="1AC7C61F" w14:textId="02F2FA02">
      <w:pPr>
        <w:spacing w:line="240" w:lineRule="atLeast"/>
        <w:jc w:val="center"/>
        <w:rPr>
          <w:rFonts w:ascii="Tahoma" w:hAnsi="Tahoma" w:cs="Tahoma"/>
          <w:sz w:val="22"/>
          <w:szCs w:val="22"/>
          <w:rtl/>
        </w:rPr>
      </w:pPr>
    </w:p>
    <w:p w:rsidR="00E35DF9" w:rsidP="008D2388" w14:paraId="1081EBD1" w14:textId="7B47876D">
      <w:pPr>
        <w:spacing w:line="240" w:lineRule="atLeast"/>
        <w:jc w:val="center"/>
        <w:rPr>
          <w:rFonts w:ascii="Tahoma" w:hAnsi="Tahoma" w:cs="Tahoma"/>
          <w:sz w:val="22"/>
          <w:szCs w:val="22"/>
          <w:rtl/>
        </w:rPr>
      </w:pPr>
    </w:p>
    <w:p w:rsidR="00035688" w:rsidP="008D2388" w14:paraId="4090303B" w14:textId="24E90DE2">
      <w:pPr>
        <w:spacing w:line="240" w:lineRule="atLeast"/>
        <w:jc w:val="center"/>
        <w:rPr>
          <w:rFonts w:ascii="Tahoma" w:hAnsi="Tahoma" w:cs="Tahoma"/>
          <w:sz w:val="22"/>
          <w:szCs w:val="22"/>
          <w:rtl/>
        </w:rPr>
        <w:sectPr w:rsidSect="007D062A">
          <w:headerReference w:type="even" r:id="rId11"/>
          <w:headerReference w:type="default" r:id="rId12"/>
          <w:footerReference w:type="even" r:id="rId13"/>
          <w:footerReference w:type="default" r:id="rId14"/>
          <w:headerReference w:type="first" r:id="rId15"/>
          <w:footerReference w:type="first" r:id="rId16"/>
          <w:pgSz w:w="11906" w:h="16838" w:code="9"/>
          <w:pgMar w:top="3062" w:right="2268" w:bottom="2552" w:left="2268" w:header="1134" w:footer="1361" w:gutter="0"/>
          <w:cols w:space="720"/>
          <w:titlePg/>
          <w:bidi/>
          <w:rtlGutter/>
          <w:docGrid w:linePitch="272"/>
        </w:sectPr>
      </w:pPr>
    </w:p>
    <w:p w:rsidR="00BF5BF6" w:rsidP="000E64A1" w14:paraId="67CE1943" w14:textId="172DEAEE">
      <w:pPr>
        <w:spacing w:line="240" w:lineRule="atLeast"/>
        <w:jc w:val="left"/>
        <w:rPr>
          <w:rFonts w:ascii="Tahoma" w:hAnsi="Tahoma" w:cs="Tahoma"/>
          <w:sz w:val="22"/>
          <w:szCs w:val="22"/>
          <w:rtl/>
        </w:rPr>
      </w:pPr>
      <w:r>
        <w:rPr>
          <w:rFonts w:ascii="Tahoma" w:hAnsi="Tahoma" w:cs="Tahoma"/>
          <w:noProof/>
          <w:sz w:val="22"/>
          <w:szCs w:val="22"/>
          <w:rtl/>
          <w:lang w:val="he-IL"/>
        </w:rPr>
        <mc:AlternateContent>
          <mc:Choice Requires="wps">
            <w:drawing>
              <wp:anchor distT="0" distB="0" distL="114300" distR="114300" simplePos="0" relativeHeight="251661312" behindDoc="0" locked="0" layoutInCell="1" allowOverlap="1">
                <wp:simplePos x="0" y="0"/>
                <wp:positionH relativeFrom="column">
                  <wp:posOffset>-1674495</wp:posOffset>
                </wp:positionH>
                <wp:positionV relativeFrom="paragraph">
                  <wp:posOffset>-1269081</wp:posOffset>
                </wp:positionV>
                <wp:extent cx="7601578" cy="1543050"/>
                <wp:effectExtent l="0" t="0" r="0" b="0"/>
                <wp:wrapNone/>
                <wp:docPr id="24" name="Rectangle 24"/>
                <wp:cNvGraphicFramePr/>
                <a:graphic xmlns:a="http://schemas.openxmlformats.org/drawingml/2006/main">
                  <a:graphicData uri="http://schemas.microsoft.com/office/word/2010/wordprocessingShape">
                    <wps:wsp xmlns:wps="http://schemas.microsoft.com/office/word/2010/wordprocessingShape">
                      <wps:cNvSpPr/>
                      <wps:spPr>
                        <a:xfrm flipV="1">
                          <a:off x="0" y="0"/>
                          <a:ext cx="7601578" cy="15430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4" o:spid="_x0000_s1028" style="width:598.55pt;height:121.5pt;margin-top:-99.95pt;margin-left:-131.85pt;flip:y;mso-height-percent:0;mso-height-relative:margin;mso-width-percent:0;mso-width-relative:margin;mso-wrap-distance-bottom:0;mso-wrap-distance-left:9pt;mso-wrap-distance-right:9pt;mso-wrap-distance-top:0;mso-wrap-style:square;position:absolute;visibility:visible;v-text-anchor:middle;z-index:251662336" fillcolor="white" stroked="f" strokeweight="1.25pt"/>
            </w:pict>
          </mc:Fallback>
        </mc:AlternateContent>
      </w:r>
    </w:p>
    <w:p w:rsidR="000E64A1" w:rsidP="000E64A1" w14:paraId="291315C1" w14:textId="514133F9">
      <w:pPr>
        <w:jc w:val="left"/>
        <w:rPr>
          <w:rFonts w:ascii="Tahoma" w:hAnsi="Tahoma" w:cs="Tahoma"/>
          <w:sz w:val="22"/>
          <w:szCs w:val="22"/>
          <w:rtl/>
        </w:rPr>
        <w:sectPr w:rsidSect="007D062A">
          <w:headerReference w:type="even" r:id="rId17"/>
          <w:pgSz w:w="11906" w:h="16838" w:code="9"/>
          <w:pgMar w:top="3062" w:right="2268" w:bottom="2552" w:left="2268" w:header="709" w:footer="709" w:gutter="0"/>
          <w:pgNumType w:start="2"/>
          <w:cols w:space="720"/>
          <w:bidi/>
          <w:rtlGutter/>
          <w:docGrid w:linePitch="272"/>
        </w:sectPr>
      </w:pPr>
    </w:p>
    <w:p w:rsidR="00B93C72" w:rsidP="005F32C1" w14:paraId="4ED3AA37" w14:textId="080C7866">
      <w:pPr>
        <w:pStyle w:val="7328"/>
        <w:spacing w:after="1200"/>
        <w:ind w:left="1133" w:hanging="1133"/>
        <w:rPr>
          <w:rtl/>
        </w:rPr>
      </w:pPr>
      <w:r w:rsidRPr="00802F2E">
        <w:rPr>
          <w:noProof/>
          <w:rtl/>
        </w:rPr>
        <w:drawing>
          <wp:anchor distT="0" distB="0" distL="114300" distR="114300" simplePos="0" relativeHeight="251673600" behindDoc="0" locked="0" layoutInCell="1" allowOverlap="1">
            <wp:simplePos x="0" y="0"/>
            <wp:positionH relativeFrom="column">
              <wp:posOffset>3293110</wp:posOffset>
            </wp:positionH>
            <wp:positionV relativeFrom="paragraph">
              <wp:posOffset>1026160</wp:posOffset>
            </wp:positionV>
            <wp:extent cx="1386840" cy="421640"/>
            <wp:effectExtent l="0" t="0" r="0" b="0"/>
            <wp:wrapTopAndBottom/>
            <wp:docPr id="12" name="Picture 12" descr="רק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753954" name="Picture 12" descr="רקע"/>
                    <pic:cNvPicPr/>
                  </pic:nvPicPr>
                  <pic:blipFill>
                    <a:blip xmlns:r="http://schemas.openxmlformats.org/officeDocument/2006/relationships" r:embed="rId18" cstate="print">
                      <a:extLst>
                        <a:ext xmlns:a="http://schemas.openxmlformats.org/drawingml/2006/main" uri="{28A0092B-C50C-407E-A947-70E740481C1C}">
                          <a14:useLocalDpi xmlns:a14="http://schemas.microsoft.com/office/drawing/2010/main" val="0"/>
                        </a:ext>
                      </a:extLst>
                    </a:blip>
                    <a:stretch>
                      <a:fillRect/>
                    </a:stretch>
                  </pic:blipFill>
                  <pic:spPr>
                    <a:xfrm>
                      <a:off x="0" y="0"/>
                      <a:ext cx="1386840" cy="421640"/>
                    </a:xfrm>
                    <a:prstGeom prst="rect">
                      <a:avLst/>
                    </a:prstGeom>
                  </pic:spPr>
                </pic:pic>
              </a:graphicData>
            </a:graphic>
          </wp:anchor>
        </w:drawing>
      </w:r>
      <w:r w:rsidRPr="00802F2E" w:rsidR="007C7D40">
        <w:rPr>
          <w:noProof/>
          <w:rtl/>
        </w:rPr>
        <mc:AlternateContent>
          <mc:Choice Requires="wps">
            <w:drawing>
              <wp:anchor distT="0" distB="0" distL="114300" distR="114300" simplePos="0" relativeHeight="251665408" behindDoc="0" locked="0" layoutInCell="1" allowOverlap="1">
                <wp:simplePos x="0" y="0"/>
                <wp:positionH relativeFrom="column">
                  <wp:posOffset>-655320</wp:posOffset>
                </wp:positionH>
                <wp:positionV relativeFrom="paragraph">
                  <wp:posOffset>227330</wp:posOffset>
                </wp:positionV>
                <wp:extent cx="194310" cy="5666740"/>
                <wp:effectExtent l="0" t="0" r="0" b="0"/>
                <wp:wrapNone/>
                <wp:docPr id="21" name="Rectangle 24">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SpPr/>
                      <wps:spPr>
                        <a:xfrm flipV="1">
                          <a:off x="0" y="0"/>
                          <a:ext cx="194310" cy="5666740"/>
                        </a:xfrm>
                        <a:prstGeom prst="rect">
                          <a:avLst/>
                        </a:prstGeom>
                        <a:solidFill>
                          <a:srgbClr val="00305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4" o:spid="_x0000_s1029" alt="&quot;&quot;" style="width:15.3pt;height:446.2pt;margin-top:17.9pt;margin-left:-51.6pt;flip:y;mso-height-percent:0;mso-height-relative:margin;mso-width-percent:0;mso-width-relative:margin;mso-wrap-distance-bottom:0;mso-wrap-distance-left:9pt;mso-wrap-distance-right:9pt;mso-wrap-distance-top:0;mso-wrap-style:square;position:absolute;visibility:visible;v-text-anchor:middle;z-index:251666432" fillcolor="#00305f" stroked="f" strokeweight="1.25pt"/>
            </w:pict>
          </mc:Fallback>
        </mc:AlternateContent>
      </w:r>
      <w:r w:rsidRPr="001B1030" w:rsidR="00A12C22">
        <w:rPr>
          <w:rFonts w:hint="cs"/>
          <w:b w:val="0"/>
          <w:bCs w:val="0"/>
          <w:noProof/>
          <w:spacing w:val="-6"/>
          <w:rtl/>
        </w:rPr>
        <w:t xml:space="preserve">פרק 3 | </w:t>
      </w:r>
      <w:r w:rsidRPr="001B1030" w:rsidR="00A12C22">
        <w:rPr>
          <w:noProof/>
          <w:spacing w:val="-6"/>
          <w:rtl/>
        </w:rPr>
        <w:t xml:space="preserve">היבטים כלכליים, </w:t>
      </w:r>
      <w:r w:rsidRPr="001B1030" w:rsidR="00A12C22">
        <w:rPr>
          <w:rFonts w:hint="cs"/>
          <w:noProof/>
          <w:spacing w:val="-6"/>
          <w:rtl/>
        </w:rPr>
        <w:t xml:space="preserve">היבטי </w:t>
      </w:r>
      <w:r w:rsidRPr="001B1030" w:rsidR="00A12C22">
        <w:rPr>
          <w:noProof/>
          <w:spacing w:val="-6"/>
          <w:rtl/>
        </w:rPr>
        <w:t xml:space="preserve">מיסוי </w:t>
      </w:r>
      <w:r w:rsidR="005F32C1">
        <w:rPr>
          <w:rFonts w:hint="cs"/>
          <w:noProof/>
          <w:spacing w:val="-6"/>
          <w:rtl/>
        </w:rPr>
        <w:t xml:space="preserve">     </w:t>
      </w:r>
      <w:r w:rsidR="005F32C1">
        <w:rPr>
          <w:noProof/>
          <w:spacing w:val="-6"/>
          <w:rtl/>
        </w:rPr>
        <w:br/>
      </w:r>
      <w:r w:rsidRPr="005F32C1" w:rsidR="005F32C1">
        <w:rPr>
          <w:rFonts w:hint="cs"/>
          <w:noProof/>
          <w:spacing w:val="-6"/>
          <w:sz w:val="36"/>
          <w:szCs w:val="36"/>
          <w:rtl/>
        </w:rPr>
        <w:t xml:space="preserve"> </w:t>
      </w:r>
      <w:r w:rsidRPr="001B1030" w:rsidR="00A12C22">
        <w:rPr>
          <w:rFonts w:hint="cs"/>
          <w:noProof/>
          <w:spacing w:val="-6"/>
          <w:rtl/>
        </w:rPr>
        <w:t>וה</w:t>
      </w:r>
      <w:r w:rsidRPr="001B1030" w:rsidR="00A12C22">
        <w:rPr>
          <w:noProof/>
          <w:spacing w:val="-6"/>
          <w:rtl/>
        </w:rPr>
        <w:t xml:space="preserve">יבטים פיננסיים של </w:t>
      </w:r>
      <w:r w:rsidR="00BD0341">
        <w:rPr>
          <w:rFonts w:hint="cs"/>
          <w:noProof/>
          <w:spacing w:val="-6"/>
          <w:rtl/>
        </w:rPr>
        <w:t>שינויי</w:t>
      </w:r>
      <w:r w:rsidRPr="001B1030" w:rsidR="00A12C22">
        <w:rPr>
          <w:noProof/>
          <w:spacing w:val="-6"/>
          <w:rtl/>
        </w:rPr>
        <w:t xml:space="preserve"> האקלים</w:t>
      </w:r>
    </w:p>
    <w:p w:rsidR="00D627E0" w:rsidRPr="00936D22" w:rsidP="00D627E0" w14:paraId="603C5B55" w14:textId="77777777">
      <w:pPr>
        <w:pStyle w:val="7392"/>
        <w:rPr>
          <w:rtl/>
        </w:rPr>
      </w:pPr>
      <w:r w:rsidRPr="00936D22">
        <w:rPr>
          <w:rtl/>
        </w:rPr>
        <w:t>מ</w:t>
      </w:r>
      <w:r w:rsidRPr="00936D22">
        <w:rPr>
          <w:rFonts w:hint="cs"/>
          <w:rtl/>
        </w:rPr>
        <w:t>ה</w:t>
      </w:r>
      <w:r w:rsidRPr="00936D22">
        <w:rPr>
          <w:rtl/>
        </w:rPr>
        <w:t xml:space="preserve">בחינה </w:t>
      </w:r>
      <w:r w:rsidRPr="00936D22">
        <w:rPr>
          <w:rFonts w:hint="cs"/>
          <w:rtl/>
        </w:rPr>
        <w:t>ה</w:t>
      </w:r>
      <w:r w:rsidRPr="00936D22">
        <w:rPr>
          <w:rtl/>
        </w:rPr>
        <w:t>היסטורית, ו</w:t>
      </w:r>
      <w:r w:rsidRPr="00936D22">
        <w:rPr>
          <w:rFonts w:hint="cs"/>
          <w:rtl/>
        </w:rPr>
        <w:t>גם</w:t>
      </w:r>
      <w:r w:rsidRPr="00936D22">
        <w:rPr>
          <w:rtl/>
        </w:rPr>
        <w:t xml:space="preserve"> היום, יש קשר ישיר בין פיתוחן של מדינות וכלכלות מודרניות ובין הגדלת פליטות </w:t>
      </w:r>
      <w:r w:rsidRPr="00936D22">
        <w:rPr>
          <w:rtl/>
        </w:rPr>
        <w:t>גז"ח</w:t>
      </w:r>
      <w:r w:rsidRPr="00936D22">
        <w:rPr>
          <w:rFonts w:hint="cs"/>
          <w:rtl/>
        </w:rPr>
        <w:t>:</w:t>
      </w:r>
      <w:r w:rsidRPr="00936D22">
        <w:rPr>
          <w:rtl/>
        </w:rPr>
        <w:t xml:space="preserve"> צמיחה כלכלית קשורה בהגדלת ייצור </w:t>
      </w:r>
      <w:r w:rsidRPr="00936D22">
        <w:rPr>
          <w:rtl/>
        </w:rPr>
        <w:t>אנרגייה</w:t>
      </w:r>
      <w:r w:rsidRPr="00936D22">
        <w:rPr>
          <w:rtl/>
        </w:rPr>
        <w:t xml:space="preserve"> משריפת דלקים הגורמת לעלי</w:t>
      </w:r>
      <w:r w:rsidRPr="00936D22">
        <w:rPr>
          <w:rFonts w:hint="cs"/>
          <w:rtl/>
        </w:rPr>
        <w:t>י</w:t>
      </w:r>
      <w:r w:rsidRPr="00936D22">
        <w:rPr>
          <w:rtl/>
        </w:rPr>
        <w:t xml:space="preserve">ה בפליטות </w:t>
      </w:r>
      <w:r w:rsidRPr="00936D22">
        <w:rPr>
          <w:rtl/>
        </w:rPr>
        <w:t>גז"ח</w:t>
      </w:r>
      <w:r w:rsidRPr="00936D22">
        <w:rPr>
          <w:rtl/>
        </w:rPr>
        <w:t xml:space="preserve">. סיכוני האקלים צפויים להשפיע על מצבה הפיננסי של המדינה </w:t>
      </w:r>
      <w:r w:rsidRPr="00936D22">
        <w:rPr>
          <w:rFonts w:hint="cs"/>
          <w:rtl/>
        </w:rPr>
        <w:t>על</w:t>
      </w:r>
      <w:r w:rsidRPr="00936D22">
        <w:rPr>
          <w:rtl/>
        </w:rPr>
        <w:t xml:space="preserve"> </w:t>
      </w:r>
      <w:r w:rsidRPr="00936D22">
        <w:rPr>
          <w:rtl/>
        </w:rPr>
        <w:t>התמ"ג</w:t>
      </w:r>
      <w:r w:rsidRPr="00936D22">
        <w:rPr>
          <w:rtl/>
        </w:rPr>
        <w:t>, שיעורי הצמיחה ותקציב המדינה, שכן ההשפעות הכרוניות וההשפעות האקוטיות של שינויי האקלים צפויות לגרום לנזקים מוחשיים לסקטורים שונים במשק לאורך זמן: הם עלולים להשפיע לרעה על הצמיחה במשק ולשבש את פעילותו או לפגוע בהכנסות המדינה וביכולתה לספק לאזרחיה שירותים הולמים. נוסף על כך לשינויי האקלים יש השפעה ישירה על יציבות המחירים במשק.</w:t>
      </w:r>
    </w:p>
    <w:p w:rsidR="00D627E0" w:rsidRPr="00936D22" w:rsidP="00D627E0" w14:paraId="0688C771" w14:textId="5C43789A">
      <w:pPr>
        <w:pStyle w:val="7392"/>
        <w:rPr>
          <w:rtl/>
        </w:rPr>
      </w:pPr>
      <w:r w:rsidRPr="00936D22">
        <w:rPr>
          <w:rtl/>
        </w:rPr>
        <w:t xml:space="preserve">היכולת להמשיך בצמיחה כלכלית ללא צורך בהגדלת פליטות </w:t>
      </w:r>
      <w:r w:rsidRPr="00936D22">
        <w:rPr>
          <w:rtl/>
        </w:rPr>
        <w:t>גז</w:t>
      </w:r>
      <w:r w:rsidRPr="00936D22">
        <w:rPr>
          <w:rFonts w:hint="cs"/>
          <w:rtl/>
        </w:rPr>
        <w:t>"ח</w:t>
      </w:r>
      <w:r w:rsidRPr="00936D22">
        <w:rPr>
          <w:rtl/>
        </w:rPr>
        <w:t xml:space="preserve"> משמעה ניתוק התלות שבין שני גורמים אלו</w:t>
      </w:r>
      <w:r w:rsidRPr="000F3C27" w:rsidR="000F3C27">
        <w:rPr>
          <w:rtl/>
        </w:rPr>
        <w:t xml:space="preserve"> (</w:t>
      </w:r>
      <w:r w:rsidRPr="000F3C27" w:rsidR="000F3C27">
        <w:t>decoupling</w:t>
      </w:r>
      <w:r w:rsidRPr="000F3C27" w:rsidR="000F3C27">
        <w:rPr>
          <w:rtl/>
        </w:rPr>
        <w:t>)</w:t>
      </w:r>
      <w:r w:rsidRPr="00936D22">
        <w:rPr>
          <w:rFonts w:hint="cs"/>
          <w:rtl/>
        </w:rPr>
        <w:t>,</w:t>
      </w:r>
      <w:r w:rsidRPr="00936D22">
        <w:rPr>
          <w:rtl/>
        </w:rPr>
        <w:t xml:space="preserve"> </w:t>
      </w:r>
      <w:r w:rsidRPr="00936D22">
        <w:rPr>
          <w:rFonts w:hint="cs"/>
          <w:rtl/>
        </w:rPr>
        <w:t>ה</w:t>
      </w:r>
      <w:r w:rsidRPr="00936D22">
        <w:rPr>
          <w:rtl/>
        </w:rPr>
        <w:t xml:space="preserve">משקף עלייה בתפוקה ביחס לכל יחידת </w:t>
      </w:r>
      <w:r w:rsidRPr="00936D22">
        <w:rPr>
          <w:rtl/>
        </w:rPr>
        <w:t>אנרגייה</w:t>
      </w:r>
      <w:r w:rsidRPr="00936D22">
        <w:rPr>
          <w:rtl/>
        </w:rPr>
        <w:t xml:space="preserve"> שנצרכה, ומשמעות</w:t>
      </w:r>
      <w:r w:rsidRPr="00936D22">
        <w:rPr>
          <w:rFonts w:hint="cs"/>
          <w:rtl/>
        </w:rPr>
        <w:t>ו</w:t>
      </w:r>
      <w:r w:rsidRPr="00936D22">
        <w:rPr>
          <w:rtl/>
        </w:rPr>
        <w:t xml:space="preserve"> היא שינוי יסודי ב</w:t>
      </w:r>
      <w:r w:rsidRPr="00936D22">
        <w:rPr>
          <w:rFonts w:hint="cs"/>
          <w:rtl/>
        </w:rPr>
        <w:t>נוגע</w:t>
      </w:r>
      <w:r w:rsidRPr="00936D22">
        <w:rPr>
          <w:rtl/>
        </w:rPr>
        <w:t xml:space="preserve"> לאופן </w:t>
      </w:r>
      <w:r w:rsidRPr="00936D22">
        <w:rPr>
          <w:rFonts w:hint="cs"/>
          <w:rtl/>
        </w:rPr>
        <w:t>ש</w:t>
      </w:r>
      <w:r w:rsidRPr="00936D22">
        <w:rPr>
          <w:rtl/>
        </w:rPr>
        <w:t xml:space="preserve">בו הכלכלה </w:t>
      </w:r>
      <w:r w:rsidRPr="00936D22">
        <w:rPr>
          <w:rFonts w:hint="cs"/>
          <w:rtl/>
        </w:rPr>
        <w:t>פועלת.</w:t>
      </w:r>
      <w:r w:rsidRPr="00936D22">
        <w:rPr>
          <w:rtl/>
        </w:rPr>
        <w:t xml:space="preserve"> </w:t>
      </w:r>
      <w:r w:rsidRPr="000F3C27" w:rsidR="000F3C27">
        <w:rPr>
          <w:rtl/>
        </w:rPr>
        <w:t>הצורך בניתוק של</w:t>
      </w:r>
      <w:r w:rsidR="000F3C27">
        <w:rPr>
          <w:rFonts w:hint="cs"/>
          <w:rtl/>
        </w:rPr>
        <w:t xml:space="preserve"> </w:t>
      </w:r>
      <w:r w:rsidRPr="00936D22">
        <w:rPr>
          <w:rtl/>
        </w:rPr>
        <w:t xml:space="preserve">הקשר ההדוק בין צמיחה כלכלית ופליטות </w:t>
      </w:r>
      <w:r w:rsidRPr="00936D22">
        <w:rPr>
          <w:rtl/>
        </w:rPr>
        <w:t>גז"ח</w:t>
      </w:r>
      <w:r w:rsidRPr="00936D22">
        <w:rPr>
          <w:rtl/>
        </w:rPr>
        <w:t xml:space="preserve"> מביא לכך שזה שנים מדינות העולם עוסקות </w:t>
      </w:r>
      <w:r w:rsidRPr="00936D22">
        <w:rPr>
          <w:rtl/>
        </w:rPr>
        <w:t>ב"</w:t>
      </w:r>
      <w:r w:rsidRPr="00936D22">
        <w:rPr>
          <w:rFonts w:hint="cs"/>
          <w:rtl/>
        </w:rPr>
        <w:t>י</w:t>
      </w:r>
      <w:r w:rsidRPr="00936D22">
        <w:rPr>
          <w:rtl/>
        </w:rPr>
        <w:t>ירו</w:t>
      </w:r>
      <w:r w:rsidRPr="00936D22">
        <w:rPr>
          <w:rFonts w:hint="cs"/>
          <w:rtl/>
        </w:rPr>
        <w:t>ּ</w:t>
      </w:r>
      <w:r w:rsidRPr="00936D22">
        <w:rPr>
          <w:rtl/>
        </w:rPr>
        <w:t>ק</w:t>
      </w:r>
      <w:r w:rsidRPr="00936D22">
        <w:rPr>
          <w:rtl/>
        </w:rPr>
        <w:t>" הכלכלות, לרבות באמצעות תקצוב ירוק</w:t>
      </w:r>
      <w:r w:rsidRPr="00936D22">
        <w:rPr>
          <w:rFonts w:hint="cs"/>
          <w:rtl/>
        </w:rPr>
        <w:t>,</w:t>
      </w:r>
      <w:r w:rsidRPr="00936D22">
        <w:rPr>
          <w:rtl/>
        </w:rPr>
        <w:t xml:space="preserve"> </w:t>
      </w:r>
      <w:r w:rsidRPr="00936D22">
        <w:rPr>
          <w:rtl/>
        </w:rPr>
        <w:t>ו</w:t>
      </w:r>
      <w:r w:rsidRPr="00936D22">
        <w:rPr>
          <w:rFonts w:hint="cs"/>
          <w:rtl/>
        </w:rPr>
        <w:t>ב</w:t>
      </w:r>
      <w:r w:rsidRPr="00936D22">
        <w:rPr>
          <w:rtl/>
        </w:rPr>
        <w:t>"ייר</w:t>
      </w:r>
      <w:r w:rsidRPr="00936D22">
        <w:rPr>
          <w:rFonts w:hint="cs"/>
          <w:rtl/>
        </w:rPr>
        <w:t>וּ</w:t>
      </w:r>
      <w:r w:rsidRPr="00936D22">
        <w:rPr>
          <w:rFonts w:hint="eastAsia"/>
          <w:rtl/>
        </w:rPr>
        <w:t>ק</w:t>
      </w:r>
      <w:r w:rsidRPr="00936D22">
        <w:rPr>
          <w:rtl/>
        </w:rPr>
        <w:t>" המערכת הפיננסית</w:t>
      </w:r>
      <w:r w:rsidRPr="00936D22">
        <w:rPr>
          <w:rFonts w:hint="cs"/>
          <w:rtl/>
        </w:rPr>
        <w:t xml:space="preserve">. פרק זה עוסק בהיבטים שונים של נושא זה. </w:t>
      </w:r>
    </w:p>
    <w:p w:rsidR="007F4A20" w14:paraId="37B9E65E" w14:textId="77777777">
      <w:pPr>
        <w:bidi w:val="0"/>
        <w:spacing w:after="200" w:line="276" w:lineRule="auto"/>
        <w:rPr>
          <w:rFonts w:ascii="Tahoma" w:hAnsi="Tahoma" w:cs="Tahoma"/>
          <w:color w:val="0D0D0D" w:themeColor="text1" w:themeTint="F2"/>
          <w:sz w:val="18"/>
          <w:szCs w:val="18"/>
          <w:rtl/>
        </w:rPr>
      </w:pPr>
      <w:r>
        <w:rPr>
          <w:rtl/>
        </w:rPr>
        <w:br w:type="page"/>
      </w:r>
    </w:p>
    <w:p w:rsidR="005D0F8C" w:rsidP="007F4A20" w14:paraId="087C7BAD" w14:textId="0A8743A0">
      <w:pPr>
        <w:pStyle w:val="7392"/>
        <w:spacing w:before="360"/>
        <w:rPr>
          <w:b/>
          <w:bCs/>
          <w:color w:val="00305F"/>
          <w:sz w:val="32"/>
          <w:szCs w:val="32"/>
          <w:rtl/>
        </w:rPr>
      </w:pPr>
      <w:r w:rsidRPr="001F3363">
        <w:rPr>
          <w:noProof/>
          <w:rtl/>
        </w:rPr>
        <w:drawing>
          <wp:anchor distT="0" distB="0" distL="114300" distR="114300" simplePos="0" relativeHeight="251667456" behindDoc="0" locked="0" layoutInCell="1" allowOverlap="1">
            <wp:simplePos x="0" y="0"/>
            <wp:positionH relativeFrom="column">
              <wp:posOffset>3298825</wp:posOffset>
            </wp:positionH>
            <wp:positionV relativeFrom="paragraph">
              <wp:posOffset>488</wp:posOffset>
            </wp:positionV>
            <wp:extent cx="1405255" cy="431800"/>
            <wp:effectExtent l="0" t="0" r="4445" b="0"/>
            <wp:wrapSquare wrapText="bothSides"/>
            <wp:docPr id="6" name="Picture 6" descr="נתוני מפת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325075" name="Picture 6" descr="נתוני מפתח"/>
                    <pic:cNvPicPr/>
                  </pic:nvPicPr>
                  <pic:blipFill>
                    <a:blip xmlns:r="http://schemas.openxmlformats.org/officeDocument/2006/relationships" r:embed="rId19"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05255" cy="431800"/>
                    </a:xfrm>
                    <a:prstGeom prst="rect">
                      <a:avLst/>
                    </a:prstGeom>
                  </pic:spPr>
                </pic:pic>
              </a:graphicData>
            </a:graphic>
            <wp14:sizeRelH relativeFrom="margin">
              <wp14:pctWidth>0</wp14:pctWidth>
            </wp14:sizeRelH>
            <wp14:sizeRelV relativeFrom="margin">
              <wp14:pctHeight>0</wp14:pctHeight>
            </wp14:sizeRelV>
          </wp:anchor>
        </w:drawing>
      </w:r>
    </w:p>
    <w:p w:rsidR="005D0F8C" w:rsidP="007F4A20" w14:paraId="2AA141C4" w14:textId="77777777">
      <w:pPr>
        <w:pStyle w:val="100"/>
        <w:tabs>
          <w:tab w:val="center" w:pos="3685"/>
        </w:tabs>
        <w:spacing w:before="360" w:after="0" w:line="240" w:lineRule="exact"/>
        <w:rPr>
          <w:b/>
          <w:bCs/>
          <w:color w:val="00305F"/>
          <w:sz w:val="32"/>
          <w:szCs w:val="32"/>
          <w:rtl/>
        </w:rPr>
      </w:pPr>
    </w:p>
    <w:tbl>
      <w:tblPr>
        <w:tblStyle w:val="TableGrid"/>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694"/>
        <w:gridCol w:w="277"/>
        <w:gridCol w:w="1508"/>
        <w:gridCol w:w="277"/>
        <w:gridCol w:w="1674"/>
        <w:gridCol w:w="277"/>
        <w:gridCol w:w="1663"/>
      </w:tblGrid>
      <w:tr w14:paraId="58B4726B" w14:textId="77777777" w:rsidTr="00D627E0">
        <w:tblPrEx>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1149" w:type="pct"/>
            <w:tcBorders>
              <w:bottom w:val="single" w:sz="12" w:space="0" w:color="000000" w:themeColor="text1"/>
            </w:tcBorders>
            <w:vAlign w:val="bottom"/>
          </w:tcPr>
          <w:p w:rsidR="00D627E0" w:rsidRPr="00D627E0" w:rsidP="00D627E0" w14:paraId="23EB689E" w14:textId="32345216">
            <w:pPr>
              <w:spacing w:after="60" w:line="240" w:lineRule="auto"/>
              <w:jc w:val="left"/>
              <w:rPr>
                <w:b/>
                <w:bCs/>
                <w:spacing w:val="-28"/>
                <w:rtl/>
              </w:rPr>
            </w:pPr>
            <w:r w:rsidRPr="00D627E0">
              <w:rPr>
                <w:rFonts w:ascii="Tahoma" w:hAnsi="Tahoma" w:eastAsiaTheme="minorEastAsia" w:cs="Tahoma" w:hint="cs"/>
                <w:b/>
                <w:bCs/>
                <w:color w:val="0D0D0D" w:themeColor="text1" w:themeTint="F2"/>
                <w:spacing w:val="-10"/>
                <w:sz w:val="36"/>
                <w:szCs w:val="36"/>
                <w:rtl/>
              </w:rPr>
              <w:t xml:space="preserve">90 </w:t>
            </w:r>
            <w:r>
              <w:rPr>
                <w:rFonts w:ascii="Tahoma" w:hAnsi="Tahoma" w:eastAsiaTheme="minorEastAsia" w:cs="Tahoma"/>
                <w:b/>
                <w:bCs/>
                <w:color w:val="0D0D0D" w:themeColor="text1" w:themeTint="F2"/>
                <w:spacing w:val="-10"/>
                <w:sz w:val="26"/>
                <w:szCs w:val="26"/>
                <w:rtl/>
              </w:rPr>
              <w:br/>
            </w:r>
            <w:r w:rsidRPr="00D627E0">
              <w:rPr>
                <w:rFonts w:ascii="Tahoma" w:hAnsi="Tahoma" w:eastAsiaTheme="minorEastAsia" w:cs="Tahoma" w:hint="cs"/>
                <w:b/>
                <w:bCs/>
                <w:color w:val="0D0D0D" w:themeColor="text1" w:themeTint="F2"/>
                <w:spacing w:val="-10"/>
                <w:sz w:val="26"/>
                <w:szCs w:val="26"/>
                <w:rtl/>
              </w:rPr>
              <w:t xml:space="preserve">שרי אוצר </w:t>
            </w:r>
            <w:r w:rsidRPr="00D627E0">
              <w:rPr>
                <w:rFonts w:ascii="Tahoma" w:hAnsi="Tahoma" w:eastAsiaTheme="minorEastAsia" w:cs="Tahoma" w:hint="eastAsia"/>
                <w:b/>
                <w:bCs/>
                <w:color w:val="0D0D0D" w:themeColor="text1" w:themeTint="F2"/>
                <w:spacing w:val="-10"/>
                <w:sz w:val="26"/>
                <w:szCs w:val="26"/>
                <w:rtl/>
              </w:rPr>
              <w:t>ממדינות</w:t>
            </w:r>
            <w:r w:rsidRPr="00D627E0">
              <w:rPr>
                <w:rFonts w:ascii="Tahoma" w:hAnsi="Tahoma" w:eastAsiaTheme="minorEastAsia" w:cs="Tahoma"/>
                <w:b/>
                <w:bCs/>
                <w:color w:val="0D0D0D" w:themeColor="text1" w:themeTint="F2"/>
                <w:spacing w:val="-10"/>
                <w:sz w:val="26"/>
                <w:szCs w:val="26"/>
                <w:rtl/>
              </w:rPr>
              <w:t xml:space="preserve"> </w:t>
            </w:r>
            <w:r w:rsidRPr="00D627E0">
              <w:rPr>
                <w:rFonts w:ascii="Tahoma" w:hAnsi="Tahoma" w:eastAsiaTheme="minorEastAsia" w:cs="Tahoma" w:hint="eastAsia"/>
                <w:b/>
                <w:bCs/>
                <w:color w:val="0D0D0D" w:themeColor="text1" w:themeTint="F2"/>
                <w:spacing w:val="-10"/>
                <w:sz w:val="26"/>
                <w:szCs w:val="26"/>
                <w:rtl/>
              </w:rPr>
              <w:t>העולם</w:t>
            </w:r>
          </w:p>
        </w:tc>
        <w:tc>
          <w:tcPr>
            <w:tcW w:w="188" w:type="pct"/>
            <w:vAlign w:val="bottom"/>
          </w:tcPr>
          <w:p w:rsidR="00D627E0" w:rsidRPr="00D627E0" w:rsidP="00D627E0" w14:paraId="19192EA5" w14:textId="77777777">
            <w:pPr>
              <w:spacing w:before="120" w:after="60" w:line="240" w:lineRule="auto"/>
              <w:jc w:val="left"/>
              <w:rPr>
                <w:b/>
                <w:bCs/>
                <w:rtl/>
              </w:rPr>
            </w:pPr>
          </w:p>
        </w:tc>
        <w:tc>
          <w:tcPr>
            <w:tcW w:w="1023" w:type="pct"/>
            <w:tcBorders>
              <w:bottom w:val="single" w:sz="12" w:space="0" w:color="000000" w:themeColor="text1"/>
            </w:tcBorders>
            <w:vAlign w:val="bottom"/>
          </w:tcPr>
          <w:p w:rsidR="00D627E0" w:rsidRPr="00D627E0" w:rsidP="00D627E0" w14:paraId="761F4116" w14:textId="6D0679F5">
            <w:pPr>
              <w:pStyle w:val="2021"/>
              <w:spacing w:before="0" w:after="60"/>
              <w:rPr>
                <w:spacing w:val="-10"/>
                <w:rtl/>
              </w:rPr>
            </w:pPr>
            <w:r w:rsidRPr="00D627E0">
              <w:rPr>
                <w:rFonts w:hint="cs"/>
                <w:spacing w:val="-10"/>
                <w:rtl/>
              </w:rPr>
              <w:t xml:space="preserve">13 </w:t>
            </w:r>
            <w:r w:rsidRPr="00D627E0">
              <w:rPr>
                <w:rFonts w:hint="cs"/>
                <w:spacing w:val="-10"/>
                <w:sz w:val="26"/>
                <w:szCs w:val="26"/>
                <w:rtl/>
              </w:rPr>
              <w:t>שנים</w:t>
            </w:r>
          </w:p>
        </w:tc>
        <w:tc>
          <w:tcPr>
            <w:tcW w:w="188" w:type="pct"/>
            <w:vAlign w:val="bottom"/>
          </w:tcPr>
          <w:p w:rsidR="00D627E0" w:rsidRPr="00D627E0" w:rsidP="00D627E0" w14:paraId="2810DE55" w14:textId="77777777">
            <w:pPr>
              <w:spacing w:before="120" w:after="60" w:line="240" w:lineRule="auto"/>
              <w:jc w:val="left"/>
              <w:rPr>
                <w:b/>
                <w:bCs/>
                <w:rtl/>
              </w:rPr>
            </w:pPr>
          </w:p>
        </w:tc>
        <w:tc>
          <w:tcPr>
            <w:tcW w:w="1136" w:type="pct"/>
            <w:tcBorders>
              <w:bottom w:val="single" w:sz="12" w:space="0" w:color="000000" w:themeColor="text1"/>
            </w:tcBorders>
            <w:vAlign w:val="bottom"/>
          </w:tcPr>
          <w:p w:rsidR="00D627E0" w:rsidRPr="00D627E0" w:rsidP="00D627E0" w14:paraId="2A2E27BD" w14:textId="061CF17B">
            <w:pPr>
              <w:pStyle w:val="2021"/>
              <w:spacing w:before="0" w:after="60"/>
              <w:rPr>
                <w:spacing w:val="-20"/>
                <w:sz w:val="24"/>
                <w:rtl/>
              </w:rPr>
            </w:pPr>
            <w:r w:rsidRPr="00D627E0">
              <w:rPr>
                <w:rFonts w:hint="eastAsia"/>
                <w:spacing w:val="-10"/>
                <w:sz w:val="26"/>
                <w:szCs w:val="26"/>
                <w:rtl/>
              </w:rPr>
              <w:t>כ</w:t>
            </w:r>
            <w:r w:rsidRPr="00D627E0">
              <w:rPr>
                <w:spacing w:val="-10"/>
                <w:sz w:val="26"/>
                <w:szCs w:val="26"/>
                <w:rtl/>
              </w:rPr>
              <w:t>-</w:t>
            </w:r>
            <w:r w:rsidRPr="00D627E0">
              <w:rPr>
                <w:rFonts w:hint="cs"/>
                <w:spacing w:val="-10"/>
                <w:rtl/>
              </w:rPr>
              <w:t xml:space="preserve">38% </w:t>
            </w:r>
            <w:r w:rsidRPr="00D627E0">
              <w:rPr>
                <w:rFonts w:hint="cs"/>
                <w:spacing w:val="-10"/>
                <w:sz w:val="26"/>
                <w:szCs w:val="26"/>
                <w:rtl/>
              </w:rPr>
              <w:t>הפחתה</w:t>
            </w:r>
          </w:p>
        </w:tc>
        <w:tc>
          <w:tcPr>
            <w:tcW w:w="188" w:type="pct"/>
            <w:vAlign w:val="bottom"/>
          </w:tcPr>
          <w:p w:rsidR="00D627E0" w:rsidRPr="00D627E0" w:rsidP="00D627E0" w14:paraId="47B754BA" w14:textId="77777777">
            <w:pPr>
              <w:pStyle w:val="2021"/>
              <w:spacing w:before="0" w:after="60"/>
              <w:rPr>
                <w:spacing w:val="-10"/>
                <w:rtl/>
              </w:rPr>
            </w:pPr>
          </w:p>
        </w:tc>
        <w:tc>
          <w:tcPr>
            <w:tcW w:w="1128" w:type="pct"/>
            <w:tcBorders>
              <w:bottom w:val="single" w:sz="12" w:space="0" w:color="000000" w:themeColor="text1"/>
            </w:tcBorders>
            <w:vAlign w:val="bottom"/>
          </w:tcPr>
          <w:p w:rsidR="00D627E0" w:rsidRPr="00D627E0" w:rsidP="00D627E0" w14:paraId="5F3A3FF5" w14:textId="0F145E0F">
            <w:pPr>
              <w:pStyle w:val="2021"/>
              <w:spacing w:before="0" w:after="60"/>
              <w:rPr>
                <w:spacing w:val="-10"/>
                <w:rtl/>
              </w:rPr>
            </w:pPr>
            <w:r w:rsidRPr="00D627E0">
              <w:rPr>
                <w:rFonts w:hint="cs"/>
                <w:spacing w:val="-10"/>
                <w:sz w:val="26"/>
                <w:szCs w:val="26"/>
                <w:rtl/>
              </w:rPr>
              <w:t>כ-</w:t>
            </w:r>
            <w:r w:rsidRPr="00D627E0">
              <w:rPr>
                <w:rFonts w:hint="cs"/>
                <w:spacing w:val="-10"/>
                <w:rtl/>
              </w:rPr>
              <w:t xml:space="preserve">4 </w:t>
            </w:r>
            <w:r w:rsidRPr="00D627E0">
              <w:rPr>
                <w:rFonts w:hint="cs"/>
                <w:spacing w:val="-10"/>
                <w:sz w:val="26"/>
                <w:szCs w:val="26"/>
                <w:rtl/>
              </w:rPr>
              <w:t>מיליארד</w:t>
            </w:r>
            <w:r w:rsidRPr="00D627E0">
              <w:rPr>
                <w:rFonts w:hint="cs"/>
                <w:spacing w:val="-10"/>
                <w:rtl/>
              </w:rPr>
              <w:t xml:space="preserve"> </w:t>
            </w:r>
            <w:r w:rsidRPr="00D627E0">
              <w:rPr>
                <w:rFonts w:hint="cs"/>
                <w:spacing w:val="-10"/>
                <w:sz w:val="26"/>
                <w:szCs w:val="26"/>
                <w:rtl/>
              </w:rPr>
              <w:t>ש"ח</w:t>
            </w:r>
          </w:p>
        </w:tc>
      </w:tr>
      <w:tr w14:paraId="6DFAF81C" w14:textId="77777777" w:rsidTr="00D627E0">
        <w:tblPrEx>
          <w:tblW w:w="5000" w:type="pct"/>
          <w:tblLook w:val="04A0"/>
        </w:tblPrEx>
        <w:tc>
          <w:tcPr>
            <w:tcW w:w="1149" w:type="pct"/>
            <w:tcBorders>
              <w:top w:val="single" w:sz="12" w:space="0" w:color="000000" w:themeColor="text1"/>
            </w:tcBorders>
          </w:tcPr>
          <w:p w:rsidR="00D627E0" w:rsidRPr="00E52143" w:rsidP="00D627E0" w14:paraId="1D96599A" w14:textId="3B444298">
            <w:pPr>
              <w:pStyle w:val="732021"/>
              <w:spacing w:before="0"/>
              <w:rPr>
                <w:rtl/>
              </w:rPr>
            </w:pPr>
            <w:r w:rsidRPr="00936D22">
              <w:rPr>
                <w:rFonts w:hint="cs"/>
                <w:rtl/>
              </w:rPr>
              <w:t>נמצאים בקואליציי</w:t>
            </w:r>
            <w:r w:rsidRPr="00936D22">
              <w:rPr>
                <w:rFonts w:hint="eastAsia"/>
                <w:rtl/>
              </w:rPr>
              <w:t>ת</w:t>
            </w:r>
            <w:r w:rsidRPr="00936D22">
              <w:rPr>
                <w:rFonts w:hint="cs"/>
                <w:rtl/>
              </w:rPr>
              <w:t xml:space="preserve"> האקלים;</w:t>
            </w:r>
            <w:r w:rsidRPr="00936D22">
              <w:rPr>
                <w:rtl/>
              </w:rPr>
              <w:t xml:space="preserve"> </w:t>
            </w:r>
            <w:r w:rsidRPr="00936D22">
              <w:rPr>
                <w:rFonts w:hint="cs"/>
                <w:rtl/>
              </w:rPr>
              <w:t>ישראל אינה נמנית עימן</w:t>
            </w:r>
          </w:p>
        </w:tc>
        <w:tc>
          <w:tcPr>
            <w:tcW w:w="188" w:type="pct"/>
          </w:tcPr>
          <w:p w:rsidR="00D627E0" w:rsidRPr="00E52143" w:rsidP="00D627E0" w14:paraId="2BF81D8C" w14:textId="77777777">
            <w:pPr>
              <w:pStyle w:val="732021"/>
              <w:spacing w:before="0"/>
              <w:rPr>
                <w:rtl/>
              </w:rPr>
            </w:pPr>
          </w:p>
        </w:tc>
        <w:tc>
          <w:tcPr>
            <w:tcW w:w="1023" w:type="pct"/>
            <w:tcBorders>
              <w:top w:val="single" w:sz="12" w:space="0" w:color="000000" w:themeColor="text1"/>
            </w:tcBorders>
          </w:tcPr>
          <w:p w:rsidR="00D627E0" w:rsidRPr="00E52143" w:rsidP="00D627E0" w14:paraId="68924AF7" w14:textId="08AC767D">
            <w:pPr>
              <w:pStyle w:val="732021"/>
              <w:spacing w:before="0"/>
              <w:rPr>
                <w:rtl/>
              </w:rPr>
            </w:pPr>
            <w:r w:rsidRPr="00936D22">
              <w:rPr>
                <w:rFonts w:hint="cs"/>
                <w:rtl/>
              </w:rPr>
              <w:t xml:space="preserve">מספר </w:t>
            </w:r>
            <w:r w:rsidRPr="00936D22">
              <w:rPr>
                <w:rtl/>
              </w:rPr>
              <w:t>ש</w:t>
            </w:r>
            <w:r w:rsidRPr="00936D22">
              <w:rPr>
                <w:rFonts w:hint="cs"/>
                <w:rtl/>
              </w:rPr>
              <w:t>נות</w:t>
            </w:r>
            <w:r w:rsidRPr="00936D22">
              <w:rPr>
                <w:rtl/>
              </w:rPr>
              <w:t xml:space="preserve"> </w:t>
            </w:r>
            <w:r w:rsidRPr="00936D22">
              <w:rPr>
                <w:rFonts w:hint="cs"/>
                <w:rtl/>
              </w:rPr>
              <w:t>ה</w:t>
            </w:r>
            <w:r w:rsidRPr="00936D22">
              <w:rPr>
                <w:rtl/>
              </w:rPr>
              <w:t xml:space="preserve">דיונים בנושא תמחור פחמן </w:t>
            </w:r>
            <w:r w:rsidRPr="00936D22">
              <w:rPr>
                <w:rFonts w:hint="cs"/>
                <w:rtl/>
              </w:rPr>
              <w:t xml:space="preserve">שחלפו בטרם </w:t>
            </w:r>
            <w:r w:rsidRPr="00936D22">
              <w:rPr>
                <w:rtl/>
              </w:rPr>
              <w:t xml:space="preserve">התקבלה החלטת </w:t>
            </w:r>
            <w:r w:rsidRPr="00936D22">
              <w:rPr>
                <w:rFonts w:hint="cs"/>
                <w:rtl/>
              </w:rPr>
              <w:t>ה</w:t>
            </w:r>
            <w:r w:rsidRPr="00936D22">
              <w:rPr>
                <w:rtl/>
              </w:rPr>
              <w:t xml:space="preserve">ממשלה 286 </w:t>
            </w:r>
            <w:r w:rsidRPr="00936D22">
              <w:rPr>
                <w:rFonts w:hint="eastAsia"/>
                <w:rtl/>
              </w:rPr>
              <w:t>ב</w:t>
            </w:r>
            <w:r w:rsidRPr="00936D22">
              <w:rPr>
                <w:rFonts w:hint="cs"/>
                <w:rtl/>
              </w:rPr>
              <w:t xml:space="preserve">שנת 2021 </w:t>
            </w:r>
            <w:r w:rsidRPr="00936D22">
              <w:rPr>
                <w:rtl/>
              </w:rPr>
              <w:t>על מס פחמן</w:t>
            </w:r>
            <w:r w:rsidRPr="00936D22">
              <w:rPr>
                <w:rFonts w:hint="cs"/>
                <w:rtl/>
              </w:rPr>
              <w:t>;</w:t>
            </w:r>
            <w:r w:rsidRPr="00936D22">
              <w:rPr>
                <w:rtl/>
              </w:rPr>
              <w:t xml:space="preserve"> </w:t>
            </w:r>
            <w:r w:rsidRPr="00936D22">
              <w:rPr>
                <w:rFonts w:hint="cs"/>
                <w:rtl/>
              </w:rPr>
              <w:t>נכון</w:t>
            </w:r>
            <w:r w:rsidRPr="00936D22">
              <w:rPr>
                <w:rtl/>
              </w:rPr>
              <w:t xml:space="preserve"> </w:t>
            </w:r>
            <w:r w:rsidRPr="00936D22">
              <w:rPr>
                <w:rFonts w:hint="cs"/>
                <w:rtl/>
              </w:rPr>
              <w:t>ל</w:t>
            </w:r>
            <w:r w:rsidR="000F3C27">
              <w:rPr>
                <w:rFonts w:hint="cs"/>
                <w:rtl/>
              </w:rPr>
              <w:t>נובמבר</w:t>
            </w:r>
            <w:r w:rsidRPr="00936D22">
              <w:rPr>
                <w:rtl/>
              </w:rPr>
              <w:t xml:space="preserve"> 2023 </w:t>
            </w:r>
            <w:r w:rsidRPr="00936D22">
              <w:rPr>
                <w:rFonts w:hint="cs"/>
                <w:rtl/>
              </w:rPr>
              <w:t>ההחלטה לא יושמה</w:t>
            </w:r>
          </w:p>
        </w:tc>
        <w:tc>
          <w:tcPr>
            <w:tcW w:w="188" w:type="pct"/>
          </w:tcPr>
          <w:p w:rsidR="00D627E0" w:rsidRPr="00E52143" w:rsidP="00D627E0" w14:paraId="4F52CE08" w14:textId="77777777">
            <w:pPr>
              <w:pStyle w:val="732021"/>
              <w:spacing w:before="0"/>
              <w:rPr>
                <w:rtl/>
              </w:rPr>
            </w:pPr>
          </w:p>
        </w:tc>
        <w:tc>
          <w:tcPr>
            <w:tcW w:w="1136" w:type="pct"/>
            <w:tcBorders>
              <w:top w:val="single" w:sz="12" w:space="0" w:color="000000" w:themeColor="text1"/>
            </w:tcBorders>
          </w:tcPr>
          <w:p w:rsidR="00D627E0" w:rsidRPr="00E52143" w:rsidP="00D627E0" w14:paraId="203F9568" w14:textId="369B72A1">
            <w:pPr>
              <w:pStyle w:val="732021"/>
              <w:spacing w:before="0"/>
              <w:rPr>
                <w:rtl/>
              </w:rPr>
            </w:pPr>
            <w:r w:rsidRPr="00936D22">
              <w:rPr>
                <w:rFonts w:hint="cs"/>
                <w:rtl/>
              </w:rPr>
              <w:t>שיעור ההפחתה בתקציב ה</w:t>
            </w:r>
            <w:r w:rsidRPr="00936D22">
              <w:rPr>
                <w:rtl/>
              </w:rPr>
              <w:t xml:space="preserve">פעילות </w:t>
            </w:r>
            <w:r w:rsidRPr="00936D22">
              <w:rPr>
                <w:rFonts w:hint="cs"/>
                <w:rtl/>
              </w:rPr>
              <w:t xml:space="preserve">של </w:t>
            </w:r>
            <w:r w:rsidRPr="00936D22">
              <w:rPr>
                <w:rtl/>
              </w:rPr>
              <w:t>לשכת המדען הראשי</w:t>
            </w:r>
            <w:r w:rsidRPr="00936D22">
              <w:rPr>
                <w:rFonts w:hint="cs"/>
                <w:rtl/>
              </w:rPr>
              <w:t xml:space="preserve"> במשרד </w:t>
            </w:r>
            <w:r w:rsidRPr="00936D22">
              <w:rPr>
                <w:rFonts w:hint="cs"/>
                <w:rtl/>
              </w:rPr>
              <w:t>האנרגייה</w:t>
            </w:r>
            <w:r w:rsidRPr="00936D22">
              <w:rPr>
                <w:rtl/>
              </w:rPr>
              <w:t xml:space="preserve"> לעומת תקציב </w:t>
            </w:r>
            <w:r w:rsidR="000F3C27">
              <w:rPr>
                <w:rFonts w:hint="cs"/>
                <w:rtl/>
              </w:rPr>
              <w:t>שנת</w:t>
            </w:r>
            <w:r w:rsidRPr="00936D22">
              <w:rPr>
                <w:rtl/>
              </w:rPr>
              <w:t xml:space="preserve"> 2022</w:t>
            </w:r>
            <w:r w:rsidRPr="00936D22">
              <w:rPr>
                <w:rFonts w:hint="cs"/>
                <w:rtl/>
              </w:rPr>
              <w:t xml:space="preserve"> (מכ-1</w:t>
            </w:r>
            <w:r w:rsidR="000F3C27">
              <w:rPr>
                <w:rFonts w:hint="cs"/>
                <w:rtl/>
              </w:rPr>
              <w:t>0</w:t>
            </w:r>
            <w:r w:rsidRPr="00936D22">
              <w:rPr>
                <w:rFonts w:hint="cs"/>
                <w:rtl/>
              </w:rPr>
              <w:t xml:space="preserve">0 מיליון ש"ח </w:t>
            </w:r>
            <w:r w:rsidRPr="00936D22">
              <w:rPr>
                <w:rtl/>
              </w:rPr>
              <w:br/>
            </w:r>
            <w:r w:rsidRPr="00936D22">
              <w:rPr>
                <w:rFonts w:hint="cs"/>
                <w:rtl/>
              </w:rPr>
              <w:t xml:space="preserve">לכ-65 מיליון ש"ח)  </w:t>
            </w:r>
          </w:p>
        </w:tc>
        <w:tc>
          <w:tcPr>
            <w:tcW w:w="188" w:type="pct"/>
          </w:tcPr>
          <w:p w:rsidR="00D627E0" w:rsidRPr="00E52143" w:rsidP="00D627E0" w14:paraId="42538096" w14:textId="77777777">
            <w:pPr>
              <w:pStyle w:val="732021"/>
              <w:spacing w:before="0"/>
              <w:rPr>
                <w:rtl/>
              </w:rPr>
            </w:pPr>
          </w:p>
        </w:tc>
        <w:tc>
          <w:tcPr>
            <w:tcW w:w="1128" w:type="pct"/>
            <w:tcBorders>
              <w:top w:val="single" w:sz="12" w:space="0" w:color="000000" w:themeColor="text1"/>
            </w:tcBorders>
          </w:tcPr>
          <w:p w:rsidR="00D627E0" w:rsidRPr="00E52143" w:rsidP="00D627E0" w14:paraId="1878D11D" w14:textId="478DF9C9">
            <w:pPr>
              <w:pStyle w:val="732021"/>
              <w:spacing w:before="0"/>
              <w:rPr>
                <w:rtl/>
              </w:rPr>
            </w:pPr>
            <w:r w:rsidRPr="00936D22">
              <w:rPr>
                <w:rFonts w:hint="cs"/>
                <w:rtl/>
              </w:rPr>
              <w:t>סך התמיכות</w:t>
            </w:r>
            <w:r w:rsidRPr="00936D22">
              <w:rPr>
                <w:rtl/>
              </w:rPr>
              <w:t xml:space="preserve"> ו</w:t>
            </w:r>
            <w:r w:rsidRPr="00936D22">
              <w:rPr>
                <w:rFonts w:hint="cs"/>
                <w:rtl/>
              </w:rPr>
              <w:t>ה</w:t>
            </w:r>
            <w:r w:rsidRPr="00936D22">
              <w:rPr>
                <w:rtl/>
              </w:rPr>
              <w:t xml:space="preserve">סבסוד לדלקים </w:t>
            </w:r>
            <w:r w:rsidRPr="00936D22">
              <w:rPr>
                <w:rtl/>
              </w:rPr>
              <w:t>פוסיליים</w:t>
            </w:r>
            <w:r w:rsidRPr="00936D22">
              <w:rPr>
                <w:rFonts w:hint="cs"/>
                <w:rtl/>
              </w:rPr>
              <w:t xml:space="preserve"> מדי שנה בשנה</w:t>
            </w:r>
          </w:p>
        </w:tc>
      </w:tr>
      <w:tr w14:paraId="1BD5A20C" w14:textId="77777777" w:rsidTr="004301E1">
        <w:tblPrEx>
          <w:tblW w:w="5000" w:type="pct"/>
          <w:tblLook w:val="04A0"/>
        </w:tblPrEx>
        <w:tc>
          <w:tcPr>
            <w:tcW w:w="1149" w:type="pct"/>
            <w:tcBorders>
              <w:bottom w:val="single" w:sz="12" w:space="0" w:color="000000" w:themeColor="text1"/>
            </w:tcBorders>
            <w:vAlign w:val="bottom"/>
          </w:tcPr>
          <w:p w:rsidR="00D627E0" w:rsidRPr="00D627E0" w:rsidP="00D627E0" w14:paraId="500D3B50" w14:textId="4DDF8D44">
            <w:pPr>
              <w:spacing w:after="60" w:line="240" w:lineRule="auto"/>
              <w:jc w:val="left"/>
              <w:rPr>
                <w:rFonts w:ascii="Tahoma" w:hAnsi="Tahoma" w:eastAsiaTheme="minorEastAsia" w:cs="Tahoma"/>
                <w:b/>
                <w:bCs/>
                <w:color w:val="0D0D0D" w:themeColor="text1" w:themeTint="F2"/>
                <w:spacing w:val="-10"/>
                <w:sz w:val="36"/>
                <w:szCs w:val="36"/>
                <w:rtl/>
              </w:rPr>
            </w:pPr>
            <w:r w:rsidRPr="00D627E0">
              <w:rPr>
                <w:rFonts w:ascii="Tahoma" w:hAnsi="Tahoma" w:eastAsiaTheme="minorEastAsia" w:cs="Tahoma" w:hint="cs"/>
                <w:b/>
                <w:bCs/>
                <w:color w:val="0D0D0D" w:themeColor="text1" w:themeTint="F2"/>
                <w:spacing w:val="-10"/>
                <w:sz w:val="36"/>
                <w:szCs w:val="36"/>
                <w:rtl/>
              </w:rPr>
              <w:t xml:space="preserve">16.8% </w:t>
            </w:r>
          </w:p>
        </w:tc>
        <w:tc>
          <w:tcPr>
            <w:tcW w:w="188" w:type="pct"/>
            <w:vAlign w:val="bottom"/>
          </w:tcPr>
          <w:p w:rsidR="00D627E0" w:rsidRPr="00D627E0" w:rsidP="00D627E0" w14:paraId="26A950B1" w14:textId="77777777">
            <w:pPr>
              <w:spacing w:after="60"/>
              <w:jc w:val="left"/>
              <w:rPr>
                <w:rFonts w:ascii="Tahoma" w:hAnsi="Tahoma" w:eastAsiaTheme="minorEastAsia" w:cs="Tahoma"/>
                <w:b/>
                <w:bCs/>
                <w:color w:val="0D0D0D" w:themeColor="text1" w:themeTint="F2"/>
                <w:spacing w:val="-10"/>
                <w:sz w:val="36"/>
                <w:szCs w:val="36"/>
                <w:rtl/>
              </w:rPr>
            </w:pPr>
          </w:p>
        </w:tc>
        <w:tc>
          <w:tcPr>
            <w:tcW w:w="1023" w:type="pct"/>
            <w:tcBorders>
              <w:bottom w:val="single" w:sz="12" w:space="0" w:color="000000" w:themeColor="text1"/>
            </w:tcBorders>
            <w:vAlign w:val="bottom"/>
          </w:tcPr>
          <w:p w:rsidR="00D627E0" w:rsidRPr="00D627E0" w:rsidP="00D627E0" w14:paraId="48896DF7" w14:textId="3ECF11DC">
            <w:pPr>
              <w:pStyle w:val="2021"/>
              <w:spacing w:before="0" w:after="60"/>
              <w:rPr>
                <w:spacing w:val="-10"/>
                <w:rtl/>
              </w:rPr>
            </w:pPr>
            <w:r w:rsidRPr="00D627E0">
              <w:rPr>
                <w:rFonts w:hint="cs"/>
                <w:spacing w:val="-10"/>
                <w:rtl/>
              </w:rPr>
              <w:t>0</w:t>
            </w:r>
          </w:p>
        </w:tc>
        <w:tc>
          <w:tcPr>
            <w:tcW w:w="188" w:type="pct"/>
            <w:vAlign w:val="bottom"/>
          </w:tcPr>
          <w:p w:rsidR="00D627E0" w:rsidRPr="00D627E0" w:rsidP="00D627E0" w14:paraId="5B4C8A80" w14:textId="77777777">
            <w:pPr>
              <w:spacing w:after="60" w:line="240" w:lineRule="auto"/>
              <w:jc w:val="left"/>
              <w:rPr>
                <w:b/>
                <w:bCs/>
                <w:rtl/>
              </w:rPr>
            </w:pPr>
          </w:p>
        </w:tc>
        <w:tc>
          <w:tcPr>
            <w:tcW w:w="1136" w:type="pct"/>
            <w:tcBorders>
              <w:bottom w:val="single" w:sz="12" w:space="0" w:color="000000" w:themeColor="text1"/>
            </w:tcBorders>
            <w:vAlign w:val="bottom"/>
          </w:tcPr>
          <w:p w:rsidR="00D627E0" w:rsidRPr="00D627E0" w:rsidP="00D627E0" w14:paraId="226A2E50" w14:textId="27F904E0">
            <w:pPr>
              <w:spacing w:after="60" w:line="192" w:lineRule="auto"/>
              <w:jc w:val="left"/>
              <w:rPr>
                <w:rFonts w:ascii="Tahoma" w:hAnsi="Tahoma" w:eastAsiaTheme="minorEastAsia" w:cs="Tahoma"/>
                <w:b/>
                <w:bCs/>
                <w:color w:val="0D0D0D" w:themeColor="text1" w:themeTint="F2"/>
                <w:spacing w:val="-10"/>
                <w:sz w:val="36"/>
                <w:szCs w:val="36"/>
                <w:rtl/>
              </w:rPr>
            </w:pPr>
            <w:r w:rsidRPr="00D627E0">
              <w:rPr>
                <w:rFonts w:ascii="Tahoma" w:hAnsi="Tahoma" w:eastAsiaTheme="minorEastAsia" w:cs="Tahoma" w:hint="cs"/>
                <w:b/>
                <w:bCs/>
                <w:color w:val="0D0D0D" w:themeColor="text1" w:themeTint="F2"/>
                <w:spacing w:val="-10"/>
                <w:sz w:val="26"/>
                <w:szCs w:val="26"/>
                <w:rtl/>
              </w:rPr>
              <w:t xml:space="preserve">רק </w:t>
            </w:r>
            <w:r w:rsidRPr="00D627E0">
              <w:rPr>
                <w:rFonts w:ascii="Tahoma" w:hAnsi="Tahoma" w:eastAsiaTheme="minorEastAsia" w:cs="Tahoma" w:hint="eastAsia"/>
                <w:b/>
                <w:bCs/>
                <w:color w:val="0D0D0D" w:themeColor="text1" w:themeTint="F2"/>
                <w:spacing w:val="-10"/>
                <w:sz w:val="26"/>
                <w:szCs w:val="26"/>
                <w:rtl/>
              </w:rPr>
              <w:t>כ</w:t>
            </w:r>
            <w:r w:rsidRPr="00D627E0">
              <w:rPr>
                <w:rFonts w:ascii="Tahoma" w:hAnsi="Tahoma" w:eastAsiaTheme="minorEastAsia" w:cs="Tahoma"/>
                <w:b/>
                <w:bCs/>
                <w:color w:val="0D0D0D" w:themeColor="text1" w:themeTint="F2"/>
                <w:spacing w:val="-10"/>
                <w:sz w:val="26"/>
                <w:szCs w:val="26"/>
                <w:rtl/>
              </w:rPr>
              <w:t>-</w:t>
            </w:r>
            <w:r w:rsidRPr="00D627E0">
              <w:rPr>
                <w:rFonts w:ascii="Tahoma" w:hAnsi="Tahoma" w:eastAsiaTheme="minorEastAsia" w:cs="Tahoma" w:hint="cs"/>
                <w:b/>
                <w:bCs/>
                <w:color w:val="0D0D0D" w:themeColor="text1" w:themeTint="F2"/>
                <w:spacing w:val="-10"/>
                <w:sz w:val="36"/>
                <w:szCs w:val="36"/>
                <w:rtl/>
              </w:rPr>
              <w:t>9%</w:t>
            </w:r>
          </w:p>
        </w:tc>
        <w:tc>
          <w:tcPr>
            <w:tcW w:w="188" w:type="pct"/>
            <w:vAlign w:val="bottom"/>
          </w:tcPr>
          <w:p w:rsidR="00D627E0" w:rsidRPr="00D627E0" w:rsidP="00D627E0" w14:paraId="5E7F766C" w14:textId="77777777">
            <w:pPr>
              <w:spacing w:after="60" w:line="240" w:lineRule="auto"/>
              <w:jc w:val="left"/>
              <w:rPr>
                <w:rFonts w:ascii="Tahoma" w:hAnsi="Tahoma" w:eastAsiaTheme="minorEastAsia" w:cs="Tahoma"/>
                <w:b/>
                <w:bCs/>
                <w:color w:val="0D0D0D" w:themeColor="text1" w:themeTint="F2"/>
                <w:spacing w:val="-10"/>
                <w:sz w:val="36"/>
                <w:szCs w:val="36"/>
                <w:rtl/>
              </w:rPr>
            </w:pPr>
          </w:p>
        </w:tc>
        <w:tc>
          <w:tcPr>
            <w:tcW w:w="1128" w:type="pct"/>
            <w:tcBorders>
              <w:bottom w:val="single" w:sz="12" w:space="0" w:color="000000" w:themeColor="text1"/>
            </w:tcBorders>
            <w:vAlign w:val="bottom"/>
          </w:tcPr>
          <w:p w:rsidR="00D627E0" w:rsidRPr="00D627E0" w:rsidP="00D627E0" w14:paraId="5AEEF263" w14:textId="1163BFA9">
            <w:pPr>
              <w:spacing w:after="60" w:line="240" w:lineRule="auto"/>
              <w:jc w:val="left"/>
              <w:rPr>
                <w:rFonts w:ascii="Tahoma" w:hAnsi="Tahoma" w:eastAsiaTheme="minorEastAsia" w:cs="Tahoma"/>
                <w:b/>
                <w:bCs/>
                <w:color w:val="0D0D0D" w:themeColor="text1" w:themeTint="F2"/>
                <w:spacing w:val="-10"/>
                <w:sz w:val="36"/>
                <w:szCs w:val="36"/>
                <w:rtl/>
              </w:rPr>
            </w:pPr>
            <w:r w:rsidRPr="00D627E0">
              <w:rPr>
                <w:rFonts w:ascii="Tahoma" w:hAnsi="Tahoma" w:eastAsiaTheme="minorEastAsia" w:cs="Tahoma" w:hint="cs"/>
                <w:b/>
                <w:bCs/>
                <w:color w:val="0D0D0D" w:themeColor="text1" w:themeTint="F2"/>
                <w:spacing w:val="-10"/>
                <w:sz w:val="36"/>
                <w:szCs w:val="36"/>
                <w:rtl/>
              </w:rPr>
              <w:t xml:space="preserve">5.7% </w:t>
            </w:r>
            <w:r w:rsidRPr="00D627E0">
              <w:rPr>
                <w:rFonts w:ascii="Tahoma" w:hAnsi="Tahoma" w:eastAsiaTheme="minorEastAsia" w:cs="Tahoma" w:hint="eastAsia"/>
                <w:b/>
                <w:bCs/>
                <w:color w:val="0D0D0D" w:themeColor="text1" w:themeTint="F2"/>
                <w:spacing w:val="-10"/>
                <w:sz w:val="26"/>
                <w:szCs w:val="26"/>
                <w:rtl/>
              </w:rPr>
              <w:t>בלבד</w:t>
            </w:r>
          </w:p>
        </w:tc>
      </w:tr>
      <w:tr w14:paraId="54154FA5" w14:textId="77777777" w:rsidTr="00D627E0">
        <w:tblPrEx>
          <w:tblW w:w="5000" w:type="pct"/>
          <w:tblLook w:val="04A0"/>
        </w:tblPrEx>
        <w:tc>
          <w:tcPr>
            <w:tcW w:w="1149" w:type="pct"/>
            <w:tcBorders>
              <w:top w:val="single" w:sz="12" w:space="0" w:color="000000" w:themeColor="text1"/>
            </w:tcBorders>
          </w:tcPr>
          <w:p w:rsidR="00D627E0" w:rsidRPr="004562F8" w:rsidP="00D627E0" w14:paraId="6DB67748" w14:textId="0736A61B">
            <w:pPr>
              <w:pStyle w:val="732021"/>
              <w:spacing w:before="0" w:after="0"/>
              <w:rPr>
                <w:rtl/>
              </w:rPr>
            </w:pPr>
            <w:bookmarkStart w:id="0" w:name="_Hlk139899297"/>
            <w:r w:rsidRPr="00936D22">
              <w:rPr>
                <w:rFonts w:hint="cs"/>
                <w:rtl/>
              </w:rPr>
              <w:t xml:space="preserve">שיעור </w:t>
            </w:r>
            <w:r w:rsidRPr="00936D22">
              <w:rPr>
                <w:rFonts w:hint="eastAsia"/>
                <w:rtl/>
              </w:rPr>
              <w:t>הפנמת</w:t>
            </w:r>
            <w:r w:rsidRPr="00936D22">
              <w:rPr>
                <w:rtl/>
              </w:rPr>
              <w:t xml:space="preserve"> </w:t>
            </w:r>
            <w:r w:rsidRPr="00936D22">
              <w:rPr>
                <w:rFonts w:hint="cs"/>
                <w:rtl/>
              </w:rPr>
              <w:t>ה</w:t>
            </w:r>
            <w:r w:rsidRPr="00936D22">
              <w:rPr>
                <w:rFonts w:hint="eastAsia"/>
                <w:rtl/>
              </w:rPr>
              <w:t>עלויות</w:t>
            </w:r>
            <w:r w:rsidRPr="00936D22">
              <w:rPr>
                <w:rFonts w:hint="cs"/>
                <w:rtl/>
              </w:rPr>
              <w:t xml:space="preserve"> ה</w:t>
            </w:r>
            <w:r w:rsidRPr="00936D22">
              <w:rPr>
                <w:rtl/>
              </w:rPr>
              <w:t>חיצוניות</w:t>
            </w:r>
            <w:r w:rsidRPr="00936D22">
              <w:rPr>
                <w:rFonts w:hint="cs"/>
                <w:rtl/>
              </w:rPr>
              <w:t xml:space="preserve"> המוערכת מ</w:t>
            </w:r>
            <w:r w:rsidRPr="00936D22">
              <w:rPr>
                <w:rtl/>
              </w:rPr>
              <w:t xml:space="preserve">פליטות </w:t>
            </w:r>
            <w:r w:rsidRPr="00936D22">
              <w:rPr>
                <w:rtl/>
              </w:rPr>
              <w:t>גז</w:t>
            </w:r>
            <w:r w:rsidRPr="00936D22">
              <w:rPr>
                <w:rFonts w:hint="cs"/>
                <w:rtl/>
              </w:rPr>
              <w:t>"ח</w:t>
            </w:r>
            <w:r>
              <w:rPr>
                <w:rtl/>
              </w:rPr>
              <w:t xml:space="preserve"> </w:t>
            </w:r>
            <w:bookmarkEnd w:id="0"/>
            <w:r w:rsidRPr="00936D22">
              <w:rPr>
                <w:rFonts w:hint="cs"/>
                <w:rtl/>
              </w:rPr>
              <w:t>לפי מתווה</w:t>
            </w:r>
            <w:r w:rsidRPr="00936D22">
              <w:rPr>
                <w:rtl/>
              </w:rPr>
              <w:t xml:space="preserve"> מס הפחמן </w:t>
            </w:r>
            <w:r w:rsidRPr="00936D22">
              <w:rPr>
                <w:rFonts w:hint="cs"/>
                <w:rtl/>
              </w:rPr>
              <w:t>שנקבע ב</w:t>
            </w:r>
            <w:r w:rsidRPr="00936D22">
              <w:rPr>
                <w:rtl/>
              </w:rPr>
              <w:t xml:space="preserve">החלטת </w:t>
            </w:r>
            <w:r w:rsidRPr="00936D22">
              <w:rPr>
                <w:rFonts w:hint="cs"/>
                <w:rtl/>
              </w:rPr>
              <w:t>ה</w:t>
            </w:r>
            <w:r w:rsidRPr="00936D22">
              <w:rPr>
                <w:rtl/>
              </w:rPr>
              <w:t>ממשלה 286</w:t>
            </w:r>
          </w:p>
        </w:tc>
        <w:tc>
          <w:tcPr>
            <w:tcW w:w="188" w:type="pct"/>
          </w:tcPr>
          <w:p w:rsidR="00D627E0" w:rsidRPr="008D750B" w:rsidP="00D627E0" w14:paraId="0C0AE598" w14:textId="77777777">
            <w:pPr>
              <w:pStyle w:val="732021"/>
              <w:spacing w:before="0" w:after="0"/>
              <w:rPr>
                <w:rtl/>
              </w:rPr>
            </w:pPr>
          </w:p>
        </w:tc>
        <w:tc>
          <w:tcPr>
            <w:tcW w:w="1023" w:type="pct"/>
            <w:tcBorders>
              <w:top w:val="single" w:sz="12" w:space="0" w:color="000000" w:themeColor="text1"/>
            </w:tcBorders>
          </w:tcPr>
          <w:p w:rsidR="00D627E0" w:rsidRPr="00936D22" w:rsidP="00D627E0" w14:paraId="47768CC8" w14:textId="77777777">
            <w:pPr>
              <w:pStyle w:val="732021"/>
              <w:spacing w:before="0"/>
              <w:rPr>
                <w:rtl/>
              </w:rPr>
            </w:pPr>
            <w:r w:rsidRPr="00936D22">
              <w:rPr>
                <w:rFonts w:hint="cs"/>
                <w:rtl/>
              </w:rPr>
              <w:t>מספר ההערכות הכלכליות-פיסקליות הרוחביות שבוצעו בישראל בנוגע למשמעויות משבר האקלים על ישראל</w:t>
            </w:r>
          </w:p>
          <w:p w:rsidR="00D627E0" w:rsidRPr="004562F8" w:rsidP="00D627E0" w14:paraId="1916A301" w14:textId="568F0318">
            <w:pPr>
              <w:pStyle w:val="732021"/>
              <w:spacing w:before="0" w:after="0"/>
              <w:rPr>
                <w:rtl/>
              </w:rPr>
            </w:pPr>
          </w:p>
        </w:tc>
        <w:tc>
          <w:tcPr>
            <w:tcW w:w="188" w:type="pct"/>
          </w:tcPr>
          <w:p w:rsidR="00D627E0" w:rsidP="00D627E0" w14:paraId="14782C57" w14:textId="77777777">
            <w:pPr>
              <w:pStyle w:val="732021"/>
              <w:spacing w:before="0" w:after="0"/>
              <w:rPr>
                <w:rtl/>
              </w:rPr>
            </w:pPr>
          </w:p>
        </w:tc>
        <w:tc>
          <w:tcPr>
            <w:tcW w:w="1136" w:type="pct"/>
            <w:tcBorders>
              <w:top w:val="single" w:sz="12" w:space="0" w:color="000000" w:themeColor="text1"/>
            </w:tcBorders>
          </w:tcPr>
          <w:p w:rsidR="00D627E0" w:rsidRPr="0062456C" w:rsidP="00D627E0" w14:paraId="6149CA50" w14:textId="67F9EA73">
            <w:pPr>
              <w:pStyle w:val="732021"/>
              <w:spacing w:before="0" w:after="0"/>
              <w:rPr>
                <w:rtl/>
              </w:rPr>
            </w:pPr>
            <w:r w:rsidRPr="00936D22">
              <w:rPr>
                <w:rFonts w:hint="cs"/>
                <w:rtl/>
              </w:rPr>
              <w:t xml:space="preserve">מהחברות הציבוריות - 48 מתוך 558 - מפרסמות דוחות </w:t>
            </w:r>
            <w:r w:rsidRPr="00936D22">
              <w:rPr>
                <w:rFonts w:hint="cs"/>
              </w:rPr>
              <w:t>ESG</w:t>
            </w:r>
            <w:r w:rsidRPr="00936D22">
              <w:rPr>
                <w:rFonts w:hint="cs"/>
                <w:rtl/>
              </w:rPr>
              <w:t xml:space="preserve"> </w:t>
            </w:r>
          </w:p>
        </w:tc>
        <w:tc>
          <w:tcPr>
            <w:tcW w:w="188" w:type="pct"/>
          </w:tcPr>
          <w:p w:rsidR="00D627E0" w:rsidRPr="00C92141" w:rsidP="00D627E0" w14:paraId="66E34E8E" w14:textId="77777777">
            <w:pPr>
              <w:pStyle w:val="732021"/>
              <w:spacing w:before="0" w:after="0"/>
              <w:rPr>
                <w:rtl/>
              </w:rPr>
            </w:pPr>
          </w:p>
        </w:tc>
        <w:tc>
          <w:tcPr>
            <w:tcW w:w="1128" w:type="pct"/>
            <w:tcBorders>
              <w:top w:val="single" w:sz="12" w:space="0" w:color="000000" w:themeColor="text1"/>
            </w:tcBorders>
          </w:tcPr>
          <w:p w:rsidR="00D627E0" w:rsidRPr="00C92141" w:rsidP="00D627E0" w14:paraId="39498237" w14:textId="3F058A1E">
            <w:pPr>
              <w:pStyle w:val="732021"/>
              <w:spacing w:before="0" w:after="0"/>
              <w:rPr>
                <w:rtl/>
              </w:rPr>
            </w:pPr>
            <w:r w:rsidRPr="00936D22">
              <w:rPr>
                <w:rFonts w:hint="cs"/>
                <w:rtl/>
              </w:rPr>
              <w:t>שיעור ההשקעה</w:t>
            </w:r>
            <w:r w:rsidRPr="00936D22">
              <w:rPr>
                <w:rtl/>
              </w:rPr>
              <w:t xml:space="preserve"> הציבורית של רשות החדשנות </w:t>
            </w:r>
            <w:r w:rsidRPr="00936D22">
              <w:rPr>
                <w:rFonts w:hint="cs"/>
                <w:rtl/>
              </w:rPr>
              <w:t xml:space="preserve">בשנת 2022 </w:t>
            </w:r>
            <w:r w:rsidRPr="00936D22">
              <w:rPr>
                <w:rtl/>
              </w:rPr>
              <w:t xml:space="preserve">בתחומי </w:t>
            </w:r>
            <w:r w:rsidRPr="00936D22">
              <w:rPr>
                <w:rtl/>
              </w:rPr>
              <w:t>האנרגייה</w:t>
            </w:r>
            <w:r w:rsidRPr="00936D22">
              <w:rPr>
                <w:rtl/>
              </w:rPr>
              <w:t>, המים, הסביבה והקיימות</w:t>
            </w:r>
            <w:r w:rsidRPr="00936D22">
              <w:rPr>
                <w:rFonts w:hint="cs"/>
                <w:rtl/>
              </w:rPr>
              <w:t xml:space="preserve"> מתוך סך השקעותיה (כ-96 מיליון ש"ח מתוך </w:t>
            </w:r>
            <w:r>
              <w:rPr>
                <w:rtl/>
              </w:rPr>
              <w:br/>
            </w:r>
            <w:r w:rsidRPr="00936D22">
              <w:rPr>
                <w:rFonts w:hint="cs"/>
                <w:rtl/>
              </w:rPr>
              <w:t>כ-1.7 מיליארד ש"ח)</w:t>
            </w:r>
          </w:p>
        </w:tc>
      </w:tr>
    </w:tbl>
    <w:p w:rsidR="00420374" w:rsidP="00420374" w14:paraId="509D5AB6" w14:textId="77777777">
      <w:pPr>
        <w:pStyle w:val="7316"/>
        <w:spacing w:after="0"/>
        <w:rPr>
          <w:sz w:val="10"/>
          <w:szCs w:val="10"/>
          <w:rtl/>
        </w:rPr>
      </w:pPr>
    </w:p>
    <w:p w:rsidR="00D627E0" w:rsidP="00420374" w14:paraId="123E248E" w14:textId="77777777">
      <w:pPr>
        <w:pStyle w:val="7316"/>
        <w:spacing w:after="0"/>
        <w:rPr>
          <w:sz w:val="10"/>
          <w:szCs w:val="10"/>
          <w:rtl/>
        </w:rPr>
      </w:pPr>
    </w:p>
    <w:p w:rsidR="00EB672B" w:rsidRPr="00275281" w:rsidP="00EB672B" w14:paraId="104516F6" w14:textId="77777777">
      <w:pPr>
        <w:pStyle w:val="73"/>
        <w:rPr>
          <w:rtl/>
        </w:rPr>
      </w:pPr>
      <w:r w:rsidRPr="00275281">
        <w:rPr>
          <w:rFonts w:hint="cs"/>
          <w:rtl/>
        </w:rPr>
        <w:t>תמונת המצב העולה מן הביקורת</w:t>
      </w:r>
    </w:p>
    <w:p w:rsidR="00EB672B" w:rsidRPr="00CF6518" w:rsidP="00EB672B" w14:paraId="458E9EA7" w14:textId="77777777">
      <w:pPr>
        <w:spacing w:after="240"/>
        <w:rPr>
          <w:rtl/>
        </w:rPr>
      </w:pPr>
      <w:r>
        <w:rPr>
          <w:noProof/>
          <w:rtl/>
          <w:lang w:val="he-IL"/>
        </w:rPr>
        <w:drawing>
          <wp:inline distT="0" distB="0" distL="0" distR="0">
            <wp:extent cx="1981200" cy="190500"/>
            <wp:effectExtent l="0" t="0" r="0" b="0"/>
            <wp:docPr id="1310143038" name="תמונה 4" descr="ליקויים">
              <a:extLst xmlns:a="http://schemas.openxmlformats.org/drawingml/2006/main">
                <a:ext xmlns:a="http://schemas.openxmlformats.org/drawingml/2006/main"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877581" name="תמונה 4" descr="ליקויים">
                      <a:extLst>
                        <a:ext xmlns:a="http://schemas.openxmlformats.org/drawingml/2006/main" uri="{C183D7F6-B498-43B3-948B-1728B52AA6E4}">
                          <adec:decorative xmlns:adec="http://schemas.microsoft.com/office/drawing/2017/decorative" val="0"/>
                        </a:ext>
                      </a:extLst>
                    </pic:cNvPr>
                    <pic:cNvPicPr/>
                  </pic:nvPicPr>
                  <pic:blipFill>
                    <a:blip xmlns:r="http://schemas.openxmlformats.org/officeDocument/2006/relationships" r:embed="rId20" cstate="print">
                      <a:extLst>
                        <a:ext xmlns:a="http://schemas.openxmlformats.org/drawingml/2006/main" uri="{28A0092B-C50C-407E-A947-70E740481C1C}">
                          <a14:useLocalDpi xmlns:a14="http://schemas.microsoft.com/office/drawing/2010/main" val="0"/>
                        </a:ext>
                      </a:extLst>
                    </a:blip>
                    <a:stretch>
                      <a:fillRect/>
                    </a:stretch>
                  </pic:blipFill>
                  <pic:spPr>
                    <a:xfrm>
                      <a:off x="0" y="0"/>
                      <a:ext cx="1981200" cy="190500"/>
                    </a:xfrm>
                    <a:prstGeom prst="rect">
                      <a:avLst/>
                    </a:prstGeom>
                  </pic:spPr>
                </pic:pic>
              </a:graphicData>
            </a:graphic>
          </wp:inline>
        </w:drawing>
      </w:r>
    </w:p>
    <w:p w:rsidR="00D627E0" w:rsidRPr="00936D22" w:rsidP="00D627E0" w14:paraId="26BB0967" w14:textId="77777777">
      <w:pPr>
        <w:pStyle w:val="73512"/>
        <w:rPr>
          <w:rStyle w:val="7372"/>
          <w:bCs/>
          <w:color w:val="00305F"/>
          <w:sz w:val="24"/>
          <w:szCs w:val="24"/>
          <w:rtl/>
        </w:rPr>
      </w:pPr>
      <w:r w:rsidRPr="00936D22">
        <w:rPr>
          <w:rStyle w:val="7372"/>
          <w:bCs/>
          <w:color w:val="00305F"/>
          <w:sz w:val="24"/>
          <w:szCs w:val="24"/>
          <w:rtl/>
        </w:rPr>
        <w:t xml:space="preserve">תפקיד משרד </w:t>
      </w:r>
      <w:r w:rsidRPr="00936D22">
        <w:rPr>
          <w:rStyle w:val="7372"/>
          <w:rFonts w:hint="cs"/>
          <w:bCs/>
          <w:color w:val="00305F"/>
          <w:sz w:val="24"/>
          <w:szCs w:val="24"/>
          <w:rtl/>
        </w:rPr>
        <w:t>ה</w:t>
      </w:r>
      <w:r w:rsidRPr="00936D22">
        <w:rPr>
          <w:rStyle w:val="7372"/>
          <w:bCs/>
          <w:color w:val="00305F"/>
          <w:sz w:val="24"/>
          <w:szCs w:val="24"/>
          <w:rtl/>
        </w:rPr>
        <w:t>אוצר בקידום פעולות אקלים</w:t>
      </w:r>
      <w:r>
        <w:rPr>
          <w:rStyle w:val="7372"/>
          <w:rFonts w:hint="cs"/>
          <w:bCs/>
          <w:rtl/>
        </w:rPr>
        <w:t xml:space="preserve"> </w:t>
      </w:r>
    </w:p>
    <w:p w:rsidR="00EB672B" w:rsidRPr="00AF3B73" w:rsidP="00EB672B" w14:paraId="0B694ADB" w14:textId="29ABB730">
      <w:pPr>
        <w:pStyle w:val="7316"/>
        <w:rPr>
          <w:rtl/>
        </w:rPr>
      </w:pPr>
      <w:r w:rsidRPr="00B54233">
        <w:rPr>
          <w:rStyle w:val="7372"/>
          <w:rFonts w:hint="cs"/>
          <w:noProof/>
          <w:rtl/>
        </w:rPr>
        <w:drawing>
          <wp:anchor distT="0" distB="0" distL="71755" distR="0" simplePos="0" relativeHeight="251680768" behindDoc="1" locked="0" layoutInCell="1" allowOverlap="1">
            <wp:simplePos x="0" y="0"/>
            <wp:positionH relativeFrom="column">
              <wp:posOffset>4549335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17"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642347"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B54233" w:rsidR="00D627E0">
        <w:rPr>
          <w:rStyle w:val="7372"/>
          <w:rFonts w:hint="cs"/>
          <w:rtl/>
        </w:rPr>
        <w:t xml:space="preserve">היעדר עמדת הובלה על ידי משרד האוצר בנושא האקלים </w:t>
      </w:r>
      <w:r w:rsidRPr="00B54233" w:rsidR="00D627E0">
        <w:rPr>
          <w:rStyle w:val="7372"/>
          <w:rtl/>
        </w:rPr>
        <w:t>-</w:t>
      </w:r>
      <w:r w:rsidRPr="00936D22" w:rsidR="00D627E0">
        <w:rPr>
          <w:rFonts w:hint="cs"/>
          <w:rtl/>
        </w:rPr>
        <w:t xml:space="preserve"> </w:t>
      </w:r>
      <w:r w:rsidRPr="00936D22" w:rsidR="00D627E0">
        <w:rPr>
          <w:rtl/>
        </w:rPr>
        <w:t>משרד האוצר ממשיך לראות בנושא האקלים סוגיה סביבתית המטופלת בעיקר ברמת המשרד המקצועי</w:t>
      </w:r>
      <w:r w:rsidRPr="00936D22" w:rsidR="00D627E0">
        <w:rPr>
          <w:rFonts w:hint="cs"/>
          <w:rtl/>
        </w:rPr>
        <w:t>ת</w:t>
      </w:r>
      <w:r w:rsidRPr="00936D22" w:rsidR="00D627E0">
        <w:rPr>
          <w:rtl/>
        </w:rPr>
        <w:t>-ביצועי</w:t>
      </w:r>
      <w:r w:rsidRPr="00936D22" w:rsidR="00D627E0">
        <w:rPr>
          <w:rFonts w:hint="cs"/>
          <w:rtl/>
        </w:rPr>
        <w:t>ת</w:t>
      </w:r>
      <w:r w:rsidRPr="00936D22" w:rsidR="00D627E0">
        <w:rPr>
          <w:rtl/>
        </w:rPr>
        <w:t xml:space="preserve"> במקום סוגיה כלל-משקית כלכלית. מכלול פעולתו של משרד האוצר, כפי שעולה מהדוח הקודם ו</w:t>
      </w:r>
      <w:r w:rsidRPr="00936D22" w:rsidR="00D627E0">
        <w:rPr>
          <w:rFonts w:hint="cs"/>
          <w:rtl/>
        </w:rPr>
        <w:t>מביקורת</w:t>
      </w:r>
      <w:r w:rsidRPr="00936D22" w:rsidR="00D627E0">
        <w:rPr>
          <w:rtl/>
        </w:rPr>
        <w:t xml:space="preserve"> המעקב, מלמד כי על אף השפעתו הרוחבית על נושא זה הוא אינו תופס עדיין עמדת הובלה כי אם נוקט עמדה תגובתית, ממעט בנקיטת יוזמות בתחום ואף נוקט לעיתים עמדה </w:t>
      </w:r>
      <w:r w:rsidRPr="00936D22" w:rsidR="00D627E0">
        <w:rPr>
          <w:rFonts w:hint="cs"/>
          <w:rtl/>
        </w:rPr>
        <w:t>ה</w:t>
      </w:r>
      <w:r w:rsidRPr="00936D22" w:rsidR="00D627E0">
        <w:rPr>
          <w:rtl/>
        </w:rPr>
        <w:t>מביאה לבלימ</w:t>
      </w:r>
      <w:r w:rsidRPr="00936D22" w:rsidR="00D627E0">
        <w:rPr>
          <w:rFonts w:hint="cs"/>
          <w:rtl/>
        </w:rPr>
        <w:t>ת</w:t>
      </w:r>
      <w:r w:rsidRPr="00936D22" w:rsidR="00D627E0">
        <w:rPr>
          <w:rtl/>
        </w:rPr>
        <w:t xml:space="preserve"> </w:t>
      </w:r>
      <w:r w:rsidRPr="00936D22" w:rsidR="00D627E0">
        <w:rPr>
          <w:rFonts w:hint="cs"/>
          <w:rtl/>
        </w:rPr>
        <w:t>ה</w:t>
      </w:r>
      <w:r w:rsidRPr="00936D22" w:rsidR="00D627E0">
        <w:rPr>
          <w:rtl/>
        </w:rPr>
        <w:t xml:space="preserve">אמצעים </w:t>
      </w:r>
      <w:r w:rsidRPr="00936D22" w:rsidR="00D627E0">
        <w:rPr>
          <w:rFonts w:hint="cs"/>
          <w:rtl/>
        </w:rPr>
        <w:t>ה</w:t>
      </w:r>
      <w:r w:rsidRPr="00936D22" w:rsidR="00D627E0">
        <w:rPr>
          <w:rtl/>
        </w:rPr>
        <w:t>דר</w:t>
      </w:r>
      <w:r w:rsidRPr="00936D22" w:rsidR="00D627E0">
        <w:rPr>
          <w:rFonts w:hint="cs"/>
          <w:rtl/>
        </w:rPr>
        <w:t>ו</w:t>
      </w:r>
      <w:r w:rsidRPr="00936D22" w:rsidR="00D627E0">
        <w:rPr>
          <w:rtl/>
        </w:rPr>
        <w:t xml:space="preserve">שים למאבק בשינויי </w:t>
      </w:r>
      <w:r w:rsidRPr="00936D22" w:rsidR="00D627E0">
        <w:rPr>
          <w:rFonts w:hint="cs"/>
          <w:rtl/>
        </w:rPr>
        <w:t>ה</w:t>
      </w:r>
      <w:r w:rsidRPr="00936D22" w:rsidR="00D627E0">
        <w:rPr>
          <w:rtl/>
        </w:rPr>
        <w:t xml:space="preserve">אקלים </w:t>
      </w:r>
      <w:r w:rsidRPr="00936D22" w:rsidR="00D627E0">
        <w:rPr>
          <w:rFonts w:hint="cs"/>
          <w:rtl/>
        </w:rPr>
        <w:t>ש</w:t>
      </w:r>
      <w:r w:rsidRPr="00936D22" w:rsidR="00D627E0">
        <w:rPr>
          <w:rtl/>
        </w:rPr>
        <w:t xml:space="preserve">עליהם יש לו השפעה. </w:t>
      </w:r>
      <w:r w:rsidRPr="00936D22" w:rsidR="00D627E0">
        <w:rPr>
          <w:rFonts w:hint="cs"/>
          <w:rtl/>
        </w:rPr>
        <w:t>אם</w:t>
      </w:r>
      <w:r w:rsidRPr="00936D22" w:rsidR="00D627E0">
        <w:rPr>
          <w:rtl/>
        </w:rPr>
        <w:t xml:space="preserve"> משרד האוצר עוסק בנושא, הוא עושה זאת בסגמנטים, לשיטתו - מול כל משרד בנפרד, ובכלים סטנדרטים ככול סוגיה ממשלתית אחרת, במקום לנקוט פעולה פרואקטיבית רחבה באמצעות </w:t>
      </w:r>
      <w:r w:rsidRPr="00936D22" w:rsidR="00D627E0">
        <w:rPr>
          <w:rFonts w:hint="cs"/>
          <w:rtl/>
        </w:rPr>
        <w:t>ה</w:t>
      </w:r>
      <w:r w:rsidRPr="00936D22" w:rsidR="00D627E0">
        <w:rPr>
          <w:rtl/>
        </w:rPr>
        <w:t xml:space="preserve">כלים שבסמכותו. הימנעותו של משרד האוצר ממעבר לקדמת הבמה כגורם דומיננטי בקידום מדיניות אקלים, כפי שנעשה במדינות </w:t>
      </w:r>
      <w:r w:rsidRPr="00936D22" w:rsidR="00D627E0">
        <w:t>OECD</w:t>
      </w:r>
      <w:r w:rsidRPr="00936D22" w:rsidR="00D627E0">
        <w:rPr>
          <w:rtl/>
        </w:rPr>
        <w:t xml:space="preserve"> אחרות, משפיעה לשלילה בהשגה אפקטיבית של יעדי מדינת ישראל בתחום זה</w:t>
      </w:r>
      <w:r w:rsidRPr="00AF3B73">
        <w:rPr>
          <w:rtl/>
        </w:rPr>
        <w:t>.</w:t>
      </w:r>
    </w:p>
    <w:p w:rsidR="00EB672B" w:rsidRPr="00AF3B73" w:rsidP="00EB672B" w14:paraId="61697365" w14:textId="4E062CC9">
      <w:pPr>
        <w:pStyle w:val="7316"/>
      </w:pPr>
      <w:r w:rsidRPr="0063556C">
        <w:rPr>
          <w:rStyle w:val="7372"/>
          <w:rFonts w:hint="cs"/>
          <w:noProof/>
          <w:rtl/>
        </w:rPr>
        <w:drawing>
          <wp:anchor distT="0" distB="0" distL="114300" distR="114300" simplePos="0" relativeHeight="251681792" behindDoc="1" locked="0" layoutInCell="1" allowOverlap="1">
            <wp:simplePos x="0" y="0"/>
            <wp:positionH relativeFrom="column">
              <wp:posOffset>4549335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19"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051270"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B54233" w:rsidR="00D627E0">
        <w:rPr>
          <w:rStyle w:val="7372"/>
          <w:rFonts w:hint="cs"/>
          <w:rtl/>
        </w:rPr>
        <w:t>חברות בקואליציית שרי האוצר לאקלים -</w:t>
      </w:r>
      <w:r w:rsidRPr="00936D22" w:rsidR="00D627E0">
        <w:rPr>
          <w:rFonts w:hint="cs"/>
          <w:rtl/>
        </w:rPr>
        <w:t xml:space="preserve"> </w:t>
      </w:r>
      <w:r w:rsidRPr="00936D22" w:rsidR="00D627E0">
        <w:rPr>
          <w:rtl/>
        </w:rPr>
        <w:t>מתוך 37 מדינות ה-</w:t>
      </w:r>
      <w:r w:rsidRPr="00936D22" w:rsidR="00D627E0">
        <w:t>OECD</w:t>
      </w:r>
      <w:r w:rsidRPr="00936D22" w:rsidR="00D627E0">
        <w:rPr>
          <w:rtl/>
        </w:rPr>
        <w:t>, שר האוצר של ישראל (ו</w:t>
      </w:r>
      <w:r w:rsidRPr="00936D22" w:rsidR="00D627E0">
        <w:rPr>
          <w:rFonts w:hint="cs"/>
          <w:rtl/>
        </w:rPr>
        <w:t xml:space="preserve">שרי אוצר של </w:t>
      </w:r>
      <w:r w:rsidRPr="00936D22" w:rsidR="00D627E0">
        <w:rPr>
          <w:rtl/>
        </w:rPr>
        <w:t xml:space="preserve">עוד </w:t>
      </w:r>
      <w:r w:rsidRPr="00936D22" w:rsidR="00D627E0">
        <w:rPr>
          <w:rFonts w:hint="cs"/>
          <w:rtl/>
        </w:rPr>
        <w:t>3</w:t>
      </w:r>
      <w:r w:rsidRPr="00936D22" w:rsidR="00D627E0">
        <w:rPr>
          <w:rtl/>
        </w:rPr>
        <w:t xml:space="preserve"> מדינות) לא הצטרף לקואליציית שרי האוצר</w:t>
      </w:r>
      <w:r w:rsidRPr="00936D22" w:rsidR="00D627E0">
        <w:rPr>
          <w:rFonts w:hint="cs"/>
          <w:rtl/>
        </w:rPr>
        <w:t xml:space="preserve"> לאקלים</w:t>
      </w:r>
      <w:r w:rsidRPr="00936D22" w:rsidR="00D627E0">
        <w:rPr>
          <w:rtl/>
        </w:rPr>
        <w:t xml:space="preserve"> </w:t>
      </w:r>
      <w:r w:rsidRPr="00936D22" w:rsidR="00D627E0">
        <w:rPr>
          <w:rFonts w:hint="cs"/>
          <w:rtl/>
        </w:rPr>
        <w:t>ש</w:t>
      </w:r>
      <w:r w:rsidRPr="00936D22" w:rsidR="00D627E0">
        <w:rPr>
          <w:rtl/>
        </w:rPr>
        <w:t>תוצרי עבוד</w:t>
      </w:r>
      <w:r w:rsidRPr="00936D22" w:rsidR="00D627E0">
        <w:rPr>
          <w:rFonts w:hint="cs"/>
          <w:rtl/>
        </w:rPr>
        <w:t>ת</w:t>
      </w:r>
      <w:r w:rsidRPr="00936D22" w:rsidR="00D627E0">
        <w:rPr>
          <w:rtl/>
        </w:rPr>
        <w:t xml:space="preserve">ה מתגבשים לעקרונות </w:t>
      </w:r>
      <w:r w:rsidRPr="00936D22" w:rsidR="00D627E0">
        <w:rPr>
          <w:rtl/>
        </w:rPr>
        <w:t>ופרקטיקות</w:t>
      </w:r>
      <w:r w:rsidRPr="00936D22" w:rsidR="00D627E0">
        <w:rPr>
          <w:rtl/>
        </w:rPr>
        <w:t xml:space="preserve"> מיטביות (</w:t>
      </w:r>
      <w:r w:rsidRPr="00936D22" w:rsidR="00D627E0">
        <w:t>best practices</w:t>
      </w:r>
      <w:r w:rsidRPr="00936D22" w:rsidR="00D627E0">
        <w:rPr>
          <w:rtl/>
        </w:rPr>
        <w:t>) בתחומי האחריות של משרד</w:t>
      </w:r>
      <w:r w:rsidRPr="00936D22" w:rsidR="00D627E0">
        <w:rPr>
          <w:rFonts w:hint="cs"/>
          <w:rtl/>
        </w:rPr>
        <w:t>י</w:t>
      </w:r>
      <w:r w:rsidRPr="00936D22" w:rsidR="00D627E0">
        <w:rPr>
          <w:rtl/>
        </w:rPr>
        <w:t xml:space="preserve"> האוצר הנוגעים לאקלים. </w:t>
      </w:r>
      <w:r w:rsidRPr="00936D22" w:rsidR="00D627E0">
        <w:rPr>
          <w:rFonts w:hint="cs"/>
          <w:rtl/>
        </w:rPr>
        <w:t>ה</w:t>
      </w:r>
      <w:r w:rsidRPr="00936D22" w:rsidR="00D627E0">
        <w:rPr>
          <w:rtl/>
        </w:rPr>
        <w:t xml:space="preserve">דבר מעיד על ניתוקו של משרד האוצר בישראל מפורום מרכזי ביותר </w:t>
      </w:r>
      <w:r w:rsidRPr="00936D22" w:rsidR="00D627E0">
        <w:rPr>
          <w:rFonts w:hint="cs"/>
          <w:rtl/>
        </w:rPr>
        <w:t>ש</w:t>
      </w:r>
      <w:r w:rsidRPr="00936D22" w:rsidR="00D627E0">
        <w:rPr>
          <w:rtl/>
        </w:rPr>
        <w:t>בו מתפתחת פרקטיקה רלוונטית לתחומים ש</w:t>
      </w:r>
      <w:r w:rsidRPr="00936D22" w:rsidR="00D627E0">
        <w:rPr>
          <w:rFonts w:hint="cs"/>
          <w:rtl/>
        </w:rPr>
        <w:t>ב</w:t>
      </w:r>
      <w:r w:rsidRPr="00936D22" w:rsidR="00D627E0">
        <w:rPr>
          <w:rtl/>
        </w:rPr>
        <w:t>אחריותו</w:t>
      </w:r>
      <w:r w:rsidRPr="00AF3B73">
        <w:rPr>
          <w:rFonts w:hint="cs"/>
          <w:rtl/>
        </w:rPr>
        <w:t xml:space="preserve">. </w:t>
      </w:r>
    </w:p>
    <w:p w:rsidR="00EB672B" w:rsidP="00EB672B" w14:paraId="257CE09B" w14:textId="54C78970">
      <w:pPr>
        <w:pStyle w:val="7316"/>
        <w:rPr>
          <w:rtl/>
        </w:rPr>
      </w:pPr>
      <w:r w:rsidRPr="0063556C">
        <w:rPr>
          <w:rStyle w:val="7372"/>
          <w:rFonts w:hint="cs"/>
          <w:noProof/>
          <w:rtl/>
        </w:rPr>
        <w:drawing>
          <wp:anchor distT="0" distB="0" distL="114300" distR="114300" simplePos="0" relativeHeight="251682816" behindDoc="1" locked="0" layoutInCell="1" allowOverlap="1">
            <wp:simplePos x="0" y="0"/>
            <wp:positionH relativeFrom="column">
              <wp:posOffset>4549335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27"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03516"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B54233" w:rsidR="00D627E0">
        <w:rPr>
          <w:rStyle w:val="7372"/>
          <w:rFonts w:hint="cs"/>
          <w:rtl/>
        </w:rPr>
        <w:t xml:space="preserve">תקצוב ירוק </w:t>
      </w:r>
      <w:r w:rsidRPr="00B54233" w:rsidR="00D627E0">
        <w:rPr>
          <w:rStyle w:val="7372"/>
          <w:rtl/>
        </w:rPr>
        <w:t>-</w:t>
      </w:r>
      <w:r w:rsidRPr="00936D22" w:rsidR="00D627E0">
        <w:rPr>
          <w:rFonts w:hint="cs"/>
          <w:rtl/>
        </w:rPr>
        <w:t xml:space="preserve"> </w:t>
      </w:r>
      <w:r w:rsidRPr="00936D22" w:rsidR="00D627E0">
        <w:rPr>
          <w:rtl/>
        </w:rPr>
        <w:t>בישראל משרד האוצר א</w:t>
      </w:r>
      <w:r w:rsidRPr="00936D22" w:rsidR="00D627E0">
        <w:rPr>
          <w:rFonts w:hint="cs"/>
          <w:rtl/>
        </w:rPr>
        <w:t>ינו</w:t>
      </w:r>
      <w:r w:rsidRPr="00936D22" w:rsidR="00D627E0">
        <w:rPr>
          <w:rtl/>
        </w:rPr>
        <w:t xml:space="preserve"> מעורב בנעשה בתחום התקצוב הירוק, מלבד "היכרות" עם עצם קיום הנושא ועיסוק מוגבל בקידום רכש ירוק וולונטרי</w:t>
      </w:r>
      <w:r w:rsidRPr="00936D22" w:rsidR="00D627E0">
        <w:rPr>
          <w:rFonts w:hint="cs"/>
          <w:rtl/>
        </w:rPr>
        <w:t xml:space="preserve"> </w:t>
      </w:r>
      <w:r w:rsidRPr="00936D22" w:rsidR="00D627E0">
        <w:rPr>
          <w:rtl/>
        </w:rPr>
        <w:t xml:space="preserve">והנפקה אחת של איגרת חוב ירוקה </w:t>
      </w:r>
      <w:r w:rsidR="000F3C27">
        <w:rPr>
          <w:rFonts w:hint="cs"/>
          <w:rtl/>
        </w:rPr>
        <w:t>(</w:t>
      </w:r>
      <w:r w:rsidRPr="00936D22" w:rsidR="000F3C27">
        <w:rPr>
          <w:rtl/>
        </w:rPr>
        <w:t xml:space="preserve">שנת </w:t>
      </w:r>
      <w:r w:rsidR="000F3C27">
        <w:rPr>
          <w:rFonts w:hint="cs"/>
          <w:rtl/>
        </w:rPr>
        <w:t>2023)</w:t>
      </w:r>
      <w:r w:rsidRPr="00936D22" w:rsidR="000F3C27">
        <w:rPr>
          <w:rtl/>
        </w:rPr>
        <w:t>,</w:t>
      </w:r>
      <w:r w:rsidRPr="00936D22" w:rsidR="00D627E0">
        <w:rPr>
          <w:rtl/>
        </w:rPr>
        <w:t xml:space="preserve"> </w:t>
      </w:r>
      <w:r w:rsidRPr="00936D22" w:rsidR="00D627E0">
        <w:rPr>
          <w:rFonts w:hint="cs"/>
          <w:rtl/>
        </w:rPr>
        <w:t>והוא</w:t>
      </w:r>
      <w:r w:rsidRPr="00936D22" w:rsidR="00D627E0">
        <w:rPr>
          <w:rtl/>
        </w:rPr>
        <w:t xml:space="preserve"> א</w:t>
      </w:r>
      <w:r w:rsidRPr="00936D22" w:rsidR="00D627E0">
        <w:rPr>
          <w:rFonts w:hint="cs"/>
          <w:rtl/>
        </w:rPr>
        <w:t>ינו</w:t>
      </w:r>
      <w:r w:rsidRPr="00936D22" w:rsidR="00D627E0">
        <w:rPr>
          <w:rtl/>
        </w:rPr>
        <w:t xml:space="preserve"> משלב המלצות </w:t>
      </w:r>
      <w:r w:rsidRPr="00936D22" w:rsidR="00D627E0">
        <w:rPr>
          <w:rFonts w:hint="cs"/>
          <w:rtl/>
        </w:rPr>
        <w:t xml:space="preserve">בנושאים </w:t>
      </w:r>
      <w:r w:rsidRPr="00936D22" w:rsidR="00D627E0">
        <w:rPr>
          <w:rtl/>
        </w:rPr>
        <w:t xml:space="preserve">אלו בפעולות פיסקליות וכלכליות </w:t>
      </w:r>
      <w:r w:rsidRPr="00936D22" w:rsidR="00D627E0">
        <w:rPr>
          <w:rFonts w:hint="cs"/>
          <w:rtl/>
        </w:rPr>
        <w:t>שאותן</w:t>
      </w:r>
      <w:r w:rsidRPr="00936D22" w:rsidR="00D627E0">
        <w:rPr>
          <w:rtl/>
        </w:rPr>
        <w:t xml:space="preserve"> הוא נוקט ואינו תופס את תפקידו כמרכזי בקידום פעולות אקלים.</w:t>
      </w:r>
      <w:r w:rsidRPr="00936D22" w:rsidR="00D627E0">
        <w:rPr>
          <w:rFonts w:hint="cs"/>
          <w:rtl/>
        </w:rPr>
        <w:t xml:space="preserve"> זאת אף ש</w:t>
      </w:r>
      <w:r w:rsidRPr="00936D22" w:rsidR="00D627E0">
        <w:rPr>
          <w:rtl/>
        </w:rPr>
        <w:t>בעשור האחרון גוברת ההכרה העולמית בתפקיד החיוני והקריטי שמגלם משרד האוצר, ו</w:t>
      </w:r>
      <w:r w:rsidRPr="00936D22" w:rsidR="00D627E0">
        <w:rPr>
          <w:rFonts w:hint="cs"/>
          <w:rtl/>
        </w:rPr>
        <w:t>ב</w:t>
      </w:r>
      <w:r w:rsidRPr="00936D22" w:rsidR="00D627E0">
        <w:rPr>
          <w:rtl/>
        </w:rPr>
        <w:t>צורך בהפיכתו לגורם דומיננטי בחתירה להשגת יעדי האקלים ואיפוס פחמני</w:t>
      </w:r>
      <w:r w:rsidRPr="00936D22" w:rsidR="00D627E0">
        <w:rPr>
          <w:rFonts w:hint="cs"/>
          <w:rtl/>
        </w:rPr>
        <w:t>; ואף ש</w:t>
      </w:r>
      <w:r w:rsidRPr="00936D22" w:rsidR="00D627E0">
        <w:rPr>
          <w:rtl/>
        </w:rPr>
        <w:t>במסגרות בי</w:t>
      </w:r>
      <w:r w:rsidRPr="00936D22" w:rsidR="00D627E0">
        <w:rPr>
          <w:rFonts w:hint="cs"/>
          <w:rtl/>
        </w:rPr>
        <w:t>ן-</w:t>
      </w:r>
      <w:r w:rsidRPr="00936D22" w:rsidR="00D627E0">
        <w:rPr>
          <w:rtl/>
        </w:rPr>
        <w:t xml:space="preserve">לאומיות מובילות </w:t>
      </w:r>
      <w:r w:rsidRPr="00936D22" w:rsidR="00D627E0">
        <w:rPr>
          <w:rFonts w:hint="cs"/>
          <w:rtl/>
        </w:rPr>
        <w:t>ש</w:t>
      </w:r>
      <w:r w:rsidRPr="00936D22" w:rsidR="00D627E0">
        <w:rPr>
          <w:rtl/>
        </w:rPr>
        <w:t xml:space="preserve">בהן ישראל חברה גובשו עבור משרדי האוצר המלצות להתאמת כלים כלכליים ופיסקליים לעידן המאבק בשינויי </w:t>
      </w:r>
      <w:r w:rsidRPr="00936D22" w:rsidR="00D627E0">
        <w:rPr>
          <w:rFonts w:hint="cs"/>
          <w:rtl/>
        </w:rPr>
        <w:t>ה</w:t>
      </w:r>
      <w:r w:rsidRPr="00936D22" w:rsidR="00D627E0">
        <w:rPr>
          <w:rtl/>
        </w:rPr>
        <w:t>אקלים</w:t>
      </w:r>
      <w:r w:rsidRPr="00936D22" w:rsidR="00D627E0">
        <w:rPr>
          <w:rFonts w:hint="cs"/>
          <w:rtl/>
        </w:rPr>
        <w:t xml:space="preserve">, </w:t>
      </w:r>
      <w:r w:rsidRPr="00936D22" w:rsidR="00D627E0">
        <w:rPr>
          <w:rtl/>
        </w:rPr>
        <w:t>כלים רוחביים המצויים בדרך כלל בידי משרד האוצר</w:t>
      </w:r>
      <w:r w:rsidRPr="00AF3B73">
        <w:rPr>
          <w:rFonts w:hint="cs"/>
          <w:rtl/>
        </w:rPr>
        <w:t>.</w:t>
      </w:r>
    </w:p>
    <w:p w:rsidR="00D627E0" w:rsidRPr="00936D22" w:rsidP="00D627E0" w14:paraId="5DA51598" w14:textId="77777777">
      <w:pPr>
        <w:pStyle w:val="73512"/>
        <w:rPr>
          <w:rStyle w:val="7372"/>
          <w:bCs/>
          <w:color w:val="00305F"/>
          <w:sz w:val="24"/>
          <w:szCs w:val="24"/>
          <w:rtl/>
        </w:rPr>
      </w:pPr>
      <w:r w:rsidRPr="00936D22">
        <w:rPr>
          <w:rStyle w:val="7372"/>
          <w:bCs/>
          <w:color w:val="00305F"/>
          <w:sz w:val="24"/>
          <w:szCs w:val="24"/>
          <w:rtl/>
        </w:rPr>
        <w:t xml:space="preserve">הערכות בדבר ההשפעות הכלכליות של שינויי </w:t>
      </w:r>
      <w:r w:rsidRPr="00936D22">
        <w:rPr>
          <w:rStyle w:val="7372"/>
          <w:rFonts w:hint="cs"/>
          <w:bCs/>
          <w:color w:val="00305F"/>
          <w:sz w:val="24"/>
          <w:szCs w:val="24"/>
          <w:rtl/>
        </w:rPr>
        <w:t>ה</w:t>
      </w:r>
      <w:r w:rsidRPr="00936D22">
        <w:rPr>
          <w:rStyle w:val="7372"/>
          <w:bCs/>
          <w:color w:val="00305F"/>
          <w:sz w:val="24"/>
          <w:szCs w:val="24"/>
          <w:rtl/>
        </w:rPr>
        <w:t>אקלים</w:t>
      </w:r>
      <w:r w:rsidRPr="00936D22">
        <w:rPr>
          <w:rStyle w:val="7372"/>
          <w:rFonts w:hint="cs"/>
          <w:bCs/>
          <w:color w:val="00305F"/>
          <w:sz w:val="24"/>
          <w:szCs w:val="24"/>
          <w:rtl/>
        </w:rPr>
        <w:t xml:space="preserve"> </w:t>
      </w:r>
    </w:p>
    <w:p w:rsidR="00EB672B" w:rsidRPr="00AF3B73" w:rsidP="00EB672B" w14:paraId="42C157E6" w14:textId="6332F077">
      <w:pPr>
        <w:pStyle w:val="7316"/>
      </w:pPr>
      <w:r w:rsidRPr="0063556C">
        <w:rPr>
          <w:rStyle w:val="7372"/>
          <w:rFonts w:hint="cs"/>
          <w:noProof/>
          <w:rtl/>
        </w:rPr>
        <w:drawing>
          <wp:anchor distT="0" distB="0" distL="114300" distR="114300" simplePos="0" relativeHeight="251683840" behindDoc="1" locked="0" layoutInCell="1" allowOverlap="1">
            <wp:simplePos x="0" y="0"/>
            <wp:positionH relativeFrom="column">
              <wp:posOffset>4549335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28"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197675"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B54233" w:rsidR="00D627E0">
        <w:rPr>
          <w:rStyle w:val="7372"/>
          <w:rFonts w:hint="cs"/>
          <w:rtl/>
        </w:rPr>
        <w:t xml:space="preserve">היעדר הערכות </w:t>
      </w:r>
      <w:r w:rsidRPr="00B54233" w:rsidR="00D627E0">
        <w:rPr>
          <w:rStyle w:val="7372"/>
          <w:rtl/>
        </w:rPr>
        <w:t xml:space="preserve">בדבר ההשפעות הכלכליות של שינויי </w:t>
      </w:r>
      <w:r w:rsidRPr="00B54233" w:rsidR="00D627E0">
        <w:rPr>
          <w:rStyle w:val="7372"/>
          <w:rFonts w:hint="cs"/>
          <w:rtl/>
        </w:rPr>
        <w:t>ה</w:t>
      </w:r>
      <w:r w:rsidRPr="00B54233" w:rsidR="00D627E0">
        <w:rPr>
          <w:rStyle w:val="7372"/>
          <w:rtl/>
        </w:rPr>
        <w:t>אקלים</w:t>
      </w:r>
      <w:r w:rsidRPr="00B54233" w:rsidR="00D627E0">
        <w:rPr>
          <w:rStyle w:val="7372"/>
          <w:rFonts w:hint="cs"/>
          <w:rtl/>
        </w:rPr>
        <w:t xml:space="preserve"> -</w:t>
      </w:r>
      <w:r w:rsidRPr="00936D22" w:rsidR="00D627E0">
        <w:rPr>
          <w:rFonts w:hint="cs"/>
          <w:rtl/>
        </w:rPr>
        <w:t xml:space="preserve"> </w:t>
      </w:r>
      <w:r w:rsidRPr="00936D22" w:rsidR="00D627E0">
        <w:rPr>
          <w:rtl/>
        </w:rPr>
        <w:t xml:space="preserve">בדוח הקודם עלה שאף גוף ממשלתי כלכלי או גורם האמון על תחזיות מקרו-כלכליות בישראל, כמו משרד האוצר והמועצה הלאומית לכלכלה, לא ביצע הערכה לאומית בנוגע להשפעות </w:t>
      </w:r>
      <w:r w:rsidRPr="00936D22" w:rsidR="00D627E0">
        <w:rPr>
          <w:rFonts w:hint="cs"/>
          <w:rtl/>
        </w:rPr>
        <w:t>ה</w:t>
      </w:r>
      <w:r w:rsidRPr="00936D22" w:rsidR="00D627E0">
        <w:rPr>
          <w:rtl/>
        </w:rPr>
        <w:t xml:space="preserve">כלכליות של שינויי האקלים על ישראל לטווח הארוך. </w:t>
      </w:r>
      <w:bookmarkStart w:id="1" w:name="_Hlk140575987"/>
      <w:r w:rsidRPr="00936D22" w:rsidR="00D627E0">
        <w:rPr>
          <w:rFonts w:hint="cs"/>
          <w:rtl/>
        </w:rPr>
        <w:t xml:space="preserve">בביקורת המעקב נמצא כי </w:t>
      </w:r>
      <w:r w:rsidRPr="00B54233" w:rsidR="00D627E0">
        <w:rPr>
          <w:rStyle w:val="7372"/>
          <w:rFonts w:hint="cs"/>
          <w:rtl/>
        </w:rPr>
        <w:t>הליקוי לא תוקן -</w:t>
      </w:r>
      <w:r w:rsidRPr="00936D22" w:rsidR="00D627E0">
        <w:rPr>
          <w:rFonts w:hint="cs"/>
          <w:rtl/>
        </w:rPr>
        <w:t xml:space="preserve"> </w:t>
      </w:r>
      <w:bookmarkEnd w:id="1"/>
      <w:r w:rsidRPr="00936D22" w:rsidR="00D627E0">
        <w:rPr>
          <w:rtl/>
        </w:rPr>
        <w:t xml:space="preserve">כשנה וחצי לאחר פרסום </w:t>
      </w:r>
      <w:r w:rsidRPr="00936D22" w:rsidR="00D627E0">
        <w:rPr>
          <w:rFonts w:hint="cs"/>
          <w:rtl/>
        </w:rPr>
        <w:t>ה</w:t>
      </w:r>
      <w:r w:rsidRPr="00936D22" w:rsidR="00D627E0">
        <w:rPr>
          <w:rtl/>
        </w:rPr>
        <w:t xml:space="preserve">דוח הקודם עדיין אף אחד מהגורמים האמונים האמורים, </w:t>
      </w:r>
      <w:r w:rsidRPr="00936D22" w:rsidR="00D627E0">
        <w:rPr>
          <w:rtl/>
        </w:rPr>
        <w:t>ובראשם משרד האוצר, המועצה הלאומית לכלכלה ובנק ישראל</w:t>
      </w:r>
      <w:r w:rsidRPr="00936D22" w:rsidR="00D627E0">
        <w:rPr>
          <w:rFonts w:hint="cs"/>
          <w:rtl/>
        </w:rPr>
        <w:t>,</w:t>
      </w:r>
      <w:r w:rsidRPr="00936D22" w:rsidR="00D627E0">
        <w:rPr>
          <w:rtl/>
        </w:rPr>
        <w:t xml:space="preserve"> לא גיבש הערכה כלכלית-פיסקלית לאומית כאמור, הקשורה בשינויי </w:t>
      </w:r>
      <w:r w:rsidRPr="00936D22" w:rsidR="00D627E0">
        <w:rPr>
          <w:rFonts w:hint="cs"/>
          <w:rtl/>
        </w:rPr>
        <w:t>ה</w:t>
      </w:r>
      <w:r w:rsidRPr="00936D22" w:rsidR="00D627E0">
        <w:rPr>
          <w:rtl/>
        </w:rPr>
        <w:t xml:space="preserve">אקלים </w:t>
      </w:r>
      <w:r w:rsidRPr="00936D22" w:rsidR="00D627E0">
        <w:rPr>
          <w:rFonts w:hint="cs"/>
          <w:rtl/>
        </w:rPr>
        <w:t>ו</w:t>
      </w:r>
      <w:r w:rsidRPr="00936D22" w:rsidR="00D627E0">
        <w:rPr>
          <w:rtl/>
        </w:rPr>
        <w:t>בנקיטת מדיניות אקלים (</w:t>
      </w:r>
      <w:r w:rsidRPr="00936D22" w:rsidR="00D627E0">
        <w:rPr>
          <w:rtl/>
        </w:rPr>
        <w:t>מיטיגציה</w:t>
      </w:r>
      <w:r w:rsidRPr="00936D22" w:rsidR="00D627E0">
        <w:rPr>
          <w:rtl/>
        </w:rPr>
        <w:t xml:space="preserve"> ואדפטציה) - בטווח הארוך או הבינוני. ביצוע הערכה כלכלית-פיסקלית לאומית אחודה ומתוקפת עבור כל הממשלה הוא כלי חשוב לצמצום חוסר הוודאות ולצורך קבלת החלטות ועיצוב מושכל של מדיניות אקלים בישראל</w:t>
      </w:r>
      <w:r w:rsidRPr="00AF3B73">
        <w:rPr>
          <w:rFonts w:hint="cs"/>
          <w:rtl/>
        </w:rPr>
        <w:t xml:space="preserve">. </w:t>
      </w:r>
    </w:p>
    <w:p w:rsidR="00EB672B" w:rsidRPr="00AF3B73" w:rsidP="00EB672B" w14:paraId="0E55F83C" w14:textId="20E2E64E">
      <w:pPr>
        <w:pStyle w:val="7316"/>
      </w:pPr>
      <w:r w:rsidRPr="00B54233">
        <w:rPr>
          <w:rStyle w:val="7372"/>
          <w:rFonts w:hint="cs"/>
          <w:noProof/>
          <w:rtl/>
        </w:rPr>
        <w:drawing>
          <wp:anchor distT="0" distB="0" distL="114300" distR="114300" simplePos="0" relativeHeight="251684864" behindDoc="1" locked="0" layoutInCell="1" allowOverlap="1">
            <wp:simplePos x="0" y="0"/>
            <wp:positionH relativeFrom="column">
              <wp:posOffset>4549335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37"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137361"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B54233" w:rsidR="00D627E0">
        <w:rPr>
          <w:rStyle w:val="7372"/>
          <w:rFonts w:hint="cs"/>
          <w:rtl/>
        </w:rPr>
        <w:t>היעדר תחזיות של ההשפעות הכלכליות של שינויי האקלים על כלכלת ישראל במשרד האוצר -</w:t>
      </w:r>
      <w:r w:rsidRPr="00936D22" w:rsidR="00D627E0">
        <w:rPr>
          <w:rFonts w:hint="cs"/>
          <w:rtl/>
        </w:rPr>
        <w:t xml:space="preserve"> </w:t>
      </w:r>
      <w:r w:rsidRPr="00936D22" w:rsidR="00D627E0">
        <w:rPr>
          <w:rtl/>
        </w:rPr>
        <w:t xml:space="preserve">משרד האוצר לא התייחס להשפעות הכלכליות של שינויי האקלים על ישראל לטווח </w:t>
      </w:r>
      <w:r w:rsidRPr="00936D22" w:rsidR="00D627E0">
        <w:rPr>
          <w:rFonts w:hint="cs"/>
          <w:rtl/>
        </w:rPr>
        <w:t>ה</w:t>
      </w:r>
      <w:r w:rsidRPr="00936D22" w:rsidR="00D627E0">
        <w:rPr>
          <w:rtl/>
        </w:rPr>
        <w:t xml:space="preserve">ארוך במסגרת התחזיות שמפרסם אגף הכלכלנית הראשית, בין בשל העלויות הנגזרות מהצורך להיערך לצמצום נזקי שינויי </w:t>
      </w:r>
      <w:r w:rsidRPr="00936D22" w:rsidR="00D627E0">
        <w:rPr>
          <w:rFonts w:hint="cs"/>
          <w:rtl/>
        </w:rPr>
        <w:t>ה</w:t>
      </w:r>
      <w:r w:rsidRPr="00936D22" w:rsidR="00D627E0">
        <w:rPr>
          <w:rtl/>
        </w:rPr>
        <w:t>אקלים על נכסיה, תשתיותיה ורכוש אזרחיה, שי</w:t>
      </w:r>
      <w:r w:rsidRPr="00936D22" w:rsidR="00D627E0">
        <w:rPr>
          <w:rFonts w:hint="cs"/>
          <w:rtl/>
        </w:rPr>
        <w:t>י</w:t>
      </w:r>
      <w:r w:rsidRPr="00936D22" w:rsidR="00D627E0">
        <w:rPr>
          <w:rtl/>
        </w:rPr>
        <w:t>גרמו מהתממשות של "סיכונים פיזיים" אקוטיים או כרוניים; ובין בגין ההשקעות הנדרשות לצורך מעבר לאיפוס פחמני</w:t>
      </w:r>
      <w:r w:rsidRPr="00936D22" w:rsidR="00D627E0">
        <w:rPr>
          <w:rFonts w:hint="cs"/>
          <w:rtl/>
        </w:rPr>
        <w:t xml:space="preserve"> (ל</w:t>
      </w:r>
      <w:r w:rsidRPr="00936D22" w:rsidR="00D627E0">
        <w:rPr>
          <w:rtl/>
        </w:rPr>
        <w:t>מעט אזכור של סיכון יחיד ועקיף של המשבר על שרשרת האספקה העולמית, וגם זאת לטווח של שנתיים</w:t>
      </w:r>
      <w:r w:rsidRPr="00936D22" w:rsidR="00D627E0">
        <w:rPr>
          <w:rFonts w:hint="cs"/>
          <w:rtl/>
        </w:rPr>
        <w:t>)</w:t>
      </w:r>
      <w:r w:rsidRPr="00936D22" w:rsidR="00D627E0">
        <w:rPr>
          <w:rtl/>
        </w:rPr>
        <w:t>.</w:t>
      </w:r>
      <w:r w:rsidRPr="00936D22" w:rsidR="00D627E0">
        <w:rPr>
          <w:rFonts w:hint="cs"/>
          <w:rtl/>
        </w:rPr>
        <w:t xml:space="preserve"> </w:t>
      </w:r>
      <w:r w:rsidRPr="00936D22" w:rsidR="00D627E0">
        <w:rPr>
          <w:rtl/>
        </w:rPr>
        <w:t xml:space="preserve">אגף הכלכלנית הראשית סבור כי אף שיש ערך באמידת השפעות אלו, אין זה תפקידו לבצע זאת, וכי היוזמה לגזירת המשמעויות הכלכליות צריכה לבוא מלמטה, כך שכל משרד ממשלתי יבצע </w:t>
      </w:r>
      <w:r w:rsidRPr="00936D22" w:rsidR="00D627E0">
        <w:rPr>
          <w:rFonts w:hint="cs"/>
          <w:rtl/>
        </w:rPr>
        <w:t xml:space="preserve">הערכה </w:t>
      </w:r>
      <w:r w:rsidRPr="00936D22" w:rsidR="00D627E0">
        <w:rPr>
          <w:rtl/>
        </w:rPr>
        <w:t>לעצמו. עמדה זו אינה עולה בקנה אחד עם תפקידו של משרד האוצר בתכנון וביצוע המדיניות הכלכלית-פיסקלית של מדינת ישראל</w:t>
      </w:r>
      <w:r w:rsidRPr="00936D22" w:rsidR="00D627E0">
        <w:rPr>
          <w:rFonts w:hint="cs"/>
          <w:rtl/>
        </w:rPr>
        <w:t>;</w:t>
      </w:r>
      <w:r w:rsidRPr="00936D22" w:rsidR="00D627E0">
        <w:rPr>
          <w:rtl/>
        </w:rPr>
        <w:t xml:space="preserve"> בקביעת תקציב המדינה לפעילות הממשלה וחלוקתו למשרדי הממשלה השונים</w:t>
      </w:r>
      <w:r w:rsidRPr="00936D22" w:rsidR="00D627E0">
        <w:rPr>
          <w:rFonts w:hint="cs"/>
          <w:rtl/>
        </w:rPr>
        <w:t>;</w:t>
      </w:r>
      <w:r w:rsidRPr="00936D22" w:rsidR="00D627E0">
        <w:rPr>
          <w:rtl/>
        </w:rPr>
        <w:t xml:space="preserve"> בניהול הכנסות המדינה וגביית המיסים הישירים והעקיפים</w:t>
      </w:r>
      <w:r w:rsidRPr="00936D22" w:rsidR="00D627E0">
        <w:rPr>
          <w:rFonts w:hint="cs"/>
          <w:rtl/>
        </w:rPr>
        <w:t>;</w:t>
      </w:r>
      <w:r w:rsidRPr="00936D22" w:rsidR="00D627E0">
        <w:rPr>
          <w:rtl/>
        </w:rPr>
        <w:t xml:space="preserve"> ובשקלול המשתנים הכלכליים הרלוונטיים שלהם השפעה על כלכלת ישראל לצורך קביעת מדיניות הממשלה, וכן עם מומחיותו בכלכלה והיותו בעל הסמכות בנושא</w:t>
      </w:r>
      <w:r w:rsidRPr="00936D22" w:rsidR="00D627E0">
        <w:rPr>
          <w:rFonts w:hint="cs"/>
          <w:rtl/>
        </w:rPr>
        <w:t xml:space="preserve"> זה</w:t>
      </w:r>
      <w:r w:rsidRPr="00936D22" w:rsidR="00D627E0">
        <w:rPr>
          <w:rtl/>
        </w:rPr>
        <w:t xml:space="preserve"> ו</w:t>
      </w:r>
      <w:r w:rsidRPr="00936D22" w:rsidR="00D627E0">
        <w:rPr>
          <w:rFonts w:hint="cs"/>
          <w:rtl/>
        </w:rPr>
        <w:t xml:space="preserve">עם </w:t>
      </w:r>
      <w:r w:rsidRPr="00936D22" w:rsidR="00D627E0">
        <w:rPr>
          <w:rtl/>
        </w:rPr>
        <w:t>השפעתו הרחבה על המשק המקנה לו עמדה ייחודית. עמדה זו א</w:t>
      </w:r>
      <w:r w:rsidRPr="00936D22" w:rsidR="00D627E0">
        <w:rPr>
          <w:rFonts w:hint="cs"/>
          <w:rtl/>
        </w:rPr>
        <w:t>ינה</w:t>
      </w:r>
      <w:r w:rsidRPr="00936D22" w:rsidR="00D627E0">
        <w:rPr>
          <w:rtl/>
        </w:rPr>
        <w:t xml:space="preserve"> מתיישבת </w:t>
      </w:r>
      <w:r w:rsidRPr="00936D22" w:rsidR="00D627E0">
        <w:rPr>
          <w:rFonts w:hint="cs"/>
          <w:rtl/>
        </w:rPr>
        <w:t xml:space="preserve">אף </w:t>
      </w:r>
      <w:r w:rsidRPr="00936D22" w:rsidR="00D627E0">
        <w:rPr>
          <w:rtl/>
        </w:rPr>
        <w:t xml:space="preserve">עם ההמלצות </w:t>
      </w:r>
      <w:r w:rsidRPr="00936D22" w:rsidR="00D627E0">
        <w:rPr>
          <w:rFonts w:hint="cs"/>
          <w:rtl/>
        </w:rPr>
        <w:t xml:space="preserve">בעניין </w:t>
      </w:r>
      <w:r w:rsidRPr="00936D22" w:rsidR="00D627E0">
        <w:rPr>
          <w:rtl/>
        </w:rPr>
        <w:t xml:space="preserve">של </w:t>
      </w:r>
      <w:r w:rsidRPr="00936D22" w:rsidR="00D627E0">
        <w:rPr>
          <w:rFonts w:hint="cs"/>
          <w:rtl/>
        </w:rPr>
        <w:t xml:space="preserve">ארגון </w:t>
      </w:r>
      <w:r w:rsidRPr="00936D22" w:rsidR="00D627E0">
        <w:rPr>
          <w:rtl/>
        </w:rPr>
        <w:t>ה-</w:t>
      </w:r>
      <w:r w:rsidRPr="00936D22" w:rsidR="00D627E0">
        <w:t>OECD</w:t>
      </w:r>
      <w:r w:rsidRPr="00936D22" w:rsidR="00D627E0">
        <w:rPr>
          <w:rtl/>
        </w:rPr>
        <w:t>, קואליציית שרי האוצר לאקלים וה-</w:t>
      </w:r>
      <w:r w:rsidRPr="00936D22" w:rsidR="00D627E0">
        <w:t>IMF</w:t>
      </w:r>
      <w:r w:rsidRPr="00936D22" w:rsidR="00D627E0">
        <w:rPr>
          <w:rtl/>
        </w:rPr>
        <w:t xml:space="preserve"> עבור משרדי האוצר</w:t>
      </w:r>
      <w:r w:rsidRPr="00AF3B73">
        <w:rPr>
          <w:rFonts w:hint="cs"/>
          <w:rtl/>
        </w:rPr>
        <w:t xml:space="preserve">. </w:t>
      </w:r>
    </w:p>
    <w:p w:rsidR="00EB672B" w:rsidRPr="00AF3B73" w:rsidP="00EB672B" w14:paraId="1320DBEF" w14:textId="21998C8C">
      <w:pPr>
        <w:pStyle w:val="7316"/>
        <w:rPr>
          <w:rtl/>
        </w:rPr>
      </w:pPr>
      <w:r w:rsidRPr="00B54233">
        <w:rPr>
          <w:rStyle w:val="7372"/>
          <w:rFonts w:hint="cs"/>
          <w:noProof/>
          <w:rtl/>
        </w:rPr>
        <w:drawing>
          <wp:anchor distT="0" distB="0" distL="114300" distR="114300" simplePos="0" relativeHeight="251685888" behindDoc="1" locked="0" layoutInCell="1" allowOverlap="1">
            <wp:simplePos x="0" y="0"/>
            <wp:positionH relativeFrom="column">
              <wp:posOffset>4556955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39"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255028"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B54233" w:rsidR="00D627E0">
        <w:rPr>
          <w:rStyle w:val="7372"/>
          <w:rFonts w:hint="cs"/>
          <w:rtl/>
        </w:rPr>
        <w:t>אי-ביצוע הערכה כלכלית-פיסקלית על ידי משרד האוצר -</w:t>
      </w:r>
      <w:r w:rsidRPr="00936D22" w:rsidR="00D627E0">
        <w:rPr>
          <w:rFonts w:hint="cs"/>
          <w:rtl/>
        </w:rPr>
        <w:t xml:space="preserve"> הועלה </w:t>
      </w:r>
      <w:r w:rsidRPr="00936D22" w:rsidR="00D627E0">
        <w:rPr>
          <w:rtl/>
        </w:rPr>
        <w:t xml:space="preserve">כי </w:t>
      </w:r>
      <w:r w:rsidRPr="00936D22" w:rsidR="00D627E0">
        <w:rPr>
          <w:rFonts w:hint="cs"/>
          <w:rtl/>
        </w:rPr>
        <w:t>אגף התקציבים</w:t>
      </w:r>
      <w:r w:rsidRPr="00936D22" w:rsidR="00D627E0">
        <w:rPr>
          <w:rtl/>
        </w:rPr>
        <w:t xml:space="preserve"> </w:t>
      </w:r>
      <w:r w:rsidRPr="00936D22" w:rsidR="00D627E0">
        <w:rPr>
          <w:rFonts w:hint="cs"/>
          <w:rtl/>
        </w:rPr>
        <w:t xml:space="preserve">במשרד האוצר </w:t>
      </w:r>
      <w:r w:rsidRPr="00936D22" w:rsidR="00D627E0">
        <w:rPr>
          <w:rtl/>
        </w:rPr>
        <w:t>א</w:t>
      </w:r>
      <w:r w:rsidRPr="00936D22" w:rsidR="00D627E0">
        <w:rPr>
          <w:rFonts w:hint="cs"/>
          <w:rtl/>
        </w:rPr>
        <w:t>ינו</w:t>
      </w:r>
      <w:r w:rsidRPr="00936D22" w:rsidR="00D627E0">
        <w:rPr>
          <w:rtl/>
        </w:rPr>
        <w:t xml:space="preserve"> פועל לפי ההמלצות הבי</w:t>
      </w:r>
      <w:r w:rsidRPr="00936D22" w:rsidR="00D627E0">
        <w:rPr>
          <w:rFonts w:hint="cs"/>
          <w:rtl/>
        </w:rPr>
        <w:t>ן-</w:t>
      </w:r>
      <w:r w:rsidRPr="00936D22" w:rsidR="00D627E0">
        <w:rPr>
          <w:rtl/>
        </w:rPr>
        <w:t>לאומיות שהובאו בעניין '</w:t>
      </w:r>
      <w:r w:rsidRPr="00936D22" w:rsidR="00D627E0">
        <w:rPr>
          <w:rtl/>
        </w:rPr>
        <w:t>יירוק</w:t>
      </w:r>
      <w:r w:rsidRPr="00936D22" w:rsidR="00D627E0">
        <w:rPr>
          <w:rtl/>
        </w:rPr>
        <w:t xml:space="preserve">' </w:t>
      </w:r>
      <w:r w:rsidRPr="00936D22" w:rsidR="00D627E0">
        <w:rPr>
          <w:rFonts w:hint="cs"/>
          <w:rtl/>
        </w:rPr>
        <w:t>ה</w:t>
      </w:r>
      <w:r w:rsidRPr="00936D22" w:rsidR="00D627E0">
        <w:rPr>
          <w:rtl/>
        </w:rPr>
        <w:t>תקציב וניהול פיסקלי ירוק</w:t>
      </w:r>
      <w:r w:rsidRPr="00936D22" w:rsidR="00D627E0">
        <w:rPr>
          <w:rFonts w:hint="cs"/>
          <w:rtl/>
        </w:rPr>
        <w:t>,</w:t>
      </w:r>
      <w:r w:rsidRPr="00936D22" w:rsidR="00D627E0">
        <w:rPr>
          <w:rtl/>
        </w:rPr>
        <w:t xml:space="preserve"> ו</w:t>
      </w:r>
      <w:r w:rsidRPr="00936D22" w:rsidR="00D627E0">
        <w:rPr>
          <w:rFonts w:hint="cs"/>
          <w:rtl/>
        </w:rPr>
        <w:t xml:space="preserve">כי הוא </w:t>
      </w:r>
      <w:r w:rsidRPr="00936D22" w:rsidR="00D627E0">
        <w:rPr>
          <w:rtl/>
        </w:rPr>
        <w:t>לא ביצע הערכה כלכלית-פיסקלית ב</w:t>
      </w:r>
      <w:r w:rsidRPr="00936D22" w:rsidR="00D627E0">
        <w:rPr>
          <w:rFonts w:hint="cs"/>
          <w:rtl/>
        </w:rPr>
        <w:t>נוגע</w:t>
      </w:r>
      <w:r w:rsidRPr="00936D22" w:rsidR="00D627E0">
        <w:rPr>
          <w:rtl/>
        </w:rPr>
        <w:t xml:space="preserve"> לעלויות </w:t>
      </w:r>
      <w:r w:rsidRPr="00936D22" w:rsidR="00D627E0">
        <w:rPr>
          <w:rFonts w:hint="cs"/>
          <w:rtl/>
        </w:rPr>
        <w:t>ה</w:t>
      </w:r>
      <w:r w:rsidRPr="00936D22" w:rsidR="00D627E0">
        <w:rPr>
          <w:rtl/>
        </w:rPr>
        <w:t xml:space="preserve">אדפטציה להשפעות שינויי </w:t>
      </w:r>
      <w:r w:rsidRPr="00936D22" w:rsidR="00D627E0">
        <w:rPr>
          <w:rFonts w:hint="cs"/>
          <w:rtl/>
        </w:rPr>
        <w:t>ה</w:t>
      </w:r>
      <w:r w:rsidRPr="00936D22" w:rsidR="00D627E0">
        <w:rPr>
          <w:rtl/>
        </w:rPr>
        <w:t>אקלים על המשק ו</w:t>
      </w:r>
      <w:r w:rsidRPr="00936D22" w:rsidR="00D627E0">
        <w:rPr>
          <w:rFonts w:hint="cs"/>
          <w:rtl/>
        </w:rPr>
        <w:t xml:space="preserve">על </w:t>
      </w:r>
      <w:r w:rsidRPr="00936D22" w:rsidR="00D627E0">
        <w:rPr>
          <w:rtl/>
        </w:rPr>
        <w:t>הכלכלה הישראלית</w:t>
      </w:r>
      <w:r w:rsidRPr="001D79C1" w:rsidR="00D627E0">
        <w:rPr>
          <w:rtl/>
        </w:rPr>
        <w:t xml:space="preserve"> </w:t>
      </w:r>
      <w:r w:rsidRPr="00936D22" w:rsidR="00D627E0">
        <w:rPr>
          <w:rtl/>
        </w:rPr>
        <w:t xml:space="preserve">או </w:t>
      </w:r>
      <w:r w:rsidRPr="00936D22" w:rsidR="00D627E0">
        <w:rPr>
          <w:rFonts w:hint="cs"/>
          <w:rtl/>
        </w:rPr>
        <w:t>בנוגע ל</w:t>
      </w:r>
      <w:r w:rsidRPr="00936D22" w:rsidR="00D627E0">
        <w:rPr>
          <w:rtl/>
        </w:rPr>
        <w:t>עלויות להשגת יעדי הפחתת הפליטות עד</w:t>
      </w:r>
      <w:r w:rsidRPr="00936D22" w:rsidR="00D627E0">
        <w:rPr>
          <w:rFonts w:hint="cs"/>
          <w:rtl/>
        </w:rPr>
        <w:t xml:space="preserve"> שנת</w:t>
      </w:r>
      <w:r w:rsidRPr="00936D22" w:rsidR="00D627E0">
        <w:rPr>
          <w:rtl/>
        </w:rPr>
        <w:t xml:space="preserve"> 2050. האגף גם לא פעל </w:t>
      </w:r>
      <w:r w:rsidRPr="00936D22" w:rsidR="00D627E0">
        <w:rPr>
          <w:rFonts w:hint="cs"/>
          <w:rtl/>
        </w:rPr>
        <w:t>כדי</w:t>
      </w:r>
      <w:r w:rsidRPr="00936D22" w:rsidR="00D627E0">
        <w:rPr>
          <w:rtl/>
        </w:rPr>
        <w:t xml:space="preserve"> לתקף את הנתונים על ישראל </w:t>
      </w:r>
      <w:r w:rsidRPr="00936D22" w:rsidR="00D627E0">
        <w:rPr>
          <w:rFonts w:hint="cs"/>
          <w:rtl/>
        </w:rPr>
        <w:t>ש</w:t>
      </w:r>
      <w:r w:rsidRPr="00936D22" w:rsidR="00D627E0">
        <w:rPr>
          <w:rtl/>
        </w:rPr>
        <w:t xml:space="preserve">עליהם הוא מסתמך </w:t>
      </w:r>
      <w:r w:rsidRPr="00936D22" w:rsidR="00D627E0">
        <w:rPr>
          <w:rFonts w:hint="cs"/>
          <w:rtl/>
        </w:rPr>
        <w:t>- אף שהוא</w:t>
      </w:r>
      <w:r w:rsidRPr="00936D22" w:rsidR="00D627E0">
        <w:rPr>
          <w:rtl/>
        </w:rPr>
        <w:t xml:space="preserve"> הגורם המקצועי האחראי לניהול תקציב המדינה</w:t>
      </w:r>
      <w:r w:rsidRPr="00936D22" w:rsidR="00D627E0">
        <w:rPr>
          <w:rFonts w:hint="cs"/>
          <w:rtl/>
        </w:rPr>
        <w:t xml:space="preserve">. בהיעדר ניתוח עומק כלכלי-פיסקלי עצמאי נשען </w:t>
      </w:r>
      <w:r w:rsidRPr="00936D22" w:rsidR="00D627E0">
        <w:rPr>
          <w:rtl/>
        </w:rPr>
        <w:t xml:space="preserve">אגף </w:t>
      </w:r>
      <w:r w:rsidRPr="00936D22" w:rsidR="00D627E0">
        <w:rPr>
          <w:rFonts w:hint="cs"/>
          <w:rtl/>
        </w:rPr>
        <w:t>ה</w:t>
      </w:r>
      <w:r w:rsidRPr="00936D22" w:rsidR="00D627E0">
        <w:rPr>
          <w:rtl/>
        </w:rPr>
        <w:t xml:space="preserve">תקציבים על מחקר </w:t>
      </w:r>
      <w:r w:rsidRPr="00936D22" w:rsidR="00D627E0">
        <w:rPr>
          <w:rFonts w:hint="cs"/>
          <w:rtl/>
        </w:rPr>
        <w:t>של מכון</w:t>
      </w:r>
      <w:r w:rsidRPr="00936D22" w:rsidR="00D627E0">
        <w:rPr>
          <w:rtl/>
        </w:rPr>
        <w:t xml:space="preserve"> שהעריך את ההשפעה הכלכלית בירידה של כ-1.15% </w:t>
      </w:r>
      <w:r w:rsidRPr="00936D22" w:rsidR="00D627E0">
        <w:rPr>
          <w:rFonts w:hint="cs"/>
          <w:rtl/>
        </w:rPr>
        <w:t>בלבד</w:t>
      </w:r>
      <w:r w:rsidRPr="00936D22" w:rsidR="00D627E0">
        <w:rPr>
          <w:rtl/>
        </w:rPr>
        <w:t xml:space="preserve"> </w:t>
      </w:r>
      <w:r w:rsidRPr="00936D22" w:rsidR="00D627E0">
        <w:rPr>
          <w:rtl/>
        </w:rPr>
        <w:t>מהתמ"ג</w:t>
      </w:r>
      <w:r w:rsidRPr="00936D22" w:rsidR="00D627E0">
        <w:rPr>
          <w:rtl/>
        </w:rPr>
        <w:t xml:space="preserve"> עד שנת 2050 במקרה של </w:t>
      </w:r>
      <w:r w:rsidRPr="00936D22" w:rsidR="00D627E0">
        <w:t>BAU</w:t>
      </w:r>
      <w:r w:rsidRPr="00936D22" w:rsidR="00D627E0">
        <w:rPr>
          <w:rtl/>
        </w:rPr>
        <w:t>,</w:t>
      </w:r>
      <w:r w:rsidRPr="00936D22" w:rsidR="00D627E0">
        <w:rPr>
          <w:rFonts w:hint="cs"/>
          <w:rtl/>
        </w:rPr>
        <w:t xml:space="preserve"> </w:t>
      </w:r>
      <w:r w:rsidR="00B77448">
        <w:rPr>
          <w:rFonts w:hint="cs"/>
          <w:rtl/>
        </w:rPr>
        <w:t>ו</w:t>
      </w:r>
      <w:r w:rsidRPr="00B77448" w:rsidR="00B77448">
        <w:rPr>
          <w:rtl/>
        </w:rPr>
        <w:t>קביעותיו</w:t>
      </w:r>
      <w:r w:rsidR="00B77448">
        <w:rPr>
          <w:rFonts w:hint="cs"/>
          <w:rtl/>
        </w:rPr>
        <w:t xml:space="preserve"> </w:t>
      </w:r>
      <w:r w:rsidRPr="00936D22" w:rsidR="00D627E0">
        <w:rPr>
          <w:rtl/>
        </w:rPr>
        <w:t>כי השפעת שינויי האקלים היא "מוגבלת ביותר" לא רק שאינ</w:t>
      </w:r>
      <w:r w:rsidRPr="00936D22" w:rsidR="00D627E0">
        <w:rPr>
          <w:rFonts w:hint="cs"/>
          <w:rtl/>
        </w:rPr>
        <w:t>ן</w:t>
      </w:r>
      <w:r w:rsidRPr="00936D22" w:rsidR="00D627E0">
        <w:rPr>
          <w:rtl/>
        </w:rPr>
        <w:t xml:space="preserve"> מתוקפ</w:t>
      </w:r>
      <w:r w:rsidRPr="00936D22" w:rsidR="00D627E0">
        <w:rPr>
          <w:rFonts w:hint="cs"/>
          <w:rtl/>
        </w:rPr>
        <w:t>ו</w:t>
      </w:r>
      <w:r w:rsidRPr="00936D22" w:rsidR="00D627E0">
        <w:rPr>
          <w:rtl/>
        </w:rPr>
        <w:t>ת ומבוסס</w:t>
      </w:r>
      <w:r w:rsidRPr="00936D22" w:rsidR="00D627E0">
        <w:rPr>
          <w:rFonts w:hint="cs"/>
          <w:rtl/>
        </w:rPr>
        <w:t>ו</w:t>
      </w:r>
      <w:r w:rsidRPr="00936D22" w:rsidR="00D627E0">
        <w:rPr>
          <w:rtl/>
        </w:rPr>
        <w:t>ת, ה</w:t>
      </w:r>
      <w:r w:rsidRPr="00936D22" w:rsidR="00D627E0">
        <w:rPr>
          <w:rFonts w:hint="cs"/>
          <w:rtl/>
        </w:rPr>
        <w:t>ן</w:t>
      </w:r>
      <w:r w:rsidRPr="00936D22" w:rsidR="00D627E0">
        <w:rPr>
          <w:rtl/>
        </w:rPr>
        <w:t xml:space="preserve"> גם מתעלמת מחלופות הפוגעות פחות בתמ"ג</w:t>
      </w:r>
      <w:r w:rsidRPr="00936D22" w:rsidR="00D627E0">
        <w:rPr>
          <w:rFonts w:hint="cs"/>
          <w:rtl/>
        </w:rPr>
        <w:t>,</w:t>
      </w:r>
      <w:r w:rsidRPr="00936D22" w:rsidR="00D627E0">
        <w:rPr>
          <w:rtl/>
        </w:rPr>
        <w:t xml:space="preserve"> כגון חלופת כלכלה דלת פחמן והגבלת עליית </w:t>
      </w:r>
      <w:r w:rsidRPr="00936D22" w:rsidR="00D627E0">
        <w:rPr>
          <w:rFonts w:hint="cs"/>
          <w:rtl/>
        </w:rPr>
        <w:t>ה</w:t>
      </w:r>
      <w:r w:rsidRPr="00936D22" w:rsidR="00D627E0">
        <w:rPr>
          <w:rtl/>
        </w:rPr>
        <w:t>טמפרטורה ל-</w:t>
      </w:r>
      <w:r w:rsidRPr="00936D22" w:rsidR="00D627E0">
        <w:t>2</w:t>
      </w:r>
      <w:r w:rsidRPr="00936D22" w:rsidR="00D627E0">
        <w:rPr>
          <w:rFonts w:hint="cs"/>
        </w:rPr>
        <w:t>°</w:t>
      </w:r>
      <w:r w:rsidRPr="00936D22" w:rsidR="00D627E0">
        <w:t>C</w:t>
      </w:r>
      <w:r w:rsidRPr="00936D22" w:rsidR="00D627E0">
        <w:rPr>
          <w:rFonts w:hint="cs"/>
          <w:rtl/>
        </w:rPr>
        <w:t xml:space="preserve"> (</w:t>
      </w:r>
      <w:r w:rsidRPr="00936D22" w:rsidR="00D627E0">
        <w:rPr>
          <w:rFonts w:hint="cs"/>
        </w:rPr>
        <w:t>RCP</w:t>
      </w:r>
      <w:r w:rsidRPr="00936D22" w:rsidR="00D627E0">
        <w:rPr>
          <w:rFonts w:hint="cs"/>
          <w:rtl/>
        </w:rPr>
        <w:t xml:space="preserve"> 2.6) </w:t>
      </w:r>
      <w:r w:rsidRPr="00936D22" w:rsidR="00D627E0">
        <w:rPr>
          <w:rtl/>
        </w:rPr>
        <w:t xml:space="preserve">המוצגות באופן עקבי במחקרים, לרבות במחקר המכון </w:t>
      </w:r>
      <w:r w:rsidRPr="00936D22" w:rsidR="00D627E0">
        <w:rPr>
          <w:rFonts w:hint="cs"/>
          <w:rtl/>
        </w:rPr>
        <w:t>שאליו התייחס</w:t>
      </w:r>
      <w:r w:rsidRPr="00936D22" w:rsidR="00D627E0">
        <w:rPr>
          <w:rtl/>
        </w:rPr>
        <w:t>. הישענות זו עשויה להטות באופן מובנה החלטות בנושא תקצוב פעולות אקלים כך שיתוקצבו בצמצום (כפי שהוצג בדוח</w:t>
      </w:r>
      <w:r w:rsidRPr="00936D22" w:rsidR="00D627E0">
        <w:rPr>
          <w:rFonts w:hint="cs"/>
          <w:rtl/>
        </w:rPr>
        <w:t xml:space="preserve"> הקודם</w:t>
      </w:r>
      <w:r w:rsidRPr="00936D22" w:rsidR="00D627E0">
        <w:rPr>
          <w:rtl/>
        </w:rPr>
        <w:t xml:space="preserve"> </w:t>
      </w:r>
      <w:r w:rsidRPr="00936D22" w:rsidR="00D627E0">
        <w:rPr>
          <w:rFonts w:hint="cs"/>
          <w:rtl/>
        </w:rPr>
        <w:t xml:space="preserve">ובביקורת </w:t>
      </w:r>
      <w:r w:rsidRPr="00936D22" w:rsidR="00D627E0">
        <w:rPr>
          <w:rtl/>
        </w:rPr>
        <w:t>מעקב ז</w:t>
      </w:r>
      <w:r w:rsidRPr="00936D22" w:rsidR="00D627E0">
        <w:rPr>
          <w:rFonts w:hint="cs"/>
          <w:rtl/>
        </w:rPr>
        <w:t>ו</w:t>
      </w:r>
      <w:r w:rsidRPr="00936D22" w:rsidR="00D627E0">
        <w:rPr>
          <w:rtl/>
        </w:rPr>
        <w:t>), אם בכלל, במקום לבססן על ניתוח עומק כלכלי-סביבתי, על בסיס הכלים המומלצים על ידי הארגונים שנסקרו לעיל של קואליציית שרי האקלים ו</w:t>
      </w:r>
      <w:r w:rsidRPr="00936D22" w:rsidR="00D627E0">
        <w:rPr>
          <w:rFonts w:hint="cs"/>
          <w:rtl/>
        </w:rPr>
        <w:t xml:space="preserve">ארגון </w:t>
      </w:r>
      <w:r w:rsidRPr="00936D22" w:rsidR="00D627E0">
        <w:rPr>
          <w:rtl/>
        </w:rPr>
        <w:t>ה-</w:t>
      </w:r>
      <w:r w:rsidRPr="00936D22" w:rsidR="00D627E0">
        <w:t>OECD</w:t>
      </w:r>
      <w:r w:rsidRPr="00936D22" w:rsidR="00D627E0">
        <w:rPr>
          <w:rtl/>
        </w:rPr>
        <w:t xml:space="preserve"> ובשים לב לתרחישים המלמדים כי מדיניות להגבלת הטמפרטורה ל</w:t>
      </w:r>
      <w:r w:rsidRPr="00936D22" w:rsidR="00D627E0">
        <w:rPr>
          <w:rFonts w:hint="cs"/>
          <w:rtl/>
        </w:rPr>
        <w:t>-</w:t>
      </w:r>
      <w:r w:rsidRPr="00936D22" w:rsidR="00D627E0">
        <w:t>2</w:t>
      </w:r>
      <w:r w:rsidRPr="00936D22" w:rsidR="00D627E0">
        <w:rPr>
          <w:rFonts w:hint="cs"/>
        </w:rPr>
        <w:t>°</w:t>
      </w:r>
      <w:r w:rsidRPr="00936D22" w:rsidR="00D627E0">
        <w:t>C</w:t>
      </w:r>
      <w:r w:rsidRPr="00936D22" w:rsidR="00D627E0">
        <w:rPr>
          <w:rtl/>
        </w:rPr>
        <w:t xml:space="preserve"> מצמצמ</w:t>
      </w:r>
      <w:r w:rsidRPr="00936D22" w:rsidR="00D627E0">
        <w:rPr>
          <w:rFonts w:hint="cs"/>
          <w:rtl/>
        </w:rPr>
        <w:t>ת</w:t>
      </w:r>
      <w:r w:rsidRPr="00936D22" w:rsidR="00D627E0">
        <w:rPr>
          <w:rtl/>
        </w:rPr>
        <w:t xml:space="preserve"> את הפגיעה בתמ"ג ביחס לתרחיש </w:t>
      </w:r>
      <w:r w:rsidRPr="00936D22" w:rsidR="00D627E0">
        <w:t>BAU</w:t>
      </w:r>
      <w:r w:rsidRPr="00936D22" w:rsidR="00D627E0">
        <w:rPr>
          <w:rFonts w:hint="cs"/>
          <w:rtl/>
        </w:rPr>
        <w:t xml:space="preserve"> (לרבות במחקר שעליו נשען</w:t>
      </w:r>
      <w:r w:rsidR="00D627E0">
        <w:rPr>
          <w:rFonts w:hint="cs"/>
          <w:rtl/>
        </w:rPr>
        <w:t>)</w:t>
      </w:r>
      <w:r w:rsidRPr="00AF3B73">
        <w:rPr>
          <w:rFonts w:hint="cs"/>
          <w:rtl/>
        </w:rPr>
        <w:t>.</w:t>
      </w:r>
    </w:p>
    <w:p w:rsidR="00EB672B" w:rsidP="00EB672B" w14:paraId="6EA213E6" w14:textId="2B3FC55F">
      <w:pPr>
        <w:pStyle w:val="7316"/>
        <w:rPr>
          <w:rtl/>
        </w:rPr>
      </w:pPr>
      <w:r w:rsidRPr="0063556C">
        <w:rPr>
          <w:rStyle w:val="7372"/>
          <w:rFonts w:hint="cs"/>
          <w:noProof/>
          <w:rtl/>
        </w:rPr>
        <w:drawing>
          <wp:anchor distT="0" distB="0" distL="114300" distR="114300" simplePos="0" relativeHeight="251686912" behindDoc="1" locked="0" layoutInCell="1" allowOverlap="1">
            <wp:simplePos x="0" y="0"/>
            <wp:positionH relativeFrom="column">
              <wp:posOffset>4556955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40"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781636"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B54233" w:rsidR="00D627E0">
        <w:rPr>
          <w:rStyle w:val="7372"/>
          <w:rFonts w:hint="cs"/>
          <w:rtl/>
        </w:rPr>
        <w:t>אי-ביצוע הערכה כלכלית על ידי המועצה הלאומית לכלכלה -</w:t>
      </w:r>
      <w:r w:rsidRPr="00936D22" w:rsidR="00D627E0">
        <w:rPr>
          <w:rFonts w:hint="cs"/>
          <w:rtl/>
        </w:rPr>
        <w:t xml:space="preserve"> </w:t>
      </w:r>
      <w:r w:rsidRPr="00936D22" w:rsidR="00D627E0">
        <w:rPr>
          <w:rtl/>
        </w:rPr>
        <w:t xml:space="preserve">המועצה הלאומית לכלכלה לא ביצעה הערכה כלכלית בנושא שינויי </w:t>
      </w:r>
      <w:r w:rsidRPr="00936D22" w:rsidR="00D627E0">
        <w:rPr>
          <w:rFonts w:hint="cs"/>
          <w:rtl/>
        </w:rPr>
        <w:t>ה</w:t>
      </w:r>
      <w:r w:rsidRPr="00936D22" w:rsidR="00D627E0">
        <w:rPr>
          <w:rtl/>
        </w:rPr>
        <w:t xml:space="preserve">אקלים, אף שלמועצה מנדט לעסוק </w:t>
      </w:r>
      <w:r w:rsidRPr="00936D22" w:rsidR="00D627E0">
        <w:rPr>
          <w:rtl/>
        </w:rPr>
        <w:t>בסוגיות כלכליות ארוכות טווח. עוד עלה כי נכון ליולי 2023</w:t>
      </w:r>
      <w:r w:rsidRPr="00936D22" w:rsidR="00D627E0">
        <w:rPr>
          <w:rFonts w:hint="cs"/>
          <w:rtl/>
        </w:rPr>
        <w:t>,</w:t>
      </w:r>
      <w:r w:rsidRPr="00936D22" w:rsidR="00D627E0">
        <w:rPr>
          <w:rtl/>
        </w:rPr>
        <w:t xml:space="preserve"> כשנה וחצי לאחר פרסום </w:t>
      </w:r>
      <w:r w:rsidRPr="00936D22" w:rsidR="00D627E0">
        <w:rPr>
          <w:rFonts w:hint="cs"/>
          <w:rtl/>
        </w:rPr>
        <w:t>ה</w:t>
      </w:r>
      <w:r w:rsidRPr="00936D22" w:rsidR="00D627E0">
        <w:rPr>
          <w:rtl/>
        </w:rPr>
        <w:t xml:space="preserve">דוח הקודם, המועצה לא הציגה </w:t>
      </w:r>
      <w:r w:rsidRPr="00936D22" w:rsidR="00D627E0">
        <w:rPr>
          <w:rFonts w:hint="cs"/>
          <w:rtl/>
        </w:rPr>
        <w:t>ל</w:t>
      </w:r>
      <w:r w:rsidRPr="00936D22" w:rsidR="00D627E0">
        <w:rPr>
          <w:rtl/>
        </w:rPr>
        <w:t>פני ממשלת ישראל הערכת מצב אסטרטגית עם התייחסות לנושא האקלים, בין היתר בשל אי</w:t>
      </w:r>
      <w:r w:rsidRPr="00936D22" w:rsidR="00D627E0">
        <w:rPr>
          <w:rFonts w:hint="cs"/>
          <w:rtl/>
        </w:rPr>
        <w:t>-</w:t>
      </w:r>
      <w:r w:rsidRPr="00936D22" w:rsidR="00D627E0">
        <w:rPr>
          <w:rtl/>
        </w:rPr>
        <w:t xml:space="preserve">מינוי ראש מועצה </w:t>
      </w:r>
      <w:r w:rsidRPr="00936D22" w:rsidR="00D627E0">
        <w:rPr>
          <w:rFonts w:hint="cs"/>
          <w:rtl/>
        </w:rPr>
        <w:t>ב</w:t>
      </w:r>
      <w:r w:rsidRPr="00936D22" w:rsidR="00D627E0">
        <w:rPr>
          <w:rtl/>
        </w:rPr>
        <w:t>משך כשנה וחצי (</w:t>
      </w:r>
      <w:r w:rsidRPr="00936D22" w:rsidR="00D627E0">
        <w:rPr>
          <w:rFonts w:hint="cs"/>
          <w:rtl/>
        </w:rPr>
        <w:t>מ</w:t>
      </w:r>
      <w:r w:rsidRPr="00936D22" w:rsidR="00D627E0">
        <w:rPr>
          <w:rtl/>
        </w:rPr>
        <w:t>אמצע 2021 עד ינואר 2023</w:t>
      </w:r>
      <w:r w:rsidR="00D627E0">
        <w:rPr>
          <w:rFonts w:hint="cs"/>
          <w:rtl/>
        </w:rPr>
        <w:t>)</w:t>
      </w:r>
      <w:r w:rsidRPr="00AF3B73">
        <w:rPr>
          <w:rFonts w:hint="cs"/>
          <w:rtl/>
        </w:rPr>
        <w:t xml:space="preserve">. </w:t>
      </w:r>
    </w:p>
    <w:p w:rsidR="00D627E0" w:rsidRPr="00936D22" w:rsidP="00D627E0" w14:paraId="38ED84D9" w14:textId="24C7285F">
      <w:pPr>
        <w:pStyle w:val="73512"/>
        <w:rPr>
          <w:rStyle w:val="7372"/>
          <w:bCs/>
          <w:color w:val="00305F"/>
          <w:sz w:val="24"/>
          <w:szCs w:val="24"/>
          <w:rtl/>
        </w:rPr>
      </w:pPr>
      <w:r w:rsidRPr="00936D22">
        <w:rPr>
          <w:rStyle w:val="7372"/>
          <w:bCs/>
          <w:color w:val="00305F"/>
          <w:sz w:val="24"/>
          <w:szCs w:val="24"/>
          <w:rtl/>
        </w:rPr>
        <w:t>תמחור פחמן והיבטי מיסוי נוספים</w:t>
      </w:r>
    </w:p>
    <w:p w:rsidR="00D627E0" w:rsidP="00D627E0" w14:paraId="0CE02873" w14:textId="51254551">
      <w:pPr>
        <w:pStyle w:val="7316"/>
        <w:rPr>
          <w:rtl/>
        </w:rPr>
      </w:pPr>
      <w:r w:rsidRPr="0063556C">
        <w:rPr>
          <w:rStyle w:val="7372"/>
          <w:rFonts w:hint="cs"/>
          <w:noProof/>
          <w:rtl/>
        </w:rPr>
        <w:drawing>
          <wp:anchor distT="0" distB="0" distL="114300" distR="114300" simplePos="0" relativeHeight="251694080" behindDoc="1" locked="0" layoutInCell="1" allowOverlap="1">
            <wp:simplePos x="0" y="0"/>
            <wp:positionH relativeFrom="column">
              <wp:posOffset>4556955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503711188" name="תמונה 503711188">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356845"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B54233">
        <w:rPr>
          <w:rStyle w:val="7372"/>
          <w:rFonts w:hint="cs"/>
          <w:rtl/>
        </w:rPr>
        <w:t xml:space="preserve">אי-החלת מס פחמן בישראל </w:t>
      </w:r>
      <w:r w:rsidRPr="00B54233">
        <w:rPr>
          <w:rStyle w:val="7372"/>
          <w:rtl/>
        </w:rPr>
        <w:t>-</w:t>
      </w:r>
      <w:r w:rsidRPr="00936D22">
        <w:rPr>
          <w:rFonts w:hint="cs"/>
          <w:rtl/>
        </w:rPr>
        <w:t xml:space="preserve"> </w:t>
      </w:r>
      <w:r w:rsidRPr="00936D22">
        <w:rPr>
          <w:rtl/>
        </w:rPr>
        <w:t xml:space="preserve">בדוח הקודם עלה כי לאחר </w:t>
      </w:r>
      <w:r w:rsidRPr="00936D22">
        <w:rPr>
          <w:rFonts w:hint="cs"/>
          <w:rtl/>
        </w:rPr>
        <w:t>יותר</w:t>
      </w:r>
      <w:r w:rsidRPr="00936D22">
        <w:rPr>
          <w:rtl/>
        </w:rPr>
        <w:t xml:space="preserve"> מ-13 שנים של דיונים בנושא תמחור פחמן, התקבלה החלטת </w:t>
      </w:r>
      <w:r w:rsidRPr="00936D22">
        <w:rPr>
          <w:rFonts w:hint="cs"/>
          <w:rtl/>
        </w:rPr>
        <w:t>ה</w:t>
      </w:r>
      <w:r w:rsidRPr="00936D22">
        <w:rPr>
          <w:rtl/>
        </w:rPr>
        <w:t>ממשלה 286 על החלה הדרגתית של מס פחמן על חלק מהדלקים</w:t>
      </w:r>
      <w:r w:rsidRPr="00936D22">
        <w:rPr>
          <w:rFonts w:hint="cs"/>
          <w:rtl/>
        </w:rPr>
        <w:t>,</w:t>
      </w:r>
      <w:r w:rsidRPr="00936D22">
        <w:rPr>
          <w:rtl/>
        </w:rPr>
        <w:t xml:space="preserve"> וזאת החל </w:t>
      </w:r>
      <w:r w:rsidRPr="00936D22">
        <w:rPr>
          <w:rFonts w:hint="cs"/>
          <w:rtl/>
        </w:rPr>
        <w:t>ב</w:t>
      </w:r>
      <w:r w:rsidRPr="00936D22">
        <w:rPr>
          <w:rtl/>
        </w:rPr>
        <w:t xml:space="preserve">שנת 2023. </w:t>
      </w:r>
      <w:r w:rsidRPr="00936D22">
        <w:rPr>
          <w:rFonts w:hint="cs"/>
          <w:rtl/>
        </w:rPr>
        <w:t xml:space="preserve">בביקורת המעקב נמצא כי </w:t>
      </w:r>
      <w:r w:rsidRPr="00B54233">
        <w:rPr>
          <w:rStyle w:val="7372"/>
          <w:rFonts w:hint="cs"/>
          <w:rtl/>
        </w:rPr>
        <w:t>הליקוי לא תוקן -</w:t>
      </w:r>
      <w:r w:rsidRPr="00936D22">
        <w:rPr>
          <w:rFonts w:hint="cs"/>
          <w:rtl/>
        </w:rPr>
        <w:t xml:space="preserve"> </w:t>
      </w:r>
      <w:r w:rsidRPr="00936D22">
        <w:rPr>
          <w:rtl/>
        </w:rPr>
        <w:t xml:space="preserve">נכון </w:t>
      </w:r>
      <w:r w:rsidR="00B77448">
        <w:rPr>
          <w:rFonts w:hint="cs"/>
          <w:rtl/>
        </w:rPr>
        <w:t>לנובמבר</w:t>
      </w:r>
      <w:r w:rsidRPr="00936D22" w:rsidR="00B77448">
        <w:rPr>
          <w:rtl/>
        </w:rPr>
        <w:t xml:space="preserve"> </w:t>
      </w:r>
      <w:r w:rsidRPr="00936D22">
        <w:rPr>
          <w:rtl/>
        </w:rPr>
        <w:t>2023 מס פחמן לא הוחל</w:t>
      </w:r>
      <w:r w:rsidRPr="00936D22">
        <w:rPr>
          <w:rFonts w:hint="cs"/>
          <w:rtl/>
        </w:rPr>
        <w:t xml:space="preserve"> </w:t>
      </w:r>
      <w:r w:rsidRPr="00936D22">
        <w:rPr>
          <w:rtl/>
        </w:rPr>
        <w:t>(בהמשך לדיון בוועדת הכספים מדצמבר 2021), ובפוע</w:t>
      </w:r>
      <w:r w:rsidRPr="00936D22">
        <w:rPr>
          <w:rFonts w:hint="cs"/>
          <w:rtl/>
        </w:rPr>
        <w:t xml:space="preserve">ל </w:t>
      </w:r>
      <w:r w:rsidRPr="00936D22">
        <w:rPr>
          <w:rtl/>
        </w:rPr>
        <w:t>החלט</w:t>
      </w:r>
      <w:r w:rsidRPr="00936D22">
        <w:rPr>
          <w:rFonts w:hint="cs"/>
          <w:rtl/>
        </w:rPr>
        <w:t>ת הממשלה 286</w:t>
      </w:r>
      <w:r w:rsidRPr="00936D22">
        <w:rPr>
          <w:rtl/>
        </w:rPr>
        <w:t xml:space="preserve"> א</w:t>
      </w:r>
      <w:r w:rsidRPr="00936D22">
        <w:rPr>
          <w:rFonts w:hint="cs"/>
          <w:rtl/>
        </w:rPr>
        <w:t>ינה</w:t>
      </w:r>
      <w:r w:rsidRPr="00936D22">
        <w:rPr>
          <w:rtl/>
        </w:rPr>
        <w:t xml:space="preserve"> מיושמת</w:t>
      </w:r>
      <w:r w:rsidRPr="00936D22">
        <w:rPr>
          <w:rFonts w:hint="cs"/>
          <w:rtl/>
        </w:rPr>
        <w:t>,</w:t>
      </w:r>
      <w:r w:rsidRPr="00936D22">
        <w:rPr>
          <w:rtl/>
        </w:rPr>
        <w:t xml:space="preserve"> ואין בשלב זה נכונות של משרד האוצר לקדם את יישומה </w:t>
      </w:r>
      <w:r w:rsidRPr="00936D22">
        <w:rPr>
          <w:rFonts w:hint="cs"/>
          <w:rtl/>
        </w:rPr>
        <w:t>אף</w:t>
      </w:r>
      <w:r w:rsidRPr="00936D22">
        <w:rPr>
          <w:rtl/>
        </w:rPr>
        <w:t xml:space="preserve"> שמתווה מס הפחמן אמור ל</w:t>
      </w:r>
      <w:r w:rsidRPr="00936D22">
        <w:rPr>
          <w:rFonts w:hint="cs"/>
          <w:rtl/>
        </w:rPr>
        <w:t>היות מיושם</w:t>
      </w:r>
      <w:r w:rsidRPr="00936D22">
        <w:rPr>
          <w:rtl/>
        </w:rPr>
        <w:t xml:space="preserve"> באופן מדורג, ובכל הקשור למשקי בית הוא משיט עלות נמוכה עד מתונה של 32 ש"ח לחודש בממוצע למשק בית. </w:t>
      </w:r>
      <w:r w:rsidRPr="00936D22">
        <w:rPr>
          <w:rFonts w:hint="cs"/>
          <w:rtl/>
        </w:rPr>
        <w:t>אי-החלת מס פחמן בישראל אינה</w:t>
      </w:r>
      <w:r w:rsidRPr="00936D22">
        <w:rPr>
          <w:rtl/>
        </w:rPr>
        <w:t xml:space="preserve"> עולה בקנה אחד עם המלצות חוזרות של ה-</w:t>
      </w:r>
      <w:r w:rsidRPr="00936D22">
        <w:t>OECD</w:t>
      </w:r>
      <w:r w:rsidRPr="00936D22">
        <w:rPr>
          <w:rtl/>
        </w:rPr>
        <w:t xml:space="preserve"> בנושא, לרבות המלצתו האחרונה בסקר ביצועים סביבתיים של ישראל מ</w:t>
      </w:r>
      <w:r w:rsidRPr="00936D22">
        <w:rPr>
          <w:rFonts w:hint="cs"/>
          <w:rtl/>
        </w:rPr>
        <w:t xml:space="preserve">שנת </w:t>
      </w:r>
      <w:r w:rsidRPr="00936D22">
        <w:rPr>
          <w:rtl/>
        </w:rPr>
        <w:t xml:space="preserve">2023. לפי אגף </w:t>
      </w:r>
      <w:r w:rsidRPr="00936D22">
        <w:rPr>
          <w:rFonts w:hint="cs"/>
          <w:rtl/>
        </w:rPr>
        <w:t>ה</w:t>
      </w:r>
      <w:r w:rsidRPr="00936D22">
        <w:rPr>
          <w:rtl/>
        </w:rPr>
        <w:t>תקציבים במשרד האוצר</w:t>
      </w:r>
      <w:r w:rsidRPr="00936D22">
        <w:rPr>
          <w:rFonts w:hint="cs"/>
          <w:rtl/>
        </w:rPr>
        <w:t>,</w:t>
      </w:r>
      <w:r w:rsidRPr="00936D22">
        <w:rPr>
          <w:rtl/>
        </w:rPr>
        <w:t xml:space="preserve"> אי</w:t>
      </w:r>
      <w:r w:rsidRPr="00936D22">
        <w:rPr>
          <w:rFonts w:hint="cs"/>
          <w:rtl/>
        </w:rPr>
        <w:t>-</w:t>
      </w:r>
      <w:r w:rsidRPr="00936D22">
        <w:rPr>
          <w:rtl/>
        </w:rPr>
        <w:t xml:space="preserve">יישום מס הפחמן יגרע הכנסה </w:t>
      </w:r>
      <w:r w:rsidRPr="00936D22">
        <w:rPr>
          <w:rFonts w:hint="cs"/>
          <w:rtl/>
        </w:rPr>
        <w:t>ש</w:t>
      </w:r>
      <w:r w:rsidRPr="00936D22">
        <w:rPr>
          <w:rtl/>
        </w:rPr>
        <w:t xml:space="preserve">ל </w:t>
      </w:r>
      <w:r w:rsidRPr="00936D22">
        <w:rPr>
          <w:rFonts w:hint="cs"/>
          <w:rtl/>
        </w:rPr>
        <w:t>יותר</w:t>
      </w:r>
      <w:r w:rsidRPr="00936D22">
        <w:rPr>
          <w:rtl/>
        </w:rPr>
        <w:t xml:space="preserve"> מ-2.5 מיליארד ש"ח בשנת 2023, ושל יותר מ-7.5 מיליארד ש"ח בשנים 2023 עד 2028 (במצטבר</w:t>
      </w:r>
      <w:r>
        <w:rPr>
          <w:rFonts w:hint="cs"/>
          <w:rtl/>
        </w:rPr>
        <w:t>)</w:t>
      </w:r>
      <w:r w:rsidRPr="00AF3B73">
        <w:rPr>
          <w:rFonts w:hint="cs"/>
          <w:rtl/>
        </w:rPr>
        <w:t xml:space="preserve">. </w:t>
      </w:r>
    </w:p>
    <w:p w:rsidR="000F2903" w:rsidP="00D627E0" w14:paraId="2EE38A91" w14:textId="77777777">
      <w:pPr>
        <w:pStyle w:val="7316"/>
        <w:rPr>
          <w:rStyle w:val="7372"/>
          <w:rtl/>
        </w:rPr>
      </w:pPr>
      <w:r w:rsidRPr="0063556C">
        <w:rPr>
          <w:rStyle w:val="7372"/>
          <w:rFonts w:hint="cs"/>
          <w:noProof/>
          <w:rtl/>
        </w:rPr>
        <w:drawing>
          <wp:anchor distT="0" distB="0" distL="114300" distR="114300" simplePos="0" relativeHeight="251695104" behindDoc="1" locked="0" layoutInCell="1" allowOverlap="1">
            <wp:simplePos x="0" y="0"/>
            <wp:positionH relativeFrom="column">
              <wp:posOffset>4556955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1976646324" name="תמונה 1976646324">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512228"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B54233">
        <w:rPr>
          <w:rStyle w:val="7372"/>
          <w:rtl/>
        </w:rPr>
        <w:t>השפעת</w:t>
      </w:r>
      <w:r w:rsidRPr="00B54233">
        <w:rPr>
          <w:rStyle w:val="7372"/>
          <w:rFonts w:hint="cs"/>
          <w:rtl/>
        </w:rPr>
        <w:t xml:space="preserve"> היעדר יישום</w:t>
      </w:r>
      <w:r w:rsidRPr="00B54233">
        <w:rPr>
          <w:rStyle w:val="7372"/>
          <w:rtl/>
        </w:rPr>
        <w:t xml:space="preserve"> מס הפחמן על סחר בי</w:t>
      </w:r>
      <w:r w:rsidRPr="00B54233">
        <w:rPr>
          <w:rStyle w:val="7372"/>
          <w:rFonts w:hint="cs"/>
          <w:rtl/>
        </w:rPr>
        <w:t>ן-</w:t>
      </w:r>
      <w:r w:rsidRPr="00B54233">
        <w:rPr>
          <w:rStyle w:val="7372"/>
          <w:rtl/>
        </w:rPr>
        <w:t>לאומי ו</w:t>
      </w:r>
      <w:r w:rsidRPr="00B54233">
        <w:rPr>
          <w:rStyle w:val="7372"/>
          <w:rFonts w:hint="cs"/>
          <w:rtl/>
        </w:rPr>
        <w:t xml:space="preserve">על </w:t>
      </w:r>
      <w:r w:rsidRPr="00B54233">
        <w:rPr>
          <w:rStyle w:val="7372"/>
          <w:rtl/>
        </w:rPr>
        <w:t xml:space="preserve">היצוא </w:t>
      </w:r>
      <w:r w:rsidRPr="00B54233">
        <w:rPr>
          <w:rStyle w:val="7372"/>
          <w:rFonts w:hint="cs"/>
          <w:rtl/>
        </w:rPr>
        <w:t>ה</w:t>
      </w:r>
      <w:r w:rsidRPr="00B54233">
        <w:rPr>
          <w:rStyle w:val="7372"/>
          <w:rtl/>
        </w:rPr>
        <w:t>ישראלי</w:t>
      </w:r>
      <w:r w:rsidRPr="00B54233">
        <w:rPr>
          <w:rStyle w:val="7372"/>
          <w:rFonts w:hint="cs"/>
          <w:rtl/>
        </w:rPr>
        <w:t xml:space="preserve"> לאירופה </w:t>
      </w:r>
      <w:r w:rsidRPr="00B54233">
        <w:rPr>
          <w:rStyle w:val="7372"/>
          <w:rtl/>
        </w:rPr>
        <w:t>-</w:t>
      </w:r>
      <w:r w:rsidRPr="00936D22">
        <w:rPr>
          <w:rFonts w:hint="cs"/>
          <w:rtl/>
        </w:rPr>
        <w:t xml:space="preserve"> </w:t>
      </w:r>
      <w:r w:rsidRPr="00936D22">
        <w:rPr>
          <w:rtl/>
        </w:rPr>
        <w:t>בדוח הקודם עלה כי ישראל חשופה למגבלות סחר בדמות ה-</w:t>
      </w:r>
      <w:r w:rsidRPr="00936D22">
        <w:t>CBAM</w:t>
      </w:r>
      <w:r w:rsidRPr="00936D22">
        <w:rPr>
          <w:rtl/>
        </w:rPr>
        <w:t xml:space="preserve"> </w:t>
      </w:r>
      <w:r w:rsidRPr="00936D22">
        <w:rPr>
          <w:rFonts w:hint="cs"/>
          <w:rtl/>
        </w:rPr>
        <w:t>ש</w:t>
      </w:r>
      <w:r w:rsidRPr="00936D22">
        <w:rPr>
          <w:rtl/>
        </w:rPr>
        <w:t>אותו מקדם האיחוד האירופי להטלת מס פחמן בכניסה לגבולות אירופה על יבוא ממדינות שאין בהן מנגנון תמחור פחמן.</w:t>
      </w:r>
      <w:r w:rsidRPr="00936D22">
        <w:rPr>
          <w:rFonts w:hint="cs"/>
          <w:rtl/>
        </w:rPr>
        <w:t xml:space="preserve"> בביקורת המעקב נמצא כי הליקוי לא תוקן - </w:t>
      </w:r>
      <w:r w:rsidRPr="00936D22">
        <w:rPr>
          <w:rtl/>
        </w:rPr>
        <w:t>בהיעדר יישום מס פחמן ישראל חשופה ל-</w:t>
      </w:r>
      <w:r w:rsidRPr="00936D22">
        <w:t>CBAM</w:t>
      </w:r>
      <w:r w:rsidRPr="00936D22">
        <w:rPr>
          <w:rtl/>
        </w:rPr>
        <w:t xml:space="preserve">, וחברות ישראליות יצואניות עלולות להיפגע בשל </w:t>
      </w:r>
      <w:r w:rsidRPr="00936D22">
        <w:rPr>
          <w:rFonts w:hint="cs"/>
          <w:rtl/>
        </w:rPr>
        <w:t>ה</w:t>
      </w:r>
      <w:r w:rsidRPr="00936D22">
        <w:rPr>
          <w:rtl/>
        </w:rPr>
        <w:t>דר</w:t>
      </w:r>
      <w:r w:rsidRPr="00936D22">
        <w:rPr>
          <w:rFonts w:hint="cs"/>
          <w:rtl/>
        </w:rPr>
        <w:t>י</w:t>
      </w:r>
      <w:r w:rsidRPr="00936D22">
        <w:rPr>
          <w:rtl/>
        </w:rPr>
        <w:t>ש</w:t>
      </w:r>
      <w:r w:rsidRPr="00936D22">
        <w:rPr>
          <w:rFonts w:hint="cs"/>
          <w:rtl/>
        </w:rPr>
        <w:t>ה</w:t>
      </w:r>
      <w:r w:rsidRPr="00936D22">
        <w:rPr>
          <w:rtl/>
        </w:rPr>
        <w:t xml:space="preserve"> לשלם מס פחמן לקופת האיחוד האירופי או למדינות אירופה על סחורות של ענפים מסוימים בתעשייה הישראלית, ו</w:t>
      </w:r>
      <w:r w:rsidRPr="00936D22">
        <w:rPr>
          <w:rFonts w:hint="cs"/>
          <w:rtl/>
        </w:rPr>
        <w:t>מכיוון</w:t>
      </w:r>
      <w:r w:rsidRPr="00936D22">
        <w:rPr>
          <w:rtl/>
        </w:rPr>
        <w:t xml:space="preserve"> </w:t>
      </w:r>
      <w:r w:rsidRPr="00936D22">
        <w:rPr>
          <w:rFonts w:hint="cs"/>
          <w:rtl/>
        </w:rPr>
        <w:t>שהושלמו הליכי החקיקה בעניין באיחוד האירופי, גובר</w:t>
      </w:r>
      <w:r w:rsidRPr="00936D22">
        <w:rPr>
          <w:rtl/>
        </w:rPr>
        <w:t xml:space="preserve"> </w:t>
      </w:r>
      <w:r w:rsidRPr="00936D22">
        <w:rPr>
          <w:rFonts w:hint="cs"/>
          <w:rtl/>
        </w:rPr>
        <w:t>ה</w:t>
      </w:r>
      <w:r w:rsidRPr="00936D22">
        <w:rPr>
          <w:rtl/>
        </w:rPr>
        <w:t>פוטנציאל לפגיעה בתחרותיות</w:t>
      </w:r>
      <w:r w:rsidRPr="00936D22">
        <w:rPr>
          <w:rFonts w:hint="cs"/>
          <w:rtl/>
        </w:rPr>
        <w:t xml:space="preserve">. </w:t>
      </w:r>
    </w:p>
    <w:p w:rsidR="00D627E0" w:rsidP="00D627E0" w14:paraId="2CE5583C" w14:textId="5C4E725B">
      <w:pPr>
        <w:pStyle w:val="7316"/>
        <w:rPr>
          <w:rtl/>
        </w:rPr>
      </w:pPr>
      <w:r w:rsidRPr="0063556C">
        <w:rPr>
          <w:rStyle w:val="7372"/>
          <w:rFonts w:hint="cs"/>
          <w:noProof/>
          <w:rtl/>
        </w:rPr>
        <w:drawing>
          <wp:anchor distT="0" distB="0" distL="114300" distR="114300" simplePos="0" relativeHeight="251744256" behindDoc="1" locked="0" layoutInCell="1" allowOverlap="1">
            <wp:simplePos x="0" y="0"/>
            <wp:positionH relativeFrom="column">
              <wp:posOffset>4518025</wp:posOffset>
            </wp:positionH>
            <wp:positionV relativeFrom="paragraph">
              <wp:posOffset>53754</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12924795" name="תמונה 12924795">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414162"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B54233">
        <w:rPr>
          <w:rStyle w:val="7372"/>
          <w:rFonts w:hint="cs"/>
          <w:rtl/>
        </w:rPr>
        <w:t xml:space="preserve">אי-גיבוש מנגנון לצמצום השלכות מס פחמן על משקי הבית והתעשייה </w:t>
      </w:r>
      <w:r w:rsidRPr="00B54233">
        <w:rPr>
          <w:rStyle w:val="7372"/>
          <w:rtl/>
        </w:rPr>
        <w:t>-</w:t>
      </w:r>
      <w:r w:rsidRPr="00B54233">
        <w:rPr>
          <w:rStyle w:val="7372"/>
          <w:rFonts w:hint="cs"/>
          <w:rtl/>
        </w:rPr>
        <w:t xml:space="preserve"> </w:t>
      </w:r>
      <w:r w:rsidRPr="00936D22">
        <w:rPr>
          <w:rtl/>
        </w:rPr>
        <w:t xml:space="preserve">משרדי האוצר, </w:t>
      </w:r>
      <w:r w:rsidRPr="00936D22">
        <w:rPr>
          <w:rtl/>
        </w:rPr>
        <w:t>הג"ס</w:t>
      </w:r>
      <w:r w:rsidRPr="00936D22">
        <w:rPr>
          <w:rtl/>
        </w:rPr>
        <w:t xml:space="preserve">, הכלכלה </w:t>
      </w:r>
      <w:r w:rsidRPr="00936D22">
        <w:rPr>
          <w:rtl/>
        </w:rPr>
        <w:t>והאנרגייה</w:t>
      </w:r>
      <w:r w:rsidRPr="00936D22">
        <w:rPr>
          <w:rtl/>
        </w:rPr>
        <w:t xml:space="preserve"> לא סיימו לגבש ב</w:t>
      </w:r>
      <w:r w:rsidRPr="00936D22">
        <w:rPr>
          <w:rFonts w:hint="cs"/>
          <w:rtl/>
        </w:rPr>
        <w:t>ד בבד עם</w:t>
      </w:r>
      <w:r w:rsidRPr="00936D22">
        <w:rPr>
          <w:rtl/>
        </w:rPr>
        <w:t xml:space="preserve"> החלט</w:t>
      </w:r>
      <w:r w:rsidRPr="00936D22">
        <w:rPr>
          <w:rFonts w:hint="cs"/>
          <w:rtl/>
        </w:rPr>
        <w:t>ת הממשלה</w:t>
      </w:r>
      <w:r w:rsidRPr="00936D22">
        <w:rPr>
          <w:rtl/>
        </w:rPr>
        <w:t xml:space="preserve"> 286 את המנגנונים המשלימים למס הפחמן - קרי, תמיכה במשקי בית </w:t>
      </w:r>
      <w:r w:rsidRPr="00936D22">
        <w:rPr>
          <w:rFonts w:hint="cs"/>
          <w:rtl/>
        </w:rPr>
        <w:t xml:space="preserve">בקרב </w:t>
      </w:r>
      <w:r w:rsidRPr="00936D22">
        <w:rPr>
          <w:rtl/>
        </w:rPr>
        <w:t xml:space="preserve">אוכלוסיות </w:t>
      </w:r>
      <w:r w:rsidRPr="00936D22">
        <w:rPr>
          <w:rFonts w:hint="cs"/>
          <w:rtl/>
        </w:rPr>
        <w:t>ראויות לקידום</w:t>
      </w:r>
      <w:r w:rsidRPr="00936D22">
        <w:rPr>
          <w:rtl/>
        </w:rPr>
        <w:t>, פיצוי לענפי תעשי</w:t>
      </w:r>
      <w:r w:rsidRPr="00936D22">
        <w:rPr>
          <w:rFonts w:hint="cs"/>
          <w:rtl/>
        </w:rPr>
        <w:t>י</w:t>
      </w:r>
      <w:r w:rsidRPr="00936D22">
        <w:rPr>
          <w:rtl/>
        </w:rPr>
        <w:t xml:space="preserve">ה עתירי </w:t>
      </w:r>
      <w:r w:rsidRPr="00936D22">
        <w:rPr>
          <w:rtl/>
        </w:rPr>
        <w:t>אנרגייה</w:t>
      </w:r>
      <w:r w:rsidRPr="00936D22">
        <w:rPr>
          <w:rtl/>
        </w:rPr>
        <w:t xml:space="preserve"> כדי לשמר את התחרותיות של התעשייה הישראלית</w:t>
      </w:r>
      <w:r w:rsidRPr="00936D22">
        <w:rPr>
          <w:rFonts w:hint="cs"/>
          <w:rtl/>
        </w:rPr>
        <w:t>;</w:t>
      </w:r>
      <w:r w:rsidRPr="00936D22">
        <w:rPr>
          <w:rtl/>
        </w:rPr>
        <w:t xml:space="preserve"> ומנגנון מיסוי כללי אשר יישומו יוביל לקיזוז או </w:t>
      </w:r>
      <w:r w:rsidRPr="00936D22">
        <w:rPr>
          <w:rFonts w:hint="cs"/>
          <w:rtl/>
        </w:rPr>
        <w:t>ל</w:t>
      </w:r>
      <w:r w:rsidRPr="00936D22">
        <w:rPr>
          <w:rtl/>
        </w:rPr>
        <w:t>מיתון העלייה ביוקר המחיה</w:t>
      </w:r>
      <w:r w:rsidRPr="00936D22">
        <w:rPr>
          <w:rFonts w:hint="cs"/>
          <w:rtl/>
        </w:rPr>
        <w:t>.</w:t>
      </w:r>
      <w:r w:rsidRPr="00936D22">
        <w:rPr>
          <w:rtl/>
        </w:rPr>
        <w:t xml:space="preserve"> </w:t>
      </w:r>
      <w:r w:rsidRPr="00936D22">
        <w:rPr>
          <w:rFonts w:hint="cs"/>
          <w:rtl/>
        </w:rPr>
        <w:t xml:space="preserve">את המנגנונים הללו </w:t>
      </w:r>
      <w:r w:rsidRPr="00936D22">
        <w:rPr>
          <w:rtl/>
        </w:rPr>
        <w:t>נדרש להסדיר ב</w:t>
      </w:r>
      <w:r w:rsidRPr="00936D22">
        <w:rPr>
          <w:rFonts w:hint="cs"/>
          <w:rtl/>
        </w:rPr>
        <w:t>ד בבד</w:t>
      </w:r>
      <w:r w:rsidRPr="00936D22">
        <w:rPr>
          <w:rtl/>
        </w:rPr>
        <w:t xml:space="preserve"> </w:t>
      </w:r>
      <w:r w:rsidRPr="00936D22">
        <w:rPr>
          <w:rFonts w:hint="cs"/>
          <w:rtl/>
        </w:rPr>
        <w:t xml:space="preserve">עם </w:t>
      </w:r>
      <w:r w:rsidRPr="00936D22">
        <w:rPr>
          <w:rtl/>
        </w:rPr>
        <w:t xml:space="preserve">הטלת מס </w:t>
      </w:r>
      <w:r w:rsidRPr="00936D22">
        <w:rPr>
          <w:rFonts w:hint="cs"/>
          <w:rtl/>
        </w:rPr>
        <w:t>ה</w:t>
      </w:r>
      <w:r w:rsidRPr="00936D22">
        <w:rPr>
          <w:rtl/>
        </w:rPr>
        <w:t>פחמן, ואף הוצע להסדירם במ</w:t>
      </w:r>
      <w:r w:rsidRPr="00936D22">
        <w:rPr>
          <w:rFonts w:hint="cs"/>
          <w:rtl/>
        </w:rPr>
        <w:t>ס</w:t>
      </w:r>
      <w:r w:rsidRPr="00936D22">
        <w:rPr>
          <w:rtl/>
        </w:rPr>
        <w:t>גרת דוח ועדת מיסוי ירוק</w:t>
      </w:r>
      <w:r w:rsidRPr="00936D22">
        <w:rPr>
          <w:rFonts w:hint="cs"/>
          <w:rtl/>
        </w:rPr>
        <w:t xml:space="preserve"> 3 - והיעדר </w:t>
      </w:r>
      <w:r w:rsidRPr="00936D22">
        <w:rPr>
          <w:rtl/>
        </w:rPr>
        <w:t>הסדרתם מנע בפועל את יישומו של מס הפחמן</w:t>
      </w:r>
      <w:r w:rsidRPr="00936D22">
        <w:rPr>
          <w:rFonts w:hint="cs"/>
          <w:rtl/>
        </w:rPr>
        <w:t xml:space="preserve"> בעבר,</w:t>
      </w:r>
      <w:r w:rsidRPr="00936D22">
        <w:rPr>
          <w:rtl/>
        </w:rPr>
        <w:t xml:space="preserve"> ו</w:t>
      </w:r>
      <w:r w:rsidRPr="00936D22">
        <w:rPr>
          <w:rFonts w:hint="cs"/>
          <w:rtl/>
        </w:rPr>
        <w:t xml:space="preserve">הוא </w:t>
      </w:r>
      <w:r w:rsidRPr="00936D22">
        <w:rPr>
          <w:rtl/>
        </w:rPr>
        <w:t xml:space="preserve">מקשה </w:t>
      </w:r>
      <w:r w:rsidRPr="00936D22">
        <w:rPr>
          <w:rFonts w:hint="cs"/>
          <w:rtl/>
        </w:rPr>
        <w:t>על כך</w:t>
      </w:r>
      <w:r w:rsidRPr="00936D22">
        <w:rPr>
          <w:rtl/>
        </w:rPr>
        <w:t xml:space="preserve"> גם בשנים 2022 - 2023.</w:t>
      </w:r>
      <w:r w:rsidRPr="00936D22">
        <w:rPr>
          <w:rFonts w:hint="cs"/>
          <w:rtl/>
        </w:rPr>
        <w:t xml:space="preserve"> אף ש</w:t>
      </w:r>
      <w:r w:rsidRPr="00936D22">
        <w:rPr>
          <w:rtl/>
        </w:rPr>
        <w:t>הצוות הבין</w:t>
      </w:r>
      <w:r w:rsidRPr="00936D22">
        <w:rPr>
          <w:rFonts w:hint="cs"/>
          <w:rtl/>
        </w:rPr>
        <w:t>-</w:t>
      </w:r>
      <w:r w:rsidRPr="00936D22">
        <w:rPr>
          <w:rtl/>
        </w:rPr>
        <w:t xml:space="preserve">משרדי בהובלת משרד </w:t>
      </w:r>
      <w:r w:rsidRPr="00936D22">
        <w:rPr>
          <w:rtl/>
        </w:rPr>
        <w:t>האנרגייה</w:t>
      </w:r>
      <w:r w:rsidRPr="00936D22">
        <w:rPr>
          <w:rtl/>
        </w:rPr>
        <w:t xml:space="preserve"> סיים את עבודתו בנושא מנגנונים לעידוד התייעלות </w:t>
      </w:r>
      <w:r w:rsidRPr="00936D22">
        <w:rPr>
          <w:rtl/>
        </w:rPr>
        <w:t>באנרגייה</w:t>
      </w:r>
      <w:r w:rsidRPr="00936D22">
        <w:rPr>
          <w:rtl/>
        </w:rPr>
        <w:t xml:space="preserve"> והקלה במעבר </w:t>
      </w:r>
      <w:r w:rsidRPr="00936D22">
        <w:rPr>
          <w:rtl/>
        </w:rPr>
        <w:t>לאנרגייה</w:t>
      </w:r>
      <w:r w:rsidRPr="00936D22">
        <w:rPr>
          <w:rtl/>
        </w:rPr>
        <w:t xml:space="preserve"> נקייה </w:t>
      </w:r>
      <w:r w:rsidRPr="00936D22">
        <w:rPr>
          <w:rFonts w:hint="cs"/>
          <w:rtl/>
        </w:rPr>
        <w:t xml:space="preserve">בקרב </w:t>
      </w:r>
      <w:r w:rsidRPr="00936D22">
        <w:rPr>
          <w:rtl/>
        </w:rPr>
        <w:t xml:space="preserve">שכבות </w:t>
      </w:r>
      <w:r w:rsidRPr="00936D22">
        <w:rPr>
          <w:rFonts w:hint="cs"/>
          <w:rtl/>
        </w:rPr>
        <w:t>ראויות לקידום</w:t>
      </w:r>
      <w:r w:rsidRPr="00936D22">
        <w:rPr>
          <w:rtl/>
        </w:rPr>
        <w:t>,</w:t>
      </w:r>
      <w:r w:rsidRPr="00936D22">
        <w:rPr>
          <w:rFonts w:hint="cs"/>
          <w:rtl/>
        </w:rPr>
        <w:t xml:space="preserve"> </w:t>
      </w:r>
      <w:r w:rsidRPr="00936D22">
        <w:rPr>
          <w:rtl/>
        </w:rPr>
        <w:t xml:space="preserve">העבודה לא אומצה באופן סופי כמדיניות. זאת, לפי משרד </w:t>
      </w:r>
      <w:r w:rsidRPr="00936D22">
        <w:rPr>
          <w:rtl/>
        </w:rPr>
        <w:t>האנרגייה</w:t>
      </w:r>
      <w:r w:rsidRPr="00936D22">
        <w:rPr>
          <w:rFonts w:hint="cs"/>
          <w:rtl/>
        </w:rPr>
        <w:t>,</w:t>
      </w:r>
      <w:r w:rsidRPr="00936D22">
        <w:rPr>
          <w:rtl/>
        </w:rPr>
        <w:t xml:space="preserve"> "לאור העובדה שמס פחמן לא קודם ליישום", ותוצר העבודה המרכזי של הצוות נותר טיוטה</w:t>
      </w:r>
      <w:r w:rsidRPr="00AF3B73">
        <w:rPr>
          <w:rFonts w:hint="cs"/>
          <w:rtl/>
        </w:rPr>
        <w:t xml:space="preserve">. </w:t>
      </w:r>
    </w:p>
    <w:p w:rsidR="00D627E0" w:rsidP="00D627E0" w14:paraId="4A7ADB84" w14:textId="7EDF6BF3">
      <w:pPr>
        <w:pStyle w:val="7316"/>
        <w:rPr>
          <w:rtl/>
        </w:rPr>
      </w:pPr>
      <w:r w:rsidRPr="0063556C">
        <w:rPr>
          <w:rStyle w:val="7372"/>
          <w:rFonts w:hint="cs"/>
          <w:noProof/>
          <w:rtl/>
        </w:rPr>
        <w:drawing>
          <wp:anchor distT="0" distB="0" distL="114300" distR="114300" simplePos="0" relativeHeight="251696128" behindDoc="1" locked="0" layoutInCell="1" allowOverlap="1">
            <wp:simplePos x="0" y="0"/>
            <wp:positionH relativeFrom="column">
              <wp:posOffset>4556955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1340873184" name="תמונה 1340873184">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877370"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B54233">
        <w:rPr>
          <w:rStyle w:val="7372"/>
          <w:rFonts w:hint="cs"/>
          <w:rtl/>
        </w:rPr>
        <w:t>קביעת מחיר הפחמן</w:t>
      </w:r>
      <w:r w:rsidRPr="00B54233">
        <w:rPr>
          <w:rStyle w:val="7372"/>
          <w:rtl/>
        </w:rPr>
        <w:t xml:space="preserve"> בהחלטת </w:t>
      </w:r>
      <w:r w:rsidRPr="00B54233">
        <w:rPr>
          <w:rStyle w:val="7372"/>
          <w:rFonts w:hint="cs"/>
          <w:rtl/>
        </w:rPr>
        <w:t>ה</w:t>
      </w:r>
      <w:r w:rsidRPr="00B54233">
        <w:rPr>
          <w:rStyle w:val="7372"/>
          <w:rtl/>
        </w:rPr>
        <w:t>ממשלה 286</w:t>
      </w:r>
      <w:r w:rsidRPr="00B54233">
        <w:rPr>
          <w:rStyle w:val="7372"/>
          <w:rFonts w:hint="cs"/>
          <w:rtl/>
        </w:rPr>
        <w:t xml:space="preserve"> </w:t>
      </w:r>
      <w:r w:rsidRPr="00B54233">
        <w:rPr>
          <w:rStyle w:val="7372"/>
          <w:rtl/>
        </w:rPr>
        <w:t>-</w:t>
      </w:r>
      <w:r w:rsidRPr="00936D22">
        <w:rPr>
          <w:rFonts w:hint="cs"/>
          <w:rtl/>
        </w:rPr>
        <w:t xml:space="preserve"> </w:t>
      </w:r>
      <w:r w:rsidRPr="00936D22">
        <w:rPr>
          <w:rtl/>
        </w:rPr>
        <w:t>בדוח הקודם עלה כי מחיר של 167 ש"ח לטו</w:t>
      </w:r>
      <w:r w:rsidRPr="00936D22">
        <w:rPr>
          <w:rFonts w:hint="cs"/>
          <w:rtl/>
        </w:rPr>
        <w:t>נה</w:t>
      </w:r>
      <w:r w:rsidRPr="00936D22">
        <w:rPr>
          <w:rtl/>
        </w:rPr>
        <w:t xml:space="preserve"> פחמן</w:t>
      </w:r>
      <w:r w:rsidRPr="00936D22">
        <w:rPr>
          <w:rFonts w:hint="cs"/>
          <w:rtl/>
        </w:rPr>
        <w:t>,</w:t>
      </w:r>
      <w:r w:rsidRPr="00936D22">
        <w:rPr>
          <w:rtl/>
        </w:rPr>
        <w:t xml:space="preserve"> </w:t>
      </w:r>
      <w:r w:rsidRPr="00936D22">
        <w:rPr>
          <w:rFonts w:hint="cs"/>
          <w:rtl/>
        </w:rPr>
        <w:t>כפי ש</w:t>
      </w:r>
      <w:r w:rsidRPr="00936D22">
        <w:rPr>
          <w:rtl/>
        </w:rPr>
        <w:t xml:space="preserve">ציין המשרד </w:t>
      </w:r>
      <w:r w:rsidRPr="00936D22">
        <w:rPr>
          <w:rtl/>
        </w:rPr>
        <w:t>להג"ס</w:t>
      </w:r>
      <w:r w:rsidRPr="00936D22">
        <w:rPr>
          <w:rtl/>
        </w:rPr>
        <w:t xml:space="preserve"> במסמך המדיניות שלו</w:t>
      </w:r>
      <w:r w:rsidRPr="00936D22">
        <w:rPr>
          <w:rFonts w:hint="cs"/>
          <w:rtl/>
        </w:rPr>
        <w:t>,</w:t>
      </w:r>
      <w:r w:rsidRPr="00936D22">
        <w:rPr>
          <w:rtl/>
        </w:rPr>
        <w:t xml:space="preserve"> נמוך מההמלצה העדכנית של ארגון ה-</w:t>
      </w:r>
      <w:r w:rsidRPr="00936D22">
        <w:t>OECD</w:t>
      </w:r>
      <w:r w:rsidRPr="00936D22">
        <w:rPr>
          <w:rtl/>
        </w:rPr>
        <w:t xml:space="preserve"> </w:t>
      </w:r>
      <w:r w:rsidRPr="00936D22">
        <w:rPr>
          <w:rFonts w:hint="cs"/>
          <w:rtl/>
        </w:rPr>
        <w:t>-</w:t>
      </w:r>
      <w:r w:rsidRPr="00936D22">
        <w:rPr>
          <w:rtl/>
        </w:rPr>
        <w:t xml:space="preserve"> כאמור 60 אירו בשנת 2021 ו-120 אירו בשנת 2030. </w:t>
      </w:r>
      <w:r w:rsidRPr="00936D22">
        <w:rPr>
          <w:rFonts w:hint="cs"/>
          <w:rtl/>
        </w:rPr>
        <w:t xml:space="preserve">בביקורת </w:t>
      </w:r>
      <w:r w:rsidRPr="00936D22">
        <w:rPr>
          <w:rFonts w:hint="cs"/>
          <w:rtl/>
        </w:rPr>
        <w:t xml:space="preserve">המעקב נמצא כי </w:t>
      </w:r>
      <w:r w:rsidRPr="00B54233">
        <w:rPr>
          <w:rFonts w:hint="cs"/>
          <w:b/>
          <w:bCs/>
          <w:rtl/>
        </w:rPr>
        <w:t>הליקוי לא תוקן -</w:t>
      </w:r>
      <w:r w:rsidRPr="00936D22">
        <w:rPr>
          <w:rFonts w:hint="cs"/>
          <w:rtl/>
        </w:rPr>
        <w:t xml:space="preserve"> לא נמצא כי </w:t>
      </w:r>
      <w:r w:rsidRPr="00936D22">
        <w:rPr>
          <w:rtl/>
        </w:rPr>
        <w:t>גובה מס הפחמן נידון מחדש או כי נשקלת התאמתו להמלצות הבי</w:t>
      </w:r>
      <w:r w:rsidRPr="00936D22">
        <w:rPr>
          <w:rFonts w:hint="cs"/>
          <w:rtl/>
        </w:rPr>
        <w:t>ן-</w:t>
      </w:r>
      <w:r w:rsidRPr="00936D22">
        <w:rPr>
          <w:rtl/>
        </w:rPr>
        <w:t>לאומיות בעניין. במצב זה גובה מס הפחמן, אשר מעודכן לשנת 2022 בסכום של 189 ש"ח והוא בהלימה להמלצה שבאר</w:t>
      </w:r>
      <w:r w:rsidRPr="00936D22">
        <w:rPr>
          <w:rFonts w:hint="cs"/>
          <w:rtl/>
        </w:rPr>
        <w:t xml:space="preserve">צות </w:t>
      </w:r>
      <w:r w:rsidRPr="00936D22">
        <w:rPr>
          <w:rtl/>
        </w:rPr>
        <w:t>הב</w:t>
      </w:r>
      <w:r w:rsidRPr="00936D22">
        <w:rPr>
          <w:rFonts w:hint="cs"/>
          <w:rtl/>
        </w:rPr>
        <w:t>רית</w:t>
      </w:r>
      <w:r w:rsidRPr="00936D22">
        <w:rPr>
          <w:rtl/>
        </w:rPr>
        <w:t>, גם לו היה מיושם, לא היה עומד בהמלצות האמורות של ה-</w:t>
      </w:r>
      <w:r w:rsidRPr="00936D22">
        <w:t>OECD</w:t>
      </w:r>
      <w:r w:rsidRPr="00936D22">
        <w:rPr>
          <w:rtl/>
        </w:rPr>
        <w:t>, ה-</w:t>
      </w:r>
      <w:r w:rsidRPr="00936D22">
        <w:t>IMF</w:t>
      </w:r>
      <w:r w:rsidRPr="00936D22">
        <w:rPr>
          <w:rtl/>
        </w:rPr>
        <w:t xml:space="preserve">, האיחוד האירופי או הבנק העולמי. </w:t>
      </w:r>
      <w:r w:rsidRPr="00936D22">
        <w:rPr>
          <w:rFonts w:hint="cs"/>
          <w:rtl/>
        </w:rPr>
        <w:t xml:space="preserve">המתווה אף נעצר בשנת 2028, </w:t>
      </w:r>
      <w:r w:rsidRPr="00936D22">
        <w:rPr>
          <w:rtl/>
        </w:rPr>
        <w:t>ללא מנגנון עדכון מחיר שנתי של 2.1%, וללא הצמדה להמלצות תמחור בי</w:t>
      </w:r>
      <w:r w:rsidRPr="00936D22">
        <w:rPr>
          <w:rFonts w:hint="cs"/>
          <w:rtl/>
        </w:rPr>
        <w:t>ן-</w:t>
      </w:r>
      <w:r w:rsidRPr="00936D22">
        <w:rPr>
          <w:rtl/>
        </w:rPr>
        <w:t>לאומיות שצפויות לעלות, ומהן נגזרה המלצת התמחור הישראלית. במצב זה, גם לו היה מיושם המתווה, הוא היה מתחיל להישחק בשנת 2029, ואף קודם לכן</w:t>
      </w:r>
      <w:r w:rsidRPr="00AF3B73">
        <w:rPr>
          <w:rFonts w:hint="cs"/>
          <w:rtl/>
        </w:rPr>
        <w:t xml:space="preserve">. </w:t>
      </w:r>
    </w:p>
    <w:p w:rsidR="00D627E0" w:rsidP="00D627E0" w14:paraId="124F6B38" w14:textId="73B5434A">
      <w:pPr>
        <w:pStyle w:val="7316"/>
        <w:rPr>
          <w:rtl/>
        </w:rPr>
      </w:pPr>
      <w:r w:rsidRPr="0063556C">
        <w:rPr>
          <w:rStyle w:val="7372"/>
          <w:rFonts w:hint="cs"/>
          <w:noProof/>
          <w:rtl/>
        </w:rPr>
        <w:drawing>
          <wp:anchor distT="0" distB="0" distL="114300" distR="114300" simplePos="0" relativeHeight="251697152" behindDoc="1" locked="0" layoutInCell="1" allowOverlap="1">
            <wp:simplePos x="0" y="0"/>
            <wp:positionH relativeFrom="column">
              <wp:posOffset>4556955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2145249946" name="תמונה 2145249946">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226993"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B54233">
        <w:rPr>
          <w:rStyle w:val="7372"/>
          <w:rFonts w:hint="cs"/>
          <w:rtl/>
        </w:rPr>
        <w:t>הפנמה חלקית של העלויות החיצוניות של הגז הטבעי במתווה מס הפחמן -</w:t>
      </w:r>
      <w:r w:rsidRPr="00936D22">
        <w:rPr>
          <w:rFonts w:hint="cs"/>
          <w:rtl/>
        </w:rPr>
        <w:t xml:space="preserve"> </w:t>
      </w:r>
      <w:r w:rsidRPr="00936D22">
        <w:rPr>
          <w:rtl/>
        </w:rPr>
        <w:t xml:space="preserve">נכון לשנת 2021 </w:t>
      </w:r>
      <w:r w:rsidRPr="00936D22">
        <w:rPr>
          <w:rFonts w:hint="cs"/>
          <w:rtl/>
        </w:rPr>
        <w:t>ה</w:t>
      </w:r>
      <w:r w:rsidRPr="00936D22">
        <w:rPr>
          <w:rtl/>
        </w:rPr>
        <w:t xml:space="preserve">גז </w:t>
      </w:r>
      <w:r w:rsidRPr="00936D22">
        <w:rPr>
          <w:rFonts w:hint="cs"/>
          <w:rtl/>
        </w:rPr>
        <w:t>ה</w:t>
      </w:r>
      <w:r w:rsidRPr="00936D22">
        <w:rPr>
          <w:rtl/>
        </w:rPr>
        <w:t>טבעי אחראי לבדו ל</w:t>
      </w:r>
      <w:r w:rsidRPr="00936D22">
        <w:rPr>
          <w:rFonts w:hint="cs"/>
          <w:rtl/>
        </w:rPr>
        <w:t>-</w:t>
      </w:r>
      <w:r w:rsidRPr="00936D22">
        <w:rPr>
          <w:rtl/>
        </w:rPr>
        <w:t>41% מפליטות ה-</w:t>
      </w:r>
      <w:r w:rsidRPr="00936D22">
        <w:t>CO2</w:t>
      </w:r>
      <w:r w:rsidRPr="00936D22">
        <w:rPr>
          <w:rtl/>
        </w:rPr>
        <w:t>, ושיעור זה צפוי ל</w:t>
      </w:r>
      <w:r w:rsidRPr="00936D22">
        <w:rPr>
          <w:rFonts w:hint="cs"/>
          <w:rtl/>
        </w:rPr>
        <w:t>גדול</w:t>
      </w:r>
      <w:r w:rsidRPr="00936D22">
        <w:rPr>
          <w:rtl/>
        </w:rPr>
        <w:t xml:space="preserve"> ל-60% מהפליטות עד שנת 2030. גם לו הייתה מיושמת החלטת </w:t>
      </w:r>
      <w:r w:rsidRPr="00936D22">
        <w:rPr>
          <w:rFonts w:hint="cs"/>
          <w:rtl/>
        </w:rPr>
        <w:t>ה</w:t>
      </w:r>
      <w:r w:rsidRPr="00936D22">
        <w:rPr>
          <w:rtl/>
        </w:rPr>
        <w:t xml:space="preserve">ממשלה 286, ההפנמה של </w:t>
      </w:r>
      <w:r w:rsidRPr="00936D22">
        <w:rPr>
          <w:rFonts w:hint="cs"/>
          <w:rtl/>
        </w:rPr>
        <w:t>ה</w:t>
      </w:r>
      <w:r w:rsidRPr="00936D22">
        <w:rPr>
          <w:rtl/>
        </w:rPr>
        <w:t xml:space="preserve">עלויות </w:t>
      </w:r>
      <w:r w:rsidRPr="00936D22">
        <w:rPr>
          <w:rFonts w:hint="cs"/>
          <w:rtl/>
        </w:rPr>
        <w:t>ה</w:t>
      </w:r>
      <w:r w:rsidRPr="00936D22">
        <w:rPr>
          <w:rtl/>
        </w:rPr>
        <w:t xml:space="preserve">חיצוניות הנגרמות משריפת </w:t>
      </w:r>
      <w:r w:rsidRPr="00936D22">
        <w:rPr>
          <w:rFonts w:hint="cs"/>
          <w:rtl/>
        </w:rPr>
        <w:t>ה</w:t>
      </w:r>
      <w:r w:rsidRPr="00936D22">
        <w:rPr>
          <w:rtl/>
        </w:rPr>
        <w:t>גז הטבעי, הייתה מגיעה לשיעור מ</w:t>
      </w:r>
      <w:r w:rsidRPr="00936D22">
        <w:rPr>
          <w:rFonts w:hint="cs"/>
          <w:rtl/>
        </w:rPr>
        <w:t>רב</w:t>
      </w:r>
      <w:r w:rsidRPr="00936D22">
        <w:rPr>
          <w:rtl/>
        </w:rPr>
        <w:t xml:space="preserve">י של 31% בלבד, ורק מהעלויות החיצוניות של פליטות </w:t>
      </w:r>
      <w:r w:rsidRPr="00936D22">
        <w:t>CO2</w:t>
      </w:r>
      <w:r w:rsidRPr="00936D22">
        <w:rPr>
          <w:rtl/>
        </w:rPr>
        <w:t xml:space="preserve"> (ורק החל משנת 2028).</w:t>
      </w:r>
      <w:r w:rsidRPr="00936D22">
        <w:rPr>
          <w:rFonts w:hint="cs"/>
          <w:rtl/>
        </w:rPr>
        <w:t xml:space="preserve"> לעומת זאת,</w:t>
      </w:r>
      <w:r w:rsidRPr="00936D22">
        <w:rPr>
          <w:rtl/>
        </w:rPr>
        <w:t xml:space="preserve"> בהפנמה מלאה של </w:t>
      </w:r>
      <w:r w:rsidRPr="00936D22">
        <w:rPr>
          <w:rFonts w:hint="cs"/>
          <w:rtl/>
        </w:rPr>
        <w:t>ה</w:t>
      </w:r>
      <w:r w:rsidRPr="00936D22">
        <w:rPr>
          <w:rtl/>
        </w:rPr>
        <w:t>עלויות, מחיר ה-</w:t>
      </w:r>
      <w:r w:rsidRPr="00936D22">
        <w:t>CO2</w:t>
      </w:r>
      <w:r w:rsidRPr="00936D22">
        <w:rPr>
          <w:rFonts w:hint="cs"/>
          <w:rtl/>
        </w:rPr>
        <w:t xml:space="preserve"> </w:t>
      </w:r>
      <w:r w:rsidRPr="00936D22">
        <w:rPr>
          <w:rtl/>
        </w:rPr>
        <w:t xml:space="preserve">היה אמור להיות פי שלושה, ונדרש היה לתמחר גם </w:t>
      </w:r>
      <w:r w:rsidRPr="00936D22">
        <w:rPr>
          <w:rFonts w:hint="cs"/>
          <w:rtl/>
        </w:rPr>
        <w:t>את ה</w:t>
      </w:r>
      <w:r w:rsidRPr="00936D22">
        <w:rPr>
          <w:rtl/>
        </w:rPr>
        <w:t xml:space="preserve">עלויות </w:t>
      </w:r>
      <w:r w:rsidRPr="00936D22">
        <w:rPr>
          <w:rFonts w:hint="cs"/>
          <w:rtl/>
        </w:rPr>
        <w:t>ה</w:t>
      </w:r>
      <w:r w:rsidRPr="00936D22">
        <w:rPr>
          <w:rtl/>
        </w:rPr>
        <w:t xml:space="preserve">חיצוניות של יתר </w:t>
      </w:r>
      <w:r w:rsidRPr="00936D22">
        <w:rPr>
          <w:rFonts w:hint="cs"/>
          <w:rtl/>
        </w:rPr>
        <w:t>ה</w:t>
      </w:r>
      <w:r w:rsidRPr="00936D22">
        <w:rPr>
          <w:rtl/>
        </w:rPr>
        <w:t>גז</w:t>
      </w:r>
      <w:r w:rsidRPr="00936D22">
        <w:rPr>
          <w:rFonts w:hint="cs"/>
          <w:rtl/>
        </w:rPr>
        <w:t>"ח</w:t>
      </w:r>
      <w:r w:rsidRPr="00936D22">
        <w:rPr>
          <w:rtl/>
        </w:rPr>
        <w:t>. משמעות הדבר היא שככל שמשק החשמל יצמצם את שריפת הפחם עד להפסקתה, כפי שקבעה הממשלה, וככל שיעלה שיעור הרכבים החשמליים - כך יגדל חלקו של הגז הטבעי בתמהיל הדלקים, ושיעור הפנמת העלויות החיצוניות באמצעות מס הפחמן יפחת בהתאם</w:t>
      </w:r>
      <w:r w:rsidRPr="00AF3B73">
        <w:rPr>
          <w:rFonts w:hint="cs"/>
          <w:rtl/>
        </w:rPr>
        <w:t xml:space="preserve">. </w:t>
      </w:r>
    </w:p>
    <w:p w:rsidR="00D627E0" w:rsidP="00D627E0" w14:paraId="7830FBAC" w14:textId="589D708E">
      <w:pPr>
        <w:pStyle w:val="7316"/>
        <w:rPr>
          <w:rtl/>
        </w:rPr>
      </w:pPr>
      <w:r w:rsidRPr="00936D22">
        <w:rPr>
          <w:rtl/>
        </w:rPr>
        <w:t>ההחלטה להגביל את עליית מחירי החשמל ב-5% הביאה לכרסום משמעותי ביכולת של מתווה מס הפחמן שנקבע בהחלט</w:t>
      </w:r>
      <w:r w:rsidRPr="00936D22">
        <w:rPr>
          <w:rFonts w:hint="cs"/>
          <w:rtl/>
        </w:rPr>
        <w:t>ת הממשלה</w:t>
      </w:r>
      <w:r w:rsidRPr="00936D22">
        <w:rPr>
          <w:rtl/>
        </w:rPr>
        <w:t xml:space="preserve"> 286</w:t>
      </w:r>
      <w:r w:rsidRPr="00936D22">
        <w:rPr>
          <w:rFonts w:hint="cs"/>
          <w:rtl/>
        </w:rPr>
        <w:t>,</w:t>
      </w:r>
      <w:r w:rsidRPr="00936D22">
        <w:rPr>
          <w:rtl/>
        </w:rPr>
        <w:t xml:space="preserve"> ולפיה יש להפנים </w:t>
      </w:r>
      <w:r w:rsidRPr="00936D22">
        <w:rPr>
          <w:rFonts w:hint="cs"/>
          <w:rtl/>
        </w:rPr>
        <w:t>את ה</w:t>
      </w:r>
      <w:r w:rsidRPr="00936D22">
        <w:rPr>
          <w:rtl/>
        </w:rPr>
        <w:t xml:space="preserve">עלויות </w:t>
      </w:r>
      <w:r w:rsidRPr="00936D22">
        <w:rPr>
          <w:rFonts w:hint="cs"/>
          <w:rtl/>
        </w:rPr>
        <w:t>ה</w:t>
      </w:r>
      <w:r w:rsidRPr="00936D22">
        <w:rPr>
          <w:rtl/>
        </w:rPr>
        <w:t>חיצוניות מ</w:t>
      </w:r>
      <w:r w:rsidRPr="00936D22">
        <w:rPr>
          <w:rFonts w:hint="cs"/>
          <w:rtl/>
        </w:rPr>
        <w:t>ה</w:t>
      </w:r>
      <w:r w:rsidRPr="00936D22">
        <w:rPr>
          <w:rtl/>
        </w:rPr>
        <w:t xml:space="preserve">גז </w:t>
      </w:r>
      <w:r w:rsidRPr="00936D22">
        <w:rPr>
          <w:rFonts w:hint="cs"/>
          <w:rtl/>
        </w:rPr>
        <w:t>ה</w:t>
      </w:r>
      <w:r w:rsidRPr="00936D22">
        <w:rPr>
          <w:rtl/>
        </w:rPr>
        <w:t xml:space="preserve">טבעי - הדלק בעל שיעור </w:t>
      </w:r>
      <w:r w:rsidRPr="00936D22">
        <w:rPr>
          <w:rFonts w:hint="cs"/>
          <w:rtl/>
        </w:rPr>
        <w:t xml:space="preserve">הפליטות </w:t>
      </w:r>
      <w:r w:rsidRPr="00936D22">
        <w:rPr>
          <w:rtl/>
        </w:rPr>
        <w:t>הגדול ביותר בישראל. התייקרות זו והעל</w:t>
      </w:r>
      <w:r w:rsidRPr="00936D22">
        <w:rPr>
          <w:rFonts w:hint="cs"/>
          <w:rtl/>
        </w:rPr>
        <w:t>י</w:t>
      </w:r>
      <w:r w:rsidRPr="00936D22">
        <w:rPr>
          <w:rtl/>
        </w:rPr>
        <w:t xml:space="preserve">יה הקלה ביוקר המחיה למשקי </w:t>
      </w:r>
      <w:r w:rsidRPr="00936D22">
        <w:rPr>
          <w:rFonts w:hint="cs"/>
          <w:rtl/>
        </w:rPr>
        <w:t>ה</w:t>
      </w:r>
      <w:r w:rsidRPr="00936D22">
        <w:rPr>
          <w:rtl/>
        </w:rPr>
        <w:t xml:space="preserve">בית </w:t>
      </w:r>
      <w:r w:rsidRPr="00936D22">
        <w:rPr>
          <w:rFonts w:hint="cs"/>
          <w:rtl/>
        </w:rPr>
        <w:t xml:space="preserve">- </w:t>
      </w:r>
      <w:r w:rsidRPr="00936D22">
        <w:rPr>
          <w:rtl/>
        </w:rPr>
        <w:t>לו היה מיושם המתווה שלא צלח את מבחן היישום, משקפ</w:t>
      </w:r>
      <w:r w:rsidRPr="00936D22">
        <w:rPr>
          <w:rFonts w:hint="cs"/>
          <w:rtl/>
        </w:rPr>
        <w:t>ות</w:t>
      </w:r>
      <w:r w:rsidRPr="00936D22">
        <w:rPr>
          <w:rtl/>
        </w:rPr>
        <w:t xml:space="preserve"> את העובדה כי הגורמים הממשלתיים הנוגעים בדבר, ובראשם משרד האוצר </w:t>
      </w:r>
      <w:r w:rsidRPr="00936D22">
        <w:rPr>
          <w:rtl/>
        </w:rPr>
        <w:t>והאנרגייה</w:t>
      </w:r>
      <w:r w:rsidRPr="00936D22">
        <w:rPr>
          <w:rtl/>
        </w:rPr>
        <w:t>, לא הטמיעו ד</w:t>
      </w:r>
      <w:r w:rsidRPr="00936D22">
        <w:rPr>
          <w:rFonts w:hint="cs"/>
          <w:rtl/>
        </w:rPr>
        <w:t>י</w:t>
      </w:r>
      <w:r w:rsidRPr="00936D22">
        <w:rPr>
          <w:rtl/>
        </w:rPr>
        <w:t>יה את ההכרה בכך שאיפוס פחמני כרוך בדרך כלל בהתייקרות החשמל ובעל</w:t>
      </w:r>
      <w:r w:rsidRPr="00936D22">
        <w:rPr>
          <w:rFonts w:hint="cs"/>
          <w:rtl/>
        </w:rPr>
        <w:t>י</w:t>
      </w:r>
      <w:r w:rsidRPr="00936D22">
        <w:rPr>
          <w:rtl/>
        </w:rPr>
        <w:t>יה ביוקר המחיה ב</w:t>
      </w:r>
      <w:r w:rsidRPr="00936D22">
        <w:rPr>
          <w:rFonts w:hint="cs"/>
          <w:rtl/>
        </w:rPr>
        <w:t>סקטור</w:t>
      </w:r>
      <w:r w:rsidRPr="00936D22">
        <w:rPr>
          <w:rtl/>
        </w:rPr>
        <w:t xml:space="preserve"> </w:t>
      </w:r>
      <w:r w:rsidRPr="00936D22">
        <w:rPr>
          <w:rtl/>
        </w:rPr>
        <w:t>האנרגייה</w:t>
      </w:r>
      <w:r w:rsidRPr="00936D22">
        <w:rPr>
          <w:rtl/>
        </w:rPr>
        <w:t xml:space="preserve"> ו</w:t>
      </w:r>
      <w:r w:rsidRPr="00936D22">
        <w:rPr>
          <w:rFonts w:hint="cs"/>
          <w:rtl/>
        </w:rPr>
        <w:t>בסקטור ה</w:t>
      </w:r>
      <w:r w:rsidRPr="00936D22">
        <w:rPr>
          <w:rtl/>
        </w:rPr>
        <w:t xml:space="preserve">תחבורה </w:t>
      </w:r>
      <w:r w:rsidRPr="00936D22">
        <w:rPr>
          <w:rFonts w:hint="cs"/>
          <w:rtl/>
        </w:rPr>
        <w:t>ה</w:t>
      </w:r>
      <w:r w:rsidRPr="00936D22">
        <w:rPr>
          <w:rtl/>
        </w:rPr>
        <w:t>מונעת בדלק, וכי הדבר בלתי נמנע</w:t>
      </w:r>
      <w:r w:rsidRPr="00AF3B73">
        <w:rPr>
          <w:rFonts w:hint="cs"/>
          <w:rtl/>
        </w:rPr>
        <w:t xml:space="preserve">. </w:t>
      </w:r>
    </w:p>
    <w:p w:rsidR="00D627E0" w:rsidP="00D627E0" w14:paraId="58E8E34A" w14:textId="06DE42CF">
      <w:pPr>
        <w:pStyle w:val="7316"/>
        <w:rPr>
          <w:rtl/>
        </w:rPr>
      </w:pPr>
      <w:r w:rsidRPr="00B54233">
        <w:rPr>
          <w:rStyle w:val="7372"/>
          <w:rFonts w:hint="cs"/>
          <w:noProof/>
          <w:rtl/>
        </w:rPr>
        <w:drawing>
          <wp:anchor distT="0" distB="0" distL="114300" distR="114300" simplePos="0" relativeHeight="251698176" behindDoc="1" locked="0" layoutInCell="1" allowOverlap="1">
            <wp:simplePos x="0" y="0"/>
            <wp:positionH relativeFrom="column">
              <wp:posOffset>4556955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1855193391" name="תמונה 1855193391">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867895"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B54233">
        <w:rPr>
          <w:rStyle w:val="7372"/>
          <w:rFonts w:hint="cs"/>
          <w:rtl/>
        </w:rPr>
        <w:t xml:space="preserve">היקף ה"כיסוי" במתווה מס הפחמן </w:t>
      </w:r>
      <w:r w:rsidRPr="00B54233">
        <w:rPr>
          <w:rStyle w:val="7372"/>
          <w:rtl/>
        </w:rPr>
        <w:t xml:space="preserve">בהחלטת </w:t>
      </w:r>
      <w:r w:rsidRPr="00B54233">
        <w:rPr>
          <w:rStyle w:val="7372"/>
          <w:rFonts w:hint="cs"/>
          <w:rtl/>
        </w:rPr>
        <w:t>ה</w:t>
      </w:r>
      <w:r w:rsidRPr="00B54233">
        <w:rPr>
          <w:rStyle w:val="7372"/>
          <w:rtl/>
        </w:rPr>
        <w:t>ממשלה 286</w:t>
      </w:r>
      <w:r w:rsidRPr="00B54233">
        <w:rPr>
          <w:rStyle w:val="7372"/>
          <w:rFonts w:hint="cs"/>
          <w:rtl/>
        </w:rPr>
        <w:t xml:space="preserve"> </w:t>
      </w:r>
      <w:r w:rsidRPr="00B54233">
        <w:rPr>
          <w:rStyle w:val="7372"/>
          <w:rtl/>
        </w:rPr>
        <w:t>-</w:t>
      </w:r>
      <w:r w:rsidRPr="00936D22">
        <w:rPr>
          <w:rFonts w:hint="cs"/>
          <w:rtl/>
        </w:rPr>
        <w:t xml:space="preserve"> </w:t>
      </w:r>
      <w:r w:rsidRPr="00936D22">
        <w:rPr>
          <w:rtl/>
        </w:rPr>
        <w:t>גם לו היה מיושם מס פחמן, הוא לא היה מוחל על פליטות ממקורות אחרים שאינם דלקים (כמו גזי קירור ופסולת) אשר מהווים עוד 20% מהפליטות, ובשלב זה גם אין כוונה לתמחרם. עוד עלה כי מס פחמן הוצע רק ב</w:t>
      </w:r>
      <w:r w:rsidRPr="00936D22">
        <w:rPr>
          <w:rFonts w:hint="cs"/>
          <w:rtl/>
        </w:rPr>
        <w:t>נוגע</w:t>
      </w:r>
      <w:r w:rsidRPr="00936D22">
        <w:rPr>
          <w:rtl/>
        </w:rPr>
        <w:t xml:space="preserve"> לחלק מהדלקים. למשל, הוא לא הוחל כלל על מזוט כבד לאוניות (עליו כלל אין בלו) או על קרוסין לתעופה (</w:t>
      </w:r>
      <w:r w:rsidRPr="00936D22">
        <w:rPr>
          <w:rFonts w:hint="cs"/>
          <w:rtl/>
        </w:rPr>
        <w:t>ש</w:t>
      </w:r>
      <w:r w:rsidRPr="00936D22">
        <w:rPr>
          <w:rtl/>
        </w:rPr>
        <w:t>עליו חל בלו נמוך למדי של 29 ש"ח לטו</w:t>
      </w:r>
      <w:r w:rsidRPr="00936D22">
        <w:rPr>
          <w:rFonts w:hint="cs"/>
          <w:rtl/>
        </w:rPr>
        <w:t>נה</w:t>
      </w:r>
      <w:r w:rsidRPr="00936D22">
        <w:rPr>
          <w:rtl/>
        </w:rPr>
        <w:t>), ו</w:t>
      </w:r>
      <w:r w:rsidRPr="00936D22">
        <w:rPr>
          <w:rFonts w:hint="cs"/>
          <w:rtl/>
        </w:rPr>
        <w:t>לא</w:t>
      </w:r>
      <w:r w:rsidRPr="00936D22">
        <w:rPr>
          <w:rtl/>
        </w:rPr>
        <w:t xml:space="preserve"> על בנזין ועל סולר מכל הסוגים (סולר, סולר לתחבורה, סולר לאוניות, </w:t>
      </w:r>
      <w:r w:rsidRPr="00936D22">
        <w:rPr>
          <w:rFonts w:hint="cs"/>
          <w:rtl/>
        </w:rPr>
        <w:t>ש</w:t>
      </w:r>
      <w:r w:rsidRPr="00936D22">
        <w:rPr>
          <w:rtl/>
        </w:rPr>
        <w:t xml:space="preserve">עליהם נותר הבלו באותו </w:t>
      </w:r>
      <w:r w:rsidRPr="00936D22">
        <w:rPr>
          <w:rFonts w:hint="cs"/>
          <w:rtl/>
        </w:rPr>
        <w:t>ה</w:t>
      </w:r>
      <w:r w:rsidRPr="00936D22">
        <w:rPr>
          <w:rtl/>
        </w:rPr>
        <w:t xml:space="preserve">מחיר). כמו כן נמצא כי </w:t>
      </w:r>
      <w:r w:rsidRPr="00936D22">
        <w:rPr>
          <w:rtl/>
        </w:rPr>
        <w:t>תמחורו</w:t>
      </w:r>
      <w:r w:rsidRPr="00936D22">
        <w:rPr>
          <w:rtl/>
        </w:rPr>
        <w:t xml:space="preserve"> של הפחמן באמצעות מנגנון הבלו היה מביא לכך שהעלויות החיצוניות אשר יועדו להפנמה היו בגין פליטות </w:t>
      </w:r>
      <w:r w:rsidRPr="00936D22">
        <w:t>CO2</w:t>
      </w:r>
      <w:r w:rsidRPr="00936D22">
        <w:rPr>
          <w:rtl/>
        </w:rPr>
        <w:t xml:space="preserve"> ולא בגין יתר </w:t>
      </w:r>
      <w:r w:rsidRPr="00936D22">
        <w:rPr>
          <w:rFonts w:hint="cs"/>
          <w:rtl/>
        </w:rPr>
        <w:t>ה</w:t>
      </w:r>
      <w:r w:rsidRPr="00936D22">
        <w:rPr>
          <w:rtl/>
        </w:rPr>
        <w:t>גז</w:t>
      </w:r>
      <w:r w:rsidRPr="00936D22">
        <w:rPr>
          <w:rFonts w:hint="cs"/>
          <w:rtl/>
        </w:rPr>
        <w:t>"ח</w:t>
      </w:r>
      <w:r w:rsidRPr="00936D22">
        <w:rPr>
          <w:rtl/>
        </w:rPr>
        <w:t xml:space="preserve"> (כלומר לא לפי </w:t>
      </w:r>
      <w:r w:rsidRPr="00936D22">
        <w:t>CO2e</w:t>
      </w:r>
      <w:r w:rsidRPr="00936D22">
        <w:rPr>
          <w:rtl/>
        </w:rPr>
        <w:t xml:space="preserve">) - זאת בהיעדרם של כלי תמחור נוספים כמו היטלים על גורמים המחויבים על פי חוק בדיווח על פליטות (לרבות של </w:t>
      </w:r>
      <w:r w:rsidRPr="00936D22">
        <w:rPr>
          <w:rtl/>
        </w:rPr>
        <w:t>גז"ח</w:t>
      </w:r>
      <w:r>
        <w:rPr>
          <w:rFonts w:hint="cs"/>
          <w:rtl/>
        </w:rPr>
        <w:t>)</w:t>
      </w:r>
      <w:r w:rsidRPr="00AF3B73">
        <w:rPr>
          <w:rFonts w:hint="cs"/>
          <w:rtl/>
        </w:rPr>
        <w:t xml:space="preserve">. </w:t>
      </w:r>
    </w:p>
    <w:p w:rsidR="00D627E0" w:rsidP="00D627E0" w14:paraId="316F71D2" w14:textId="79BA192D">
      <w:pPr>
        <w:pStyle w:val="7316"/>
        <w:rPr>
          <w:rtl/>
        </w:rPr>
      </w:pPr>
      <w:r w:rsidRPr="0063556C">
        <w:rPr>
          <w:rStyle w:val="7372"/>
          <w:rFonts w:hint="cs"/>
          <w:noProof/>
          <w:rtl/>
        </w:rPr>
        <w:drawing>
          <wp:anchor distT="0" distB="0" distL="114300" distR="114300" simplePos="0" relativeHeight="251699200" behindDoc="1" locked="0" layoutInCell="1" allowOverlap="1">
            <wp:simplePos x="0" y="0"/>
            <wp:positionH relativeFrom="column">
              <wp:posOffset>4556955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2084263399" name="תמונה 208426339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842993"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B54233">
        <w:rPr>
          <w:rStyle w:val="7372"/>
          <w:rFonts w:hint="cs"/>
          <w:rtl/>
        </w:rPr>
        <w:t xml:space="preserve">היקף הפנמת העלויות החיצוניות לו היה מיושם מתווה מס הפחמן </w:t>
      </w:r>
      <w:r w:rsidRPr="00B54233">
        <w:rPr>
          <w:rStyle w:val="7372"/>
          <w:rtl/>
        </w:rPr>
        <w:t>-</w:t>
      </w:r>
      <w:r w:rsidRPr="00936D22">
        <w:rPr>
          <w:rFonts w:hint="cs"/>
          <w:rtl/>
        </w:rPr>
        <w:t xml:space="preserve"> </w:t>
      </w:r>
      <w:r w:rsidRPr="00936D22">
        <w:rPr>
          <w:rtl/>
        </w:rPr>
        <w:t xml:space="preserve">היקפו החלקי של כיסוי מס </w:t>
      </w:r>
      <w:r w:rsidRPr="00936D22">
        <w:rPr>
          <w:rFonts w:hint="cs"/>
          <w:rtl/>
        </w:rPr>
        <w:t>ה</w:t>
      </w:r>
      <w:r w:rsidRPr="00936D22">
        <w:rPr>
          <w:rtl/>
        </w:rPr>
        <w:t xml:space="preserve">פחמן אשר במתווה החלטת </w:t>
      </w:r>
      <w:r w:rsidRPr="00936D22">
        <w:rPr>
          <w:rFonts w:hint="cs"/>
          <w:rtl/>
        </w:rPr>
        <w:t>ה</w:t>
      </w:r>
      <w:r w:rsidRPr="00936D22">
        <w:rPr>
          <w:rtl/>
        </w:rPr>
        <w:t xml:space="preserve">ממשלה 286, וגובהו הנמוך במקרה של </w:t>
      </w:r>
      <w:r w:rsidRPr="00936D22">
        <w:rPr>
          <w:rFonts w:hint="cs"/>
          <w:rtl/>
        </w:rPr>
        <w:t>ה</w:t>
      </w:r>
      <w:r w:rsidRPr="00936D22">
        <w:rPr>
          <w:rtl/>
        </w:rPr>
        <w:t xml:space="preserve">גז </w:t>
      </w:r>
      <w:r w:rsidRPr="00936D22">
        <w:rPr>
          <w:rFonts w:hint="cs"/>
          <w:rtl/>
        </w:rPr>
        <w:t>ה</w:t>
      </w:r>
      <w:r w:rsidRPr="00936D22">
        <w:rPr>
          <w:rtl/>
        </w:rPr>
        <w:t>טבעי, היו מביאים להפנמ</w:t>
      </w:r>
      <w:r w:rsidRPr="00936D22">
        <w:rPr>
          <w:rFonts w:hint="cs"/>
          <w:rtl/>
        </w:rPr>
        <w:t>ה</w:t>
      </w:r>
      <w:r w:rsidRPr="00936D22">
        <w:rPr>
          <w:rtl/>
        </w:rPr>
        <w:t xml:space="preserve"> </w:t>
      </w:r>
      <w:r w:rsidRPr="00936D22">
        <w:rPr>
          <w:rFonts w:hint="cs"/>
          <w:rtl/>
        </w:rPr>
        <w:t xml:space="preserve">חלקית של </w:t>
      </w:r>
      <w:r w:rsidRPr="00936D22">
        <w:rPr>
          <w:rtl/>
        </w:rPr>
        <w:t xml:space="preserve">העלויות החיצוניות של פליטות </w:t>
      </w:r>
      <w:r w:rsidRPr="00936D22">
        <w:rPr>
          <w:rFonts w:hint="cs"/>
          <w:rtl/>
        </w:rPr>
        <w:t>ה</w:t>
      </w:r>
      <w:r w:rsidRPr="00936D22">
        <w:rPr>
          <w:rtl/>
        </w:rPr>
        <w:t>גז</w:t>
      </w:r>
      <w:r w:rsidRPr="00936D22">
        <w:rPr>
          <w:rFonts w:hint="cs"/>
          <w:rtl/>
        </w:rPr>
        <w:t>"ח</w:t>
      </w:r>
      <w:r w:rsidRPr="00936D22">
        <w:rPr>
          <w:rtl/>
        </w:rPr>
        <w:t xml:space="preserve"> בישראל - במקום הפנמה של עלויות המוערכות על ידי המשרד </w:t>
      </w:r>
      <w:r w:rsidRPr="00936D22">
        <w:rPr>
          <w:rtl/>
        </w:rPr>
        <w:t>להג"ס</w:t>
      </w:r>
      <w:r w:rsidRPr="00936D22">
        <w:rPr>
          <w:rtl/>
        </w:rPr>
        <w:t xml:space="preserve"> בסך 13.1 מיליארד ש"ח בשנת </w:t>
      </w:r>
      <w:r w:rsidRPr="00936D22">
        <w:rPr>
          <w:rtl/>
        </w:rPr>
        <w:t xml:space="preserve">2020, הפנמה של כ-2.2 מיליארד </w:t>
      </w:r>
      <w:r w:rsidRPr="00936D22">
        <w:rPr>
          <w:rFonts w:hint="cs"/>
          <w:rtl/>
        </w:rPr>
        <w:t>ש"ח -</w:t>
      </w:r>
      <w:r w:rsidRPr="00936D22">
        <w:rPr>
          <w:rtl/>
        </w:rPr>
        <w:t xml:space="preserve"> שיעור של 16.7% מהן בלבד ורחוק מהפנמה של 100% </w:t>
      </w:r>
      <w:r w:rsidRPr="00936D22">
        <w:rPr>
          <w:rFonts w:hint="cs"/>
          <w:rtl/>
        </w:rPr>
        <w:t>ש</w:t>
      </w:r>
      <w:r w:rsidRPr="00936D22">
        <w:rPr>
          <w:rtl/>
        </w:rPr>
        <w:t xml:space="preserve">עליה המליצה ועדת מיסוי ירוק </w:t>
      </w:r>
      <w:r w:rsidRPr="00936D22">
        <w:rPr>
          <w:rFonts w:hint="cs"/>
          <w:rtl/>
        </w:rPr>
        <w:t xml:space="preserve">3 </w:t>
      </w:r>
      <w:r w:rsidRPr="00936D22">
        <w:rPr>
          <w:rtl/>
        </w:rPr>
        <w:t>בראשות משרד האוצר ורשות המ</w:t>
      </w:r>
      <w:r w:rsidRPr="00936D22">
        <w:rPr>
          <w:rFonts w:hint="cs"/>
          <w:rtl/>
        </w:rPr>
        <w:t>י</w:t>
      </w:r>
      <w:r w:rsidRPr="00936D22">
        <w:rPr>
          <w:rtl/>
        </w:rPr>
        <w:t>סים</w:t>
      </w:r>
      <w:r w:rsidRPr="00AF3B73">
        <w:rPr>
          <w:rFonts w:hint="cs"/>
          <w:rtl/>
        </w:rPr>
        <w:t xml:space="preserve">. </w:t>
      </w:r>
    </w:p>
    <w:p w:rsidR="00D627E0" w:rsidP="00D627E0" w14:paraId="272729CB" w14:textId="2084692A">
      <w:pPr>
        <w:pStyle w:val="7316"/>
        <w:rPr>
          <w:rtl/>
        </w:rPr>
      </w:pPr>
      <w:r w:rsidRPr="0063556C">
        <w:rPr>
          <w:rStyle w:val="7372"/>
          <w:rFonts w:hint="cs"/>
          <w:noProof/>
          <w:rtl/>
        </w:rPr>
        <w:drawing>
          <wp:anchor distT="0" distB="0" distL="114300" distR="114300" simplePos="0" relativeHeight="251700224" behindDoc="1" locked="0" layoutInCell="1" allowOverlap="1">
            <wp:simplePos x="0" y="0"/>
            <wp:positionH relativeFrom="column">
              <wp:posOffset>4556955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2125708789" name="תמונה 212570878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209858"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B54233">
        <w:rPr>
          <w:rStyle w:val="7372"/>
          <w:rFonts w:hint="cs"/>
          <w:rtl/>
        </w:rPr>
        <w:t xml:space="preserve">התמריצים והסבסוד בנוגע לדלקים </w:t>
      </w:r>
      <w:r w:rsidRPr="00B54233">
        <w:rPr>
          <w:rStyle w:val="7372"/>
          <w:rFonts w:hint="cs"/>
          <w:rtl/>
        </w:rPr>
        <w:t>פוסיליים</w:t>
      </w:r>
      <w:r w:rsidRPr="00B54233">
        <w:rPr>
          <w:rStyle w:val="7372"/>
          <w:rFonts w:hint="cs"/>
          <w:rtl/>
        </w:rPr>
        <w:t xml:space="preserve"> -</w:t>
      </w:r>
      <w:r w:rsidRPr="00936D22">
        <w:rPr>
          <w:rFonts w:hint="cs"/>
          <w:rtl/>
        </w:rPr>
        <w:t xml:space="preserve"> ביקורת המעקב העלתה כי </w:t>
      </w:r>
      <w:r w:rsidRPr="00936D22">
        <w:rPr>
          <w:rtl/>
        </w:rPr>
        <w:t xml:space="preserve">התמיכות הממשלתיות השנתיות בדלקים </w:t>
      </w:r>
      <w:r w:rsidRPr="00936D22">
        <w:rPr>
          <w:rtl/>
        </w:rPr>
        <w:t>פוסיליים</w:t>
      </w:r>
      <w:r w:rsidRPr="00936D22">
        <w:rPr>
          <w:rtl/>
        </w:rPr>
        <w:t xml:space="preserve"> מצויות במגמת עלי</w:t>
      </w:r>
      <w:r w:rsidRPr="00936D22">
        <w:rPr>
          <w:rFonts w:hint="cs"/>
          <w:rtl/>
        </w:rPr>
        <w:t>י</w:t>
      </w:r>
      <w:r w:rsidRPr="00936D22">
        <w:rPr>
          <w:rtl/>
        </w:rPr>
        <w:t>ה קבועה</w:t>
      </w:r>
      <w:r w:rsidRPr="00936D22">
        <w:rPr>
          <w:rFonts w:hint="cs"/>
          <w:rtl/>
        </w:rPr>
        <w:t xml:space="preserve"> </w:t>
      </w:r>
      <w:r w:rsidRPr="00936D22">
        <w:rPr>
          <w:rtl/>
        </w:rPr>
        <w:t xml:space="preserve">(למעט בשנת 2020 בשל מגפת הקורונה). תמיכה זו כמעט הוכפלה ועלתה מכ-2.2 מיליארד ש"ח בשנת 2010 לשיא של 4.2 מיליארד ש"ח בשנת 2019, ואף שירדה בשנת 2020 (בשל </w:t>
      </w:r>
      <w:r w:rsidRPr="00936D22">
        <w:rPr>
          <w:rFonts w:hint="cs"/>
          <w:rtl/>
        </w:rPr>
        <w:t xml:space="preserve">מגפת </w:t>
      </w:r>
      <w:r w:rsidRPr="00936D22">
        <w:rPr>
          <w:rtl/>
        </w:rPr>
        <w:t xml:space="preserve">הקורונה), הרי שבשנת 2021 </w:t>
      </w:r>
      <w:r w:rsidRPr="00936D22">
        <w:rPr>
          <w:rFonts w:hint="cs"/>
          <w:rtl/>
        </w:rPr>
        <w:t xml:space="preserve">חזרה </w:t>
      </w:r>
      <w:r w:rsidRPr="00936D22">
        <w:rPr>
          <w:rtl/>
        </w:rPr>
        <w:t xml:space="preserve">מגמת העלייה. נתוני התמיכות לשנים 2022 - 2023 צפויים לעלות אף יותר </w:t>
      </w:r>
      <w:r w:rsidRPr="00936D22">
        <w:rPr>
          <w:rFonts w:hint="cs"/>
          <w:rtl/>
        </w:rPr>
        <w:t>לנוכח</w:t>
      </w:r>
      <w:r w:rsidRPr="00936D22">
        <w:rPr>
          <w:rtl/>
        </w:rPr>
        <w:t xml:space="preserve"> הפטור על הבלו לפחם וההנחה על הבלו לבנזין בסכום מצטבר של כ-3.5 מיליארד ש"ח. תמיכות אלו פועלות כתמריץ כלכלי, וככאלו הן מגבירות את הביקוש לשימוש בדלקים </w:t>
      </w:r>
      <w:r w:rsidRPr="00936D22">
        <w:rPr>
          <w:rtl/>
        </w:rPr>
        <w:t>פוסיליים</w:t>
      </w:r>
      <w:r w:rsidRPr="00936D22">
        <w:rPr>
          <w:rtl/>
        </w:rPr>
        <w:t xml:space="preserve"> במקום להסיט את הביקוש לחלופות אחרות או להתייעל אנרגטית. תמיכות בהיקפים נרחבים אלו אינן עולות בקנה אחד עם יעדי הפחתת פליטות </w:t>
      </w:r>
      <w:r w:rsidRPr="00936D22">
        <w:rPr>
          <w:rFonts w:hint="cs"/>
          <w:rtl/>
        </w:rPr>
        <w:t>ה</w:t>
      </w:r>
      <w:r w:rsidRPr="00936D22">
        <w:rPr>
          <w:rtl/>
        </w:rPr>
        <w:t>גז"ח</w:t>
      </w:r>
      <w:r w:rsidRPr="00936D22">
        <w:rPr>
          <w:rtl/>
        </w:rPr>
        <w:t xml:space="preserve"> ומזהמים </w:t>
      </w:r>
      <w:r w:rsidRPr="00936D22">
        <w:rPr>
          <w:rFonts w:hint="cs"/>
          <w:rtl/>
        </w:rPr>
        <w:t xml:space="preserve">אחרים </w:t>
      </w:r>
      <w:r w:rsidRPr="00936D22">
        <w:rPr>
          <w:rtl/>
        </w:rPr>
        <w:t>שקבעה ישראל לאורך השנים, ו</w:t>
      </w:r>
      <w:r w:rsidRPr="00936D22">
        <w:rPr>
          <w:rFonts w:hint="cs"/>
          <w:rtl/>
        </w:rPr>
        <w:t xml:space="preserve">הן </w:t>
      </w:r>
      <w:r w:rsidRPr="00936D22">
        <w:rPr>
          <w:rtl/>
        </w:rPr>
        <w:t>חותרות תחת מאמציה לעבור לכלכלה דלת פחמן</w:t>
      </w:r>
      <w:r w:rsidRPr="00AF3B73">
        <w:rPr>
          <w:rFonts w:hint="cs"/>
          <w:rtl/>
        </w:rPr>
        <w:t xml:space="preserve">. </w:t>
      </w:r>
    </w:p>
    <w:p w:rsidR="008432DF" w:rsidRPr="00936D22" w:rsidP="008432DF" w14:paraId="6C814E44" w14:textId="77777777">
      <w:pPr>
        <w:pStyle w:val="7316"/>
        <w:numPr>
          <w:ilvl w:val="0"/>
          <w:numId w:val="68"/>
        </w:numPr>
      </w:pPr>
      <w:r w:rsidRPr="00B54233">
        <w:rPr>
          <w:rStyle w:val="7372"/>
          <w:rFonts w:hint="cs"/>
          <w:rtl/>
        </w:rPr>
        <w:t>סולר -</w:t>
      </w:r>
      <w:r w:rsidRPr="00936D22">
        <w:rPr>
          <w:rFonts w:hint="cs"/>
          <w:rtl/>
        </w:rPr>
        <w:t xml:space="preserve"> </w:t>
      </w:r>
      <w:r w:rsidRPr="00936D22">
        <w:rPr>
          <w:rtl/>
        </w:rPr>
        <w:t xml:space="preserve">בשנים 2015 - 2023 </w:t>
      </w:r>
      <w:r w:rsidRPr="00936D22">
        <w:rPr>
          <w:rFonts w:hint="cs"/>
          <w:rtl/>
        </w:rPr>
        <w:t>נגרעו מ</w:t>
      </w:r>
      <w:r w:rsidRPr="00936D22">
        <w:rPr>
          <w:rtl/>
        </w:rPr>
        <w:t xml:space="preserve">מדינת ישראל הכנסות פוטנציאליות בסך של כמעט 30 מיליארד ש"ח בגין </w:t>
      </w:r>
      <w:r w:rsidRPr="00936D22">
        <w:rPr>
          <w:rtl/>
        </w:rPr>
        <w:t>הישבונים</w:t>
      </w:r>
      <w:r w:rsidRPr="00936D22">
        <w:rPr>
          <w:rtl/>
        </w:rPr>
        <w:t xml:space="preserve"> על הסולר. גריעת ההכנסה </w:t>
      </w:r>
      <w:r w:rsidRPr="00936D22">
        <w:rPr>
          <w:rFonts w:hint="cs"/>
          <w:rtl/>
        </w:rPr>
        <w:t>ת</w:t>
      </w:r>
      <w:r w:rsidRPr="00936D22">
        <w:rPr>
          <w:rtl/>
        </w:rPr>
        <w:t>משיך להיות משמעותי</w:t>
      </w:r>
      <w:r w:rsidRPr="00936D22">
        <w:rPr>
          <w:rFonts w:hint="cs"/>
          <w:rtl/>
        </w:rPr>
        <w:t>ת</w:t>
      </w:r>
      <w:r w:rsidRPr="00936D22">
        <w:rPr>
          <w:rtl/>
        </w:rPr>
        <w:t xml:space="preserve"> שכן המתווה לביטול </w:t>
      </w:r>
      <w:r w:rsidRPr="00936D22">
        <w:rPr>
          <w:rtl/>
        </w:rPr>
        <w:t>ההישבונים</w:t>
      </w:r>
      <w:r w:rsidRPr="00936D22">
        <w:rPr>
          <w:rtl/>
        </w:rPr>
        <w:t xml:space="preserve"> לא חל למשל על סולר למפעלי תעשייה, ציוד הנדסי, טרקטורים ורכבי עבודה </w:t>
      </w:r>
      <w:r w:rsidRPr="00936D22">
        <w:rPr>
          <w:rFonts w:hint="cs"/>
          <w:rtl/>
        </w:rPr>
        <w:t>שמשקלם הוא יותר</w:t>
      </w:r>
      <w:r w:rsidRPr="00936D22">
        <w:rPr>
          <w:rtl/>
        </w:rPr>
        <w:t xml:space="preserve"> </w:t>
      </w:r>
      <w:r w:rsidRPr="00936D22">
        <w:rPr>
          <w:rFonts w:hint="cs"/>
          <w:rtl/>
        </w:rPr>
        <w:t>מ</w:t>
      </w:r>
      <w:r w:rsidRPr="00936D22">
        <w:rPr>
          <w:rtl/>
        </w:rPr>
        <w:t>-4.5 טו</w:t>
      </w:r>
      <w:r w:rsidRPr="00936D22">
        <w:rPr>
          <w:rFonts w:hint="cs"/>
          <w:rtl/>
        </w:rPr>
        <w:t>נה</w:t>
      </w:r>
      <w:r w:rsidRPr="00936D22">
        <w:rPr>
          <w:rtl/>
        </w:rPr>
        <w:t xml:space="preserve">, </w:t>
      </w:r>
      <w:r w:rsidRPr="00936D22">
        <w:rPr>
          <w:rFonts w:hint="cs"/>
          <w:rtl/>
        </w:rPr>
        <w:t>ש</w:t>
      </w:r>
      <w:r w:rsidRPr="00936D22">
        <w:rPr>
          <w:rtl/>
        </w:rPr>
        <w:t>להם הישבון בלו על הסולר בשיעור ג</w:t>
      </w:r>
      <w:r w:rsidRPr="00936D22">
        <w:rPr>
          <w:rFonts w:hint="cs"/>
          <w:rtl/>
        </w:rPr>
        <w:t>דול</w:t>
      </w:r>
      <w:r w:rsidRPr="00936D22">
        <w:rPr>
          <w:rtl/>
        </w:rPr>
        <w:t xml:space="preserve"> הנע בין 45% </w:t>
      </w:r>
      <w:r w:rsidRPr="00936D22">
        <w:rPr>
          <w:rFonts w:hint="cs"/>
          <w:rtl/>
        </w:rPr>
        <w:t>ל</w:t>
      </w:r>
      <w:r w:rsidRPr="00936D22">
        <w:rPr>
          <w:rtl/>
        </w:rPr>
        <w:t>-69%.</w:t>
      </w:r>
    </w:p>
    <w:p w:rsidR="008432DF" w:rsidRPr="00936D22" w:rsidP="008432DF" w14:paraId="37A4851C" w14:textId="77777777">
      <w:pPr>
        <w:pStyle w:val="7316"/>
        <w:numPr>
          <w:ilvl w:val="0"/>
          <w:numId w:val="68"/>
        </w:numPr>
      </w:pPr>
      <w:r w:rsidRPr="00B54233">
        <w:rPr>
          <w:rStyle w:val="7372"/>
          <w:rtl/>
        </w:rPr>
        <w:t>פחם</w:t>
      </w:r>
      <w:r w:rsidRPr="00B54233">
        <w:rPr>
          <w:rStyle w:val="7372"/>
          <w:rFonts w:hint="cs"/>
          <w:rtl/>
        </w:rPr>
        <w:t xml:space="preserve"> </w:t>
      </w:r>
      <w:r w:rsidRPr="00B54233">
        <w:rPr>
          <w:rStyle w:val="7372"/>
          <w:rtl/>
        </w:rPr>
        <w:t>-</w:t>
      </w:r>
      <w:r w:rsidRPr="00936D22">
        <w:rPr>
          <w:rFonts w:hint="cs"/>
          <w:rtl/>
        </w:rPr>
        <w:t xml:space="preserve"> ביטול הבלו על הפחם </w:t>
      </w:r>
      <w:r w:rsidRPr="00936D22">
        <w:rPr>
          <w:rtl/>
        </w:rPr>
        <w:t>הביא לגריעת הכנסה של 800 מיליון ש"ח מקופת המדינה ב</w:t>
      </w:r>
      <w:r w:rsidRPr="00936D22">
        <w:rPr>
          <w:rFonts w:hint="cs"/>
          <w:rtl/>
        </w:rPr>
        <w:t>חודשים</w:t>
      </w:r>
      <w:r w:rsidRPr="00936D22">
        <w:rPr>
          <w:rtl/>
        </w:rPr>
        <w:t xml:space="preserve"> פברואר 2022 עד מאי 2023</w:t>
      </w:r>
      <w:r w:rsidRPr="00936D22">
        <w:rPr>
          <w:rFonts w:hint="cs"/>
          <w:rtl/>
        </w:rPr>
        <w:t>.</w:t>
      </w:r>
    </w:p>
    <w:p w:rsidR="008432DF" w:rsidP="008432DF" w14:paraId="289162A0" w14:textId="2A598B98">
      <w:pPr>
        <w:pStyle w:val="7316"/>
        <w:numPr>
          <w:ilvl w:val="0"/>
          <w:numId w:val="68"/>
        </w:numPr>
      </w:pPr>
      <w:r w:rsidRPr="00B54233">
        <w:rPr>
          <w:rStyle w:val="7372"/>
          <w:rtl/>
        </w:rPr>
        <w:t>בנזין</w:t>
      </w:r>
      <w:r w:rsidRPr="00B54233">
        <w:rPr>
          <w:rStyle w:val="7372"/>
          <w:rFonts w:hint="cs"/>
          <w:rtl/>
        </w:rPr>
        <w:t xml:space="preserve"> </w:t>
      </w:r>
      <w:r w:rsidRPr="00B54233">
        <w:rPr>
          <w:rStyle w:val="7372"/>
          <w:rtl/>
        </w:rPr>
        <w:t xml:space="preserve">- </w:t>
      </w:r>
      <w:r w:rsidRPr="00936D22">
        <w:rPr>
          <w:rtl/>
        </w:rPr>
        <w:t>הפחתת שיעור הבלו על בנזין מאפריל 2022 עד סוף שנת 2023 הביאה לגריעת הכנסה מוערכת של 2.6 מיליארד ש"ח מקופת המדינה, כדלקמן: מאפריל עד דצמבר 2022, אובדן של 1.76 מיליארד ש"ח, ובשנת 2023 גריעת הכנסה מוערכת בכ-830 מיליון ש"ח</w:t>
      </w:r>
      <w:r>
        <w:rPr>
          <w:rFonts w:hint="cs"/>
          <w:rtl/>
        </w:rPr>
        <w:t>.</w:t>
      </w:r>
    </w:p>
    <w:p w:rsidR="008432DF" w14:paraId="484D21EE" w14:textId="77777777">
      <w:pPr>
        <w:bidi w:val="0"/>
        <w:spacing w:after="200" w:line="276" w:lineRule="auto"/>
        <w:rPr>
          <w:rFonts w:ascii="Tahoma" w:hAnsi="Tahoma" w:cs="Tahoma"/>
          <w:color w:val="0D0D0D" w:themeColor="text1" w:themeTint="F2"/>
          <w:sz w:val="18"/>
          <w:szCs w:val="18"/>
        </w:rPr>
      </w:pPr>
      <w:r>
        <w:br w:type="page"/>
      </w:r>
    </w:p>
    <w:p w:rsidR="008432DF" w:rsidP="008432DF" w14:paraId="2EE89C02" w14:textId="1DD3BC21">
      <w:pPr>
        <w:pStyle w:val="7316"/>
        <w:numPr>
          <w:ilvl w:val="0"/>
          <w:numId w:val="68"/>
        </w:numPr>
        <w:rPr>
          <w:rtl/>
        </w:rPr>
      </w:pPr>
      <w:r w:rsidRPr="00D527BD">
        <w:rPr>
          <w:noProof/>
          <w:szCs w:val="20"/>
          <w:rtl/>
        </w:rPr>
        <mc:AlternateContent>
          <mc:Choice Requires="wps">
            <w:drawing>
              <wp:anchor distT="0" distB="0" distL="114300" distR="114300" simplePos="0" relativeHeight="251703296" behindDoc="0" locked="0" layoutInCell="1" allowOverlap="1">
                <wp:simplePos x="0" y="0"/>
                <wp:positionH relativeFrom="column">
                  <wp:posOffset>87063</wp:posOffset>
                </wp:positionH>
                <wp:positionV relativeFrom="paragraph">
                  <wp:posOffset>40073</wp:posOffset>
                </wp:positionV>
                <wp:extent cx="4464995" cy="434975"/>
                <wp:effectExtent l="0" t="0" r="5715" b="0"/>
                <wp:wrapNone/>
                <wp:docPr id="543101664"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464995" cy="434975"/>
                        </a:xfrm>
                        <a:prstGeom prst="rect">
                          <a:avLst/>
                        </a:prstGeom>
                        <a:solidFill>
                          <a:srgbClr val="F05260"/>
                        </a:solidFill>
                        <a:ln w="9525">
                          <a:noFill/>
                          <a:miter lim="800000"/>
                          <a:headEnd/>
                          <a:tailEnd/>
                        </a:ln>
                      </wps:spPr>
                      <wps:txbx>
                        <w:txbxContent>
                          <w:p w:rsidR="008432DF" w:rsidRPr="005C7ABF" w:rsidP="008432DF" w14:textId="4A836ABB">
                            <w:pPr>
                              <w:pStyle w:val="7331"/>
                              <w:rPr>
                                <w:rtl/>
                              </w:rPr>
                            </w:pPr>
                            <w:r w:rsidRPr="008432DF">
                              <w:rPr>
                                <w:rtl/>
                              </w:rPr>
                              <w:t>נתוני ארגון ה-</w:t>
                            </w:r>
                            <w:r w:rsidRPr="008432DF">
                              <w:t>OECD</w:t>
                            </w:r>
                            <w:r w:rsidRPr="008432DF">
                              <w:rPr>
                                <w:rtl/>
                              </w:rPr>
                              <w:t xml:space="preserve"> על התמיכה ממשלתית בישראל בדלקים, לפי סוג דלק (במיליוני ש"ח)</w:t>
                            </w:r>
                            <w:r>
                              <w:rPr>
                                <w:rFonts w:hint="cs"/>
                                <w:rtl/>
                              </w:rPr>
                              <w:t xml:space="preserve"> </w:t>
                            </w:r>
                          </w:p>
                        </w:txbxContent>
                      </wps:txbx>
                      <wps:bodyPr rot="0" vert="horz" wrap="square" anchor="ctr"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0" type="#_x0000_t202" style="width:351.55pt;height:34.25pt;margin-top:3.15pt;margin-left:6.85pt;mso-height-percent:0;mso-height-relative:margin;mso-width-percent:0;mso-width-relative:margin;mso-wrap-distance-bottom:0;mso-wrap-distance-left:9pt;mso-wrap-distance-right:9pt;mso-wrap-distance-top:0;mso-wrap-style:square;position:absolute;visibility:visible;v-text-anchor:middle;z-index:251704320" fillcolor="#f05260" stroked="f">
                <v:textbox>
                  <w:txbxContent>
                    <w:p w:rsidR="008432DF" w:rsidRPr="005C7ABF" w:rsidP="008432DF" w14:paraId="2B09B81B" w14:textId="4A836ABB">
                      <w:pPr>
                        <w:pStyle w:val="7331"/>
                        <w:rPr>
                          <w:rtl/>
                        </w:rPr>
                      </w:pPr>
                      <w:r w:rsidRPr="008432DF">
                        <w:rPr>
                          <w:rtl/>
                        </w:rPr>
                        <w:t>נתוני ארגון ה-</w:t>
                      </w:r>
                      <w:r w:rsidRPr="008432DF">
                        <w:t>OECD</w:t>
                      </w:r>
                      <w:r w:rsidRPr="008432DF">
                        <w:rPr>
                          <w:rtl/>
                        </w:rPr>
                        <w:t xml:space="preserve"> על התמיכה ממשלתית בישראל בדלקים, לפי סוג דלק (במיליוני ש"ח)</w:t>
                      </w:r>
                      <w:r>
                        <w:rPr>
                          <w:rFonts w:hint="cs"/>
                          <w:rtl/>
                        </w:rPr>
                        <w:t xml:space="preserve"> </w:t>
                      </w:r>
                    </w:p>
                  </w:txbxContent>
                </v:textbox>
              </v:shape>
            </w:pict>
          </mc:Fallback>
        </mc:AlternateContent>
      </w:r>
      <w:r w:rsidRPr="00D527BD">
        <w:rPr>
          <w:noProof/>
          <w:szCs w:val="20"/>
          <w:rtl/>
        </w:rPr>
        <w:drawing>
          <wp:anchor distT="0" distB="0" distL="114300" distR="114300" simplePos="0" relativeHeight="251702272" behindDoc="0" locked="0" layoutInCell="1" allowOverlap="1">
            <wp:simplePos x="0" y="0"/>
            <wp:positionH relativeFrom="column">
              <wp:posOffset>-49125</wp:posOffset>
            </wp:positionH>
            <wp:positionV relativeFrom="paragraph">
              <wp:posOffset>-47476</wp:posOffset>
            </wp:positionV>
            <wp:extent cx="4723009" cy="761950"/>
            <wp:effectExtent l="0" t="0" r="0" b="0"/>
            <wp:wrapNone/>
            <wp:docPr id="969286328" name="תמונה 969286328">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8267045" name="Picture 54">
                      <a:extLst>
                        <a:ext xmlns:a="http://schemas.openxmlformats.org/drawingml/2006/main" uri="{C183D7F6-B498-43B3-948B-1728B52AA6E4}">
                          <adec:decorative xmlns:adec="http://schemas.microsoft.com/office/drawing/2017/decorative" val="1"/>
                        </a:ext>
                      </a:extLst>
                    </pic:cNvPr>
                    <pic:cNvPicPr>
                      <a:picLocks noChangeAspect="1"/>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a:xfrm>
                      <a:off x="0" y="0"/>
                      <a:ext cx="4752115" cy="766646"/>
                    </a:xfrm>
                    <a:prstGeom prst="rect">
                      <a:avLst/>
                    </a:prstGeom>
                  </pic:spPr>
                </pic:pic>
              </a:graphicData>
            </a:graphic>
            <wp14:sizeRelH relativeFrom="margin">
              <wp14:pctWidth>0</wp14:pctWidth>
            </wp14:sizeRelH>
            <wp14:sizeRelV relativeFrom="margin">
              <wp14:pctHeight>0</wp14:pctHeight>
            </wp14:sizeRelV>
          </wp:anchor>
        </w:drawing>
      </w:r>
      <w:r>
        <w:rPr>
          <w:rtl/>
        </w:rPr>
        <w:t xml:space="preserve"> </w:t>
      </w:r>
    </w:p>
    <w:p w:rsidR="008432DF" w:rsidP="008432DF" w14:paraId="2CB5B50C" w14:textId="77777777">
      <w:pPr>
        <w:pStyle w:val="7316"/>
        <w:numPr>
          <w:ilvl w:val="0"/>
          <w:numId w:val="68"/>
        </w:numPr>
        <w:rPr>
          <w:rtl/>
        </w:rPr>
      </w:pPr>
    </w:p>
    <w:p w:rsidR="008432DF" w:rsidRPr="008432DF" w:rsidP="008432DF" w14:paraId="63DBF4CC" w14:textId="62BF435F">
      <w:pPr>
        <w:spacing w:before="480"/>
        <w:jc w:val="center"/>
        <w:rPr>
          <w:rtl/>
        </w:rPr>
      </w:pPr>
      <w:r>
        <w:rPr>
          <w:noProof/>
          <w:rtl/>
          <w:lang w:val="he-IL"/>
        </w:rPr>
        <w:drawing>
          <wp:inline distT="0" distB="0" distL="0" distR="0">
            <wp:extent cx="4506552" cy="3566160"/>
            <wp:effectExtent l="0" t="0" r="0" b="0"/>
            <wp:docPr id="1695930884"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356189" name="תמונה 1"/>
                    <pic:cNvPicPr/>
                  </pic:nvPicPr>
                  <pic:blipFill>
                    <a:blip xmlns:r="http://schemas.openxmlformats.org/officeDocument/2006/relationships" r:embed="rId23">
                      <a:extLst>
                        <a:ext xmlns:a="http://schemas.openxmlformats.org/drawingml/2006/main" uri="{28A0092B-C50C-407E-A947-70E740481C1C}">
                          <a14:useLocalDpi xmlns:a14="http://schemas.microsoft.com/office/drawing/2010/main" val="0"/>
                        </a:ext>
                      </a:extLst>
                    </a:blip>
                    <a:stretch>
                      <a:fillRect/>
                    </a:stretch>
                  </pic:blipFill>
                  <pic:spPr>
                    <a:xfrm>
                      <a:off x="0" y="0"/>
                      <a:ext cx="4518965" cy="3575982"/>
                    </a:xfrm>
                    <a:prstGeom prst="rect">
                      <a:avLst/>
                    </a:prstGeom>
                  </pic:spPr>
                </pic:pic>
              </a:graphicData>
            </a:graphic>
          </wp:inline>
        </w:drawing>
      </w:r>
    </w:p>
    <w:p w:rsidR="008432DF" w:rsidRPr="00936D22" w:rsidP="008432DF" w14:paraId="2E7CB022" w14:textId="77777777">
      <w:pPr>
        <w:pStyle w:val="73512"/>
        <w:rPr>
          <w:rStyle w:val="7372"/>
          <w:bCs/>
          <w:color w:val="00305F"/>
          <w:sz w:val="24"/>
          <w:szCs w:val="24"/>
        </w:rPr>
      </w:pPr>
      <w:r w:rsidRPr="00936D22">
        <w:rPr>
          <w:rStyle w:val="7372"/>
          <w:bCs/>
          <w:color w:val="00305F"/>
          <w:sz w:val="24"/>
          <w:szCs w:val="24"/>
          <w:rtl/>
        </w:rPr>
        <w:t>חדשנות ומו"פ אקלים-טק</w:t>
      </w:r>
    </w:p>
    <w:p w:rsidR="00D627E0" w:rsidP="00D627E0" w14:paraId="605D0028" w14:textId="186D9E8E">
      <w:pPr>
        <w:pStyle w:val="7316"/>
        <w:rPr>
          <w:rtl/>
        </w:rPr>
      </w:pPr>
      <w:r w:rsidRPr="0063556C">
        <w:rPr>
          <w:rStyle w:val="7372"/>
          <w:rFonts w:hint="cs"/>
          <w:noProof/>
          <w:rtl/>
        </w:rPr>
        <w:drawing>
          <wp:anchor distT="0" distB="0" distL="114300" distR="114300" simplePos="0" relativeHeight="251701248" behindDoc="1" locked="0" layoutInCell="1" allowOverlap="1">
            <wp:simplePos x="0" y="0"/>
            <wp:positionH relativeFrom="column">
              <wp:posOffset>4556955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340621426" name="תמונה 340621426">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7590423"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B54233" w:rsidR="008432DF">
        <w:rPr>
          <w:rStyle w:val="7372"/>
          <w:rtl/>
        </w:rPr>
        <w:t xml:space="preserve">השקעות לשכת המדען הראשי </w:t>
      </w:r>
      <w:r w:rsidRPr="00B54233" w:rsidR="008432DF">
        <w:rPr>
          <w:rStyle w:val="7372"/>
          <w:rFonts w:hint="cs"/>
          <w:rtl/>
        </w:rPr>
        <w:t>ב</w:t>
      </w:r>
      <w:r w:rsidRPr="00B54233" w:rsidR="008432DF">
        <w:rPr>
          <w:rStyle w:val="7372"/>
          <w:rtl/>
        </w:rPr>
        <w:t xml:space="preserve">משרד </w:t>
      </w:r>
      <w:r w:rsidRPr="00B54233" w:rsidR="008432DF">
        <w:rPr>
          <w:rStyle w:val="7372"/>
          <w:rtl/>
        </w:rPr>
        <w:t>האנרגייה</w:t>
      </w:r>
      <w:r w:rsidRPr="00B54233" w:rsidR="008432DF">
        <w:rPr>
          <w:rStyle w:val="7372"/>
          <w:rtl/>
        </w:rPr>
        <w:t xml:space="preserve"> בחדשנות</w:t>
      </w:r>
      <w:r w:rsidRPr="00B54233" w:rsidR="008432DF">
        <w:rPr>
          <w:rStyle w:val="7372"/>
          <w:rFonts w:hint="cs"/>
          <w:rtl/>
        </w:rPr>
        <w:t xml:space="preserve"> </w:t>
      </w:r>
      <w:r w:rsidRPr="00B54233" w:rsidR="008432DF">
        <w:rPr>
          <w:rStyle w:val="7372"/>
          <w:rtl/>
        </w:rPr>
        <w:t>-</w:t>
      </w:r>
      <w:r w:rsidRPr="00936D22" w:rsidR="008432DF">
        <w:rPr>
          <w:rFonts w:hint="cs"/>
          <w:rtl/>
        </w:rPr>
        <w:t xml:space="preserve"> </w:t>
      </w:r>
      <w:bookmarkStart w:id="2" w:name="_Hlk140578154"/>
      <w:r w:rsidRPr="00936D22" w:rsidR="008432DF">
        <w:rPr>
          <w:rFonts w:hint="cs"/>
          <w:rtl/>
        </w:rPr>
        <w:t xml:space="preserve">ביקורת המעקב העלתה כי </w:t>
      </w:r>
      <w:bookmarkEnd w:id="2"/>
      <w:r w:rsidRPr="00936D22" w:rsidR="008432DF">
        <w:rPr>
          <w:rFonts w:hint="cs"/>
          <w:rtl/>
        </w:rPr>
        <w:t>בשנת</w:t>
      </w:r>
      <w:r w:rsidRPr="00936D22" w:rsidR="008432DF">
        <w:rPr>
          <w:rtl/>
        </w:rPr>
        <w:t xml:space="preserve"> 2023 חלה ירידה בתקציבים התוספתיים לעומת השנים 2021 ו-2022 מכ-99.5 מיליון ש"ח ל-61.5 מיליון ש"ח </w:t>
      </w:r>
      <w:r w:rsidRPr="00936D22" w:rsidR="00B77448">
        <w:rPr>
          <w:rtl/>
        </w:rPr>
        <w:t>(ירידה של כ-38%</w:t>
      </w:r>
      <w:r w:rsidR="00B77448">
        <w:rPr>
          <w:rFonts w:hint="cs"/>
          <w:rtl/>
        </w:rPr>
        <w:t xml:space="preserve"> ביחס לשנת 2022)</w:t>
      </w:r>
      <w:r w:rsidRPr="00936D22" w:rsidR="00B77448">
        <w:rPr>
          <w:rtl/>
        </w:rPr>
        <w:t>,</w:t>
      </w:r>
      <w:r w:rsidRPr="00936D22" w:rsidR="008432DF">
        <w:rPr>
          <w:rFonts w:hint="cs"/>
          <w:rtl/>
        </w:rPr>
        <w:t xml:space="preserve"> </w:t>
      </w:r>
      <w:r w:rsidRPr="00936D22" w:rsidR="008432DF">
        <w:rPr>
          <w:rtl/>
        </w:rPr>
        <w:t xml:space="preserve">שהביאה לכך שפרויקטים חדשים שאותם תכננה לשכת המדען הראשי לקדם, לא קיבלו תקציב. </w:t>
      </w:r>
      <w:r w:rsidR="009312D7">
        <w:rPr>
          <w:rtl/>
        </w:rPr>
        <w:br/>
      </w:r>
      <w:r w:rsidRPr="00936D22" w:rsidR="008432DF">
        <w:rPr>
          <w:rtl/>
        </w:rPr>
        <w:t>אי</w:t>
      </w:r>
      <w:r w:rsidRPr="00936D22" w:rsidR="008432DF">
        <w:rPr>
          <w:rFonts w:hint="cs"/>
          <w:rtl/>
        </w:rPr>
        <w:t>-</w:t>
      </w:r>
      <w:r w:rsidRPr="00936D22" w:rsidR="008432DF">
        <w:rPr>
          <w:rtl/>
        </w:rPr>
        <w:t xml:space="preserve">קיומה של תוכנית תקציבית ארוכת טווח המייצרת ודאות למשק עלולה להוביל לבלימת המחקר והפיתוח של טכנולוגיות חיוניות בתחום </w:t>
      </w:r>
      <w:r w:rsidRPr="00936D22" w:rsidR="008432DF">
        <w:rPr>
          <w:rtl/>
        </w:rPr>
        <w:t>האנרגייה</w:t>
      </w:r>
      <w:r w:rsidRPr="00936D22" w:rsidR="008432DF">
        <w:rPr>
          <w:rtl/>
        </w:rPr>
        <w:t xml:space="preserve"> והחשמל. הדבר פוגע מהותית בקידום הפרויקטים, עלול להביא לאובדן הזדמנויות </w:t>
      </w:r>
      <w:r w:rsidRPr="00936D22" w:rsidR="008432DF">
        <w:rPr>
          <w:rtl/>
        </w:rPr>
        <w:t>ול"בריחת</w:t>
      </w:r>
      <w:r w:rsidRPr="00936D22" w:rsidR="008432DF">
        <w:rPr>
          <w:rtl/>
        </w:rPr>
        <w:t xml:space="preserve"> משקיעים" ויזמים ישראלים מישראל </w:t>
      </w:r>
      <w:r w:rsidRPr="00936D22" w:rsidR="008432DF">
        <w:rPr>
          <w:rFonts w:hint="cs"/>
          <w:rtl/>
        </w:rPr>
        <w:t>ו</w:t>
      </w:r>
      <w:r w:rsidRPr="00936D22" w:rsidR="008432DF">
        <w:rPr>
          <w:rtl/>
        </w:rPr>
        <w:t>מהווה איתות שלילי ונסיגה דה-פקטו של מדינת ישראל מהצהרותיה בהחלטות הממשלה בנושא האקלים-טק שקיבלו ביטוי בין היתר בוועידות האקלים העולמי</w:t>
      </w:r>
      <w:r w:rsidRPr="00936D22" w:rsidR="008432DF">
        <w:rPr>
          <w:rFonts w:hint="cs"/>
          <w:rtl/>
        </w:rPr>
        <w:t>ו</w:t>
      </w:r>
      <w:r w:rsidRPr="00936D22" w:rsidR="008432DF">
        <w:rPr>
          <w:rtl/>
        </w:rPr>
        <w:t>ת שהתקיימו בגלזגו ובשארם</w:t>
      </w:r>
      <w:r w:rsidRPr="00936D22" w:rsidR="008432DF">
        <w:rPr>
          <w:rFonts w:hint="cs"/>
          <w:rtl/>
        </w:rPr>
        <w:t xml:space="preserve"> </w:t>
      </w:r>
      <w:r w:rsidRPr="00936D22" w:rsidR="008432DF">
        <w:rPr>
          <w:rtl/>
        </w:rPr>
        <w:t>א</w:t>
      </w:r>
      <w:r w:rsidRPr="00936D22" w:rsidR="008432DF">
        <w:rPr>
          <w:rFonts w:hint="cs"/>
          <w:rtl/>
        </w:rPr>
        <w:t>-</w:t>
      </w:r>
      <w:r w:rsidRPr="00936D22" w:rsidR="008432DF">
        <w:rPr>
          <w:rtl/>
        </w:rPr>
        <w:t>שייח</w:t>
      </w:r>
      <w:r w:rsidRPr="00936D22" w:rsidR="008432DF">
        <w:rPr>
          <w:rFonts w:hint="cs"/>
          <w:rtl/>
        </w:rPr>
        <w:t>'</w:t>
      </w:r>
      <w:r w:rsidRPr="00936D22" w:rsidR="008432DF">
        <w:rPr>
          <w:rtl/>
        </w:rPr>
        <w:t xml:space="preserve"> בשנים האחרונות.</w:t>
      </w:r>
      <w:r w:rsidRPr="00936D22" w:rsidR="008432DF">
        <w:rPr>
          <w:rFonts w:hint="cs"/>
          <w:rtl/>
        </w:rPr>
        <w:t xml:space="preserve"> </w:t>
      </w:r>
      <w:r w:rsidRPr="009312D7" w:rsidR="009312D7">
        <w:rPr>
          <w:rtl/>
        </w:rPr>
        <w:t xml:space="preserve">כאמור, עולה קושי מהותי בעצם התניית תקציבים לקידום חדשנות בסקטור </w:t>
      </w:r>
      <w:r w:rsidRPr="009312D7" w:rsidR="009312D7">
        <w:rPr>
          <w:rtl/>
        </w:rPr>
        <w:t>האנרגייה</w:t>
      </w:r>
      <w:r w:rsidRPr="009312D7" w:rsidR="009312D7">
        <w:rPr>
          <w:rtl/>
        </w:rPr>
        <w:t xml:space="preserve"> וייצור החשמל ביישום החלטת הממשלה 286 בעניין מס פחמן ובתקבולים שיתקבלו בקשר לכך</w:t>
      </w:r>
      <w:r w:rsidRPr="00AF3B73">
        <w:rPr>
          <w:rFonts w:hint="cs"/>
          <w:rtl/>
        </w:rPr>
        <w:t xml:space="preserve">. </w:t>
      </w:r>
    </w:p>
    <w:p w:rsidR="008432DF" w:rsidP="008432DF" w14:paraId="3CE888E3" w14:textId="517ABB88">
      <w:pPr>
        <w:pStyle w:val="7316"/>
        <w:rPr>
          <w:rtl/>
        </w:rPr>
      </w:pPr>
      <w:r w:rsidRPr="008914DD">
        <w:rPr>
          <w:rStyle w:val="7372"/>
          <w:noProof/>
          <w:rtl/>
        </w:rPr>
        <w:drawing>
          <wp:anchor distT="0" distB="0" distL="114300" distR="114300" simplePos="0" relativeHeight="251711488" behindDoc="0" locked="0" layoutInCell="1" allowOverlap="1">
            <wp:simplePos x="0" y="0"/>
            <wp:positionH relativeFrom="column">
              <wp:posOffset>-58420</wp:posOffset>
            </wp:positionH>
            <wp:positionV relativeFrom="paragraph">
              <wp:posOffset>2216150</wp:posOffset>
            </wp:positionV>
            <wp:extent cx="4610910" cy="762000"/>
            <wp:effectExtent l="0" t="0" r="0" b="0"/>
            <wp:wrapNone/>
            <wp:docPr id="1671224275" name="תמונה 1671224275">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770719" name="Picture 54">
                      <a:extLst>
                        <a:ext xmlns:a="http://schemas.openxmlformats.org/drawingml/2006/main" uri="{C183D7F6-B498-43B3-948B-1728B52AA6E4}">
                          <adec:decorative xmlns:adec="http://schemas.microsoft.com/office/drawing/2017/decorative" val="1"/>
                        </a:ext>
                      </a:extLst>
                    </pic:cNvPr>
                    <pic:cNvPicPr>
                      <a:picLocks noChangeAspect="1"/>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a:xfrm>
                      <a:off x="0" y="0"/>
                      <a:ext cx="4610910" cy="762000"/>
                    </a:xfrm>
                    <a:prstGeom prst="rect">
                      <a:avLst/>
                    </a:prstGeom>
                  </pic:spPr>
                </pic:pic>
              </a:graphicData>
            </a:graphic>
            <wp14:sizeRelH relativeFrom="margin">
              <wp14:pctWidth>0</wp14:pctWidth>
            </wp14:sizeRelH>
            <wp14:sizeRelV relativeFrom="margin">
              <wp14:pctHeight>0</wp14:pctHeight>
            </wp14:sizeRelV>
          </wp:anchor>
        </w:drawing>
      </w:r>
      <w:r w:rsidRPr="0063556C">
        <w:rPr>
          <w:rStyle w:val="7372"/>
          <w:rFonts w:hint="cs"/>
          <w:noProof/>
          <w:rtl/>
        </w:rPr>
        <w:drawing>
          <wp:anchor distT="0" distB="0" distL="114300" distR="114300" simplePos="0" relativeHeight="251705344" behindDoc="1" locked="0" layoutInCell="1" allowOverlap="1">
            <wp:simplePos x="0" y="0"/>
            <wp:positionH relativeFrom="column">
              <wp:posOffset>4556955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75169671" name="תמונה 75169671">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132409"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8914DD">
        <w:rPr>
          <w:rStyle w:val="7372"/>
          <w:rtl/>
        </w:rPr>
        <w:t xml:space="preserve">השקעות </w:t>
      </w:r>
      <w:r w:rsidRPr="008914DD">
        <w:rPr>
          <w:rStyle w:val="7372"/>
          <w:rFonts w:hint="eastAsia"/>
          <w:rtl/>
        </w:rPr>
        <w:t>רשות</w:t>
      </w:r>
      <w:r w:rsidRPr="008914DD">
        <w:rPr>
          <w:rStyle w:val="7372"/>
          <w:rtl/>
        </w:rPr>
        <w:t xml:space="preserve"> </w:t>
      </w:r>
      <w:r w:rsidRPr="008914DD">
        <w:rPr>
          <w:rStyle w:val="7372"/>
          <w:rFonts w:hint="eastAsia"/>
          <w:rtl/>
        </w:rPr>
        <w:t>החדשנות</w:t>
      </w:r>
      <w:r w:rsidRPr="008914DD">
        <w:rPr>
          <w:rStyle w:val="7372"/>
          <w:rtl/>
        </w:rPr>
        <w:t xml:space="preserve"> בתחום האקלים-טק</w:t>
      </w:r>
      <w:r w:rsidRPr="008914DD">
        <w:rPr>
          <w:rStyle w:val="7372"/>
          <w:rFonts w:hint="cs"/>
          <w:rtl/>
        </w:rPr>
        <w:t xml:space="preserve"> - </w:t>
      </w:r>
      <w:r w:rsidRPr="00936D22">
        <w:rPr>
          <w:rFonts w:hint="cs"/>
          <w:rtl/>
        </w:rPr>
        <w:t xml:space="preserve">ביקורת המעקב העלתה כי </w:t>
      </w:r>
      <w:r w:rsidRPr="00936D22">
        <w:rPr>
          <w:rtl/>
        </w:rPr>
        <w:t xml:space="preserve">מדינת ישראל אינה מממשת את החלטות </w:t>
      </w:r>
      <w:r w:rsidRPr="00936D22">
        <w:rPr>
          <w:rFonts w:hint="cs"/>
          <w:rtl/>
        </w:rPr>
        <w:t>ה</w:t>
      </w:r>
      <w:r w:rsidRPr="00936D22">
        <w:rPr>
          <w:rtl/>
        </w:rPr>
        <w:t xml:space="preserve">ממשלה בתחום האקלים-טק: השקעות רשות החדשנות בתחומי </w:t>
      </w:r>
      <w:r w:rsidRPr="00936D22">
        <w:rPr>
          <w:rtl/>
        </w:rPr>
        <w:t>האנרגייה</w:t>
      </w:r>
      <w:r w:rsidRPr="00936D22">
        <w:rPr>
          <w:rFonts w:hint="cs"/>
          <w:rtl/>
        </w:rPr>
        <w:t xml:space="preserve"> נמוכות יחסית</w:t>
      </w:r>
      <w:r w:rsidRPr="00936D22">
        <w:rPr>
          <w:rtl/>
        </w:rPr>
        <w:t xml:space="preserve"> - 39 מ</w:t>
      </w:r>
      <w:r w:rsidRPr="00936D22">
        <w:rPr>
          <w:rFonts w:hint="cs"/>
          <w:rtl/>
        </w:rPr>
        <w:t xml:space="preserve">יליון </w:t>
      </w:r>
      <w:r w:rsidRPr="00936D22">
        <w:rPr>
          <w:rtl/>
        </w:rPr>
        <w:t>ש"ח בשנת 2021, ו-</w:t>
      </w:r>
      <w:r w:rsidRPr="00936D22">
        <w:rPr>
          <w:rFonts w:hint="cs"/>
          <w:rtl/>
        </w:rPr>
        <w:t>96</w:t>
      </w:r>
      <w:r w:rsidRPr="00936D22">
        <w:rPr>
          <w:rtl/>
        </w:rPr>
        <w:t xml:space="preserve"> מ</w:t>
      </w:r>
      <w:r w:rsidRPr="00936D22">
        <w:rPr>
          <w:rFonts w:hint="cs"/>
          <w:rtl/>
        </w:rPr>
        <w:t xml:space="preserve">יליון </w:t>
      </w:r>
      <w:r w:rsidRPr="00936D22">
        <w:rPr>
          <w:rtl/>
        </w:rPr>
        <w:t>ש"ח בשנת 2022</w:t>
      </w:r>
      <w:r w:rsidRPr="00936D22">
        <w:rPr>
          <w:rFonts w:hint="cs"/>
          <w:rtl/>
        </w:rPr>
        <w:t xml:space="preserve"> </w:t>
      </w:r>
      <w:r w:rsidRPr="00936D22">
        <w:rPr>
          <w:rtl/>
        </w:rPr>
        <w:t xml:space="preserve">(לעומת </w:t>
      </w:r>
      <w:r w:rsidRPr="00936D22">
        <w:rPr>
          <w:rFonts w:hint="cs"/>
          <w:rtl/>
        </w:rPr>
        <w:t>תחומי ה</w:t>
      </w:r>
      <w:r w:rsidRPr="00936D22">
        <w:rPr>
          <w:rtl/>
        </w:rPr>
        <w:t>חקלאות ו</w:t>
      </w:r>
      <w:r w:rsidRPr="00936D22">
        <w:rPr>
          <w:rFonts w:hint="cs"/>
          <w:rtl/>
        </w:rPr>
        <w:t>ה</w:t>
      </w:r>
      <w:r w:rsidRPr="00936D22">
        <w:rPr>
          <w:rtl/>
        </w:rPr>
        <w:t>מזון</w:t>
      </w:r>
      <w:r w:rsidRPr="00936D22">
        <w:rPr>
          <w:rFonts w:hint="cs"/>
          <w:rtl/>
        </w:rPr>
        <w:t>,</w:t>
      </w:r>
      <w:r w:rsidRPr="00936D22">
        <w:rPr>
          <w:rtl/>
        </w:rPr>
        <w:t xml:space="preserve"> שם הושקעו 139 מ</w:t>
      </w:r>
      <w:r w:rsidRPr="00936D22">
        <w:rPr>
          <w:rFonts w:hint="cs"/>
          <w:rtl/>
        </w:rPr>
        <w:t xml:space="preserve">יליון </w:t>
      </w:r>
      <w:r w:rsidRPr="00936D22">
        <w:rPr>
          <w:rtl/>
        </w:rPr>
        <w:t>ש"ח בשנת 2021 ו-104 מ</w:t>
      </w:r>
      <w:r w:rsidRPr="00936D22">
        <w:rPr>
          <w:rFonts w:hint="cs"/>
          <w:rtl/>
        </w:rPr>
        <w:t xml:space="preserve">יליון </w:t>
      </w:r>
      <w:r w:rsidRPr="00936D22">
        <w:rPr>
          <w:rtl/>
        </w:rPr>
        <w:t>ש"ח בשנת 2022)</w:t>
      </w:r>
      <w:r w:rsidRPr="00936D22">
        <w:rPr>
          <w:rFonts w:hint="cs"/>
          <w:rtl/>
        </w:rPr>
        <w:t>, זאת מתוך כ-1.7 מיליארד ש"ח השקעות הרשות בשנת 2022 (שיעור של 5.7%).</w:t>
      </w:r>
      <w:r w:rsidRPr="00936D22">
        <w:rPr>
          <w:rtl/>
        </w:rPr>
        <w:t xml:space="preserve"> </w:t>
      </w:r>
      <w:r w:rsidRPr="00936D22" w:rsidR="00B77448">
        <w:rPr>
          <w:rtl/>
        </w:rPr>
        <w:t>ההשקעה הציבורית של רשות החדשנות ב</w:t>
      </w:r>
      <w:r w:rsidRPr="00936D22" w:rsidR="00B77448">
        <w:rPr>
          <w:rFonts w:hint="cs"/>
          <w:rtl/>
        </w:rPr>
        <w:t>סקטור</w:t>
      </w:r>
      <w:r w:rsidRPr="00936D22" w:rsidR="00B77448">
        <w:rPr>
          <w:rtl/>
        </w:rPr>
        <w:t xml:space="preserve"> </w:t>
      </w:r>
      <w:r w:rsidRPr="00936D22" w:rsidR="00B77448">
        <w:rPr>
          <w:rtl/>
        </w:rPr>
        <w:t>האנרגייה</w:t>
      </w:r>
      <w:r w:rsidRPr="00936D22" w:rsidR="00B77448">
        <w:rPr>
          <w:rtl/>
        </w:rPr>
        <w:t xml:space="preserve"> (</w:t>
      </w:r>
      <w:r w:rsidRPr="00936D22" w:rsidR="00B77448">
        <w:rPr>
          <w:rFonts w:hint="cs"/>
          <w:rtl/>
        </w:rPr>
        <w:t>נוסף על</w:t>
      </w:r>
      <w:r w:rsidRPr="00936D22" w:rsidR="00B77448">
        <w:rPr>
          <w:rtl/>
        </w:rPr>
        <w:t xml:space="preserve"> </w:t>
      </w:r>
      <w:r w:rsidRPr="00936D22" w:rsidR="00B77448">
        <w:rPr>
          <w:rFonts w:hint="cs"/>
          <w:rtl/>
        </w:rPr>
        <w:t>ה</w:t>
      </w:r>
      <w:r w:rsidRPr="00936D22" w:rsidR="00B77448">
        <w:rPr>
          <w:rtl/>
        </w:rPr>
        <w:t xml:space="preserve">מים, </w:t>
      </w:r>
      <w:r w:rsidRPr="00936D22" w:rsidR="00B77448">
        <w:rPr>
          <w:rFonts w:hint="cs"/>
          <w:rtl/>
        </w:rPr>
        <w:t>ה</w:t>
      </w:r>
      <w:r w:rsidRPr="00936D22" w:rsidR="00B77448">
        <w:rPr>
          <w:rtl/>
        </w:rPr>
        <w:t>סביבה ו</w:t>
      </w:r>
      <w:r w:rsidRPr="00936D22" w:rsidR="00B77448">
        <w:rPr>
          <w:rFonts w:hint="cs"/>
          <w:rtl/>
        </w:rPr>
        <w:t>ה</w:t>
      </w:r>
      <w:r w:rsidRPr="00936D22" w:rsidR="00B77448">
        <w:rPr>
          <w:rtl/>
        </w:rPr>
        <w:t xml:space="preserve">קיימות), אשר כאמור אחראי לכמעט ממחצית הפליטות בישראל, היא נמוכה בכמעט חצי לעומת ההשקעה הציבורית בתחומי </w:t>
      </w:r>
      <w:r w:rsidRPr="00936D22" w:rsidR="00B77448">
        <w:rPr>
          <w:rFonts w:hint="cs"/>
          <w:rtl/>
        </w:rPr>
        <w:t>ה</w:t>
      </w:r>
      <w:r w:rsidRPr="00936D22" w:rsidR="00B77448">
        <w:rPr>
          <w:rtl/>
        </w:rPr>
        <w:t>טכנולוגיה ב</w:t>
      </w:r>
      <w:r w:rsidRPr="00936D22" w:rsidR="00B77448">
        <w:rPr>
          <w:rFonts w:hint="cs"/>
          <w:rtl/>
        </w:rPr>
        <w:t>סקטור</w:t>
      </w:r>
      <w:r w:rsidRPr="00936D22" w:rsidR="00B77448">
        <w:rPr>
          <w:rtl/>
        </w:rPr>
        <w:t xml:space="preserve"> החקלאות (</w:t>
      </w:r>
      <w:r w:rsidRPr="00936D22" w:rsidR="00B77448">
        <w:rPr>
          <w:rFonts w:hint="cs"/>
          <w:rtl/>
        </w:rPr>
        <w:t>וה</w:t>
      </w:r>
      <w:r w:rsidRPr="00936D22" w:rsidR="00B77448">
        <w:rPr>
          <w:rtl/>
        </w:rPr>
        <w:t>מזון), שאחראי לחלק שולי מהפליטות בישראל</w:t>
      </w:r>
      <w:r w:rsidRPr="00AF3B73" w:rsidR="00B77448">
        <w:rPr>
          <w:rFonts w:hint="cs"/>
          <w:rtl/>
        </w:rPr>
        <w:t xml:space="preserve">. </w:t>
      </w:r>
      <w:r w:rsidRPr="00936D22">
        <w:rPr>
          <w:rFonts w:hint="eastAsia"/>
          <w:rtl/>
        </w:rPr>
        <w:t>היקף</w:t>
      </w:r>
      <w:r w:rsidRPr="00936D22">
        <w:rPr>
          <w:rtl/>
        </w:rPr>
        <w:t xml:space="preserve"> ההשקעות הנמוכות של רשות החדשנות </w:t>
      </w:r>
      <w:r w:rsidRPr="00936D22">
        <w:rPr>
          <w:rFonts w:hint="cs"/>
          <w:rtl/>
        </w:rPr>
        <w:t>בתחום האקלים-טק אף מודגש יותר לנוכח</w:t>
      </w:r>
      <w:r w:rsidRPr="00936D22">
        <w:rPr>
          <w:rtl/>
        </w:rPr>
        <w:t xml:space="preserve"> </w:t>
      </w:r>
      <w:r w:rsidRPr="00936D22">
        <w:rPr>
          <w:rFonts w:hint="eastAsia"/>
          <w:rtl/>
        </w:rPr>
        <w:t>ה</w:t>
      </w:r>
      <w:r w:rsidRPr="00936D22">
        <w:rPr>
          <w:rtl/>
        </w:rPr>
        <w:t xml:space="preserve">קושי לגייס השקעות פרטיות בחברות </w:t>
      </w:r>
      <w:r w:rsidRPr="00936D22">
        <w:rPr>
          <w:rFonts w:hint="cs"/>
          <w:rtl/>
        </w:rPr>
        <w:t>ה</w:t>
      </w:r>
      <w:r w:rsidRPr="00936D22">
        <w:rPr>
          <w:rtl/>
        </w:rPr>
        <w:t>היי-טק הישראלי</w:t>
      </w:r>
      <w:r w:rsidRPr="00936D22">
        <w:rPr>
          <w:rFonts w:hint="cs"/>
          <w:rtl/>
        </w:rPr>
        <w:t>ות</w:t>
      </w:r>
      <w:r w:rsidRPr="00936D22">
        <w:rPr>
          <w:rtl/>
        </w:rPr>
        <w:t xml:space="preserve"> בתחום </w:t>
      </w:r>
      <w:r w:rsidRPr="00936D22">
        <w:rPr>
          <w:rtl/>
        </w:rPr>
        <w:t>האנרגייה</w:t>
      </w:r>
      <w:r w:rsidRPr="00936D22">
        <w:rPr>
          <w:rtl/>
        </w:rPr>
        <w:t xml:space="preserve">, </w:t>
      </w:r>
      <w:r w:rsidRPr="00936D22">
        <w:rPr>
          <w:rFonts w:hint="eastAsia"/>
          <w:rtl/>
        </w:rPr>
        <w:t>שכן</w:t>
      </w:r>
      <w:r w:rsidRPr="00936D22">
        <w:rPr>
          <w:rtl/>
        </w:rPr>
        <w:t xml:space="preserve"> הן נמצאות בתחתית רשימת השקעות </w:t>
      </w:r>
      <w:r w:rsidRPr="00936D22">
        <w:rPr>
          <w:rFonts w:hint="cs"/>
          <w:rtl/>
        </w:rPr>
        <w:t>ה</w:t>
      </w:r>
      <w:r w:rsidRPr="00936D22">
        <w:rPr>
          <w:rtl/>
        </w:rPr>
        <w:t xml:space="preserve">הון </w:t>
      </w:r>
      <w:r w:rsidRPr="00936D22">
        <w:rPr>
          <w:rFonts w:hint="cs"/>
          <w:rtl/>
        </w:rPr>
        <w:t>ה</w:t>
      </w:r>
      <w:r w:rsidRPr="00936D22">
        <w:rPr>
          <w:rtl/>
        </w:rPr>
        <w:t xml:space="preserve">פרטיות בישראל </w:t>
      </w:r>
      <w:r w:rsidRPr="00936D22">
        <w:rPr>
          <w:rFonts w:hint="cs"/>
          <w:rtl/>
        </w:rPr>
        <w:t>- עם</w:t>
      </w:r>
      <w:r w:rsidRPr="00936D22">
        <w:rPr>
          <w:rtl/>
        </w:rPr>
        <w:t xml:space="preserve"> כ-0.4% </w:t>
      </w:r>
      <w:r w:rsidRPr="00936D22">
        <w:rPr>
          <w:rFonts w:hint="eastAsia"/>
          <w:rtl/>
        </w:rPr>
        <w:t>בלבד</w:t>
      </w:r>
      <w:r w:rsidRPr="00936D22">
        <w:rPr>
          <w:rtl/>
        </w:rPr>
        <w:t xml:space="preserve"> מכלל ההון הפרטי שהושקע בישראל - מקום שלישי מהסוף. מציאות זו תקשה </w:t>
      </w:r>
      <w:r w:rsidRPr="00936D22">
        <w:rPr>
          <w:rFonts w:hint="cs"/>
          <w:rtl/>
        </w:rPr>
        <w:t>את</w:t>
      </w:r>
      <w:r w:rsidRPr="00936D22">
        <w:rPr>
          <w:rtl/>
        </w:rPr>
        <w:t xml:space="preserve"> פיתוח שוק האקלים-טק בישראל</w:t>
      </w:r>
      <w:r w:rsidRPr="00AF3B73">
        <w:rPr>
          <w:rFonts w:hint="cs"/>
          <w:rtl/>
        </w:rPr>
        <w:t xml:space="preserve">. </w:t>
      </w:r>
    </w:p>
    <w:p w:rsidR="008432DF" w:rsidP="008432DF" w14:paraId="44B80CEC" w14:textId="138EE548">
      <w:pPr>
        <w:pStyle w:val="7316"/>
        <w:rPr>
          <w:rtl/>
        </w:rPr>
      </w:pPr>
      <w:r w:rsidRPr="00D527BD">
        <w:rPr>
          <w:noProof/>
          <w:szCs w:val="20"/>
          <w:rtl/>
        </w:rPr>
        <mc:AlternateContent>
          <mc:Choice Requires="wps">
            <w:drawing>
              <wp:anchor distT="0" distB="0" distL="114300" distR="114300" simplePos="0" relativeHeight="251712512" behindDoc="0" locked="0" layoutInCell="1" allowOverlap="1">
                <wp:simplePos x="0" y="0"/>
                <wp:positionH relativeFrom="column">
                  <wp:posOffset>87064</wp:posOffset>
                </wp:positionH>
                <wp:positionV relativeFrom="paragraph">
                  <wp:posOffset>48719</wp:posOffset>
                </wp:positionV>
                <wp:extent cx="4319080" cy="435128"/>
                <wp:effectExtent l="0" t="0" r="0" b="0"/>
                <wp:wrapNone/>
                <wp:docPr id="457496953"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319080" cy="435128"/>
                        </a:xfrm>
                        <a:prstGeom prst="rect">
                          <a:avLst/>
                        </a:prstGeom>
                        <a:solidFill>
                          <a:srgbClr val="F05260"/>
                        </a:solidFill>
                        <a:ln w="9525">
                          <a:noFill/>
                          <a:miter lim="800000"/>
                          <a:headEnd/>
                          <a:tailEnd/>
                        </a:ln>
                      </wps:spPr>
                      <wps:txbx>
                        <w:txbxContent>
                          <w:p w:rsidR="008432DF" w:rsidRPr="005C7ABF" w:rsidP="008432DF" w14:textId="6414091A">
                            <w:pPr>
                              <w:pStyle w:val="7331"/>
                              <w:rPr>
                                <w:rtl/>
                              </w:rPr>
                            </w:pPr>
                            <w:r w:rsidRPr="008432DF">
                              <w:rPr>
                                <w:rtl/>
                              </w:rPr>
                              <w:t>התפלגות ההשקעות הפרטיות בחברות היי-טק, לפי תחום פעילות (2021)</w:t>
                            </w:r>
                            <w:r w:rsidRPr="008432DF">
                              <w:rPr>
                                <w:rtl/>
                              </w:rPr>
                              <w:tab/>
                            </w:r>
                          </w:p>
                        </w:txbxContent>
                      </wps:txbx>
                      <wps:bodyPr rot="0" vert="horz" wrap="square" anchor="ctr" anchorCtr="0"/>
                    </wps:wsp>
                  </a:graphicData>
                </a:graphic>
                <wp14:sizeRelH relativeFrom="margin">
                  <wp14:pctWidth>0</wp14:pctWidth>
                </wp14:sizeRelH>
                <wp14:sizeRelV relativeFrom="margin">
                  <wp14:pctHeight>0</wp14:pctHeight>
                </wp14:sizeRelV>
              </wp:anchor>
            </w:drawing>
          </mc:Choice>
          <mc:Fallback>
            <w:pict>
              <v:shape id="_x0000_s1031" type="#_x0000_t202" style="width:340.1pt;height:34.25pt;margin-top:3.85pt;margin-left:6.85pt;mso-height-percent:0;mso-height-relative:margin;mso-width-percent:0;mso-width-relative:margin;mso-wrap-distance-bottom:0;mso-wrap-distance-left:9pt;mso-wrap-distance-right:9pt;mso-wrap-distance-top:0;mso-wrap-style:square;position:absolute;visibility:visible;v-text-anchor:middle;z-index:251713536" fillcolor="#f05260" stroked="f">
                <v:textbox>
                  <w:txbxContent>
                    <w:p w:rsidR="008432DF" w:rsidRPr="005C7ABF" w:rsidP="008432DF" w14:paraId="4EE6BCEF" w14:textId="6414091A">
                      <w:pPr>
                        <w:pStyle w:val="7331"/>
                        <w:rPr>
                          <w:rtl/>
                        </w:rPr>
                      </w:pPr>
                      <w:r w:rsidRPr="008432DF">
                        <w:rPr>
                          <w:rtl/>
                        </w:rPr>
                        <w:t>התפלגות ההשקעות הפרטיות בחברות היי-טק, לפי תחום פעילות (2021)</w:t>
                      </w:r>
                      <w:r w:rsidRPr="008432DF">
                        <w:rPr>
                          <w:rtl/>
                        </w:rPr>
                        <w:tab/>
                      </w:r>
                    </w:p>
                  </w:txbxContent>
                </v:textbox>
              </v:shape>
            </w:pict>
          </mc:Fallback>
        </mc:AlternateContent>
      </w:r>
      <w:r>
        <w:rPr>
          <w:rtl/>
        </w:rPr>
        <w:t xml:space="preserve"> </w:t>
      </w:r>
    </w:p>
    <w:p w:rsidR="008432DF" w:rsidP="008432DF" w14:paraId="63D48F4D" w14:textId="77777777">
      <w:pPr>
        <w:pStyle w:val="7316"/>
        <w:rPr>
          <w:rtl/>
        </w:rPr>
      </w:pPr>
    </w:p>
    <w:p w:rsidR="008432DF" w:rsidRPr="00D57BE9" w:rsidP="008432DF" w14:paraId="6C8A6772" w14:textId="77777777">
      <w:pPr>
        <w:rPr>
          <w:rtl/>
        </w:rPr>
      </w:pPr>
    </w:p>
    <w:p w:rsidR="008432DF" w:rsidRPr="00D57BE9" w:rsidP="008432DF" w14:paraId="14AF5E87" w14:textId="77777777">
      <w:pPr>
        <w:ind w:left="170"/>
        <w:rPr>
          <w:rtl/>
        </w:rPr>
      </w:pPr>
      <w:r>
        <w:rPr>
          <w:noProof/>
          <w:rtl/>
          <w:lang w:val="he-IL"/>
        </w:rPr>
        <w:drawing>
          <wp:inline distT="0" distB="0" distL="0" distR="0">
            <wp:extent cx="4626592" cy="2231797"/>
            <wp:effectExtent l="0" t="0" r="0" b="3810"/>
            <wp:docPr id="80284156" name="תמונה 80284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625923" name="תמונה 80284156"/>
                    <pic:cNvPicPr/>
                  </pic:nvPicPr>
                  <pic:blipFill>
                    <a:blip xmlns:r="http://schemas.openxmlformats.org/officeDocument/2006/relationships" r:embed="rId24">
                      <a:extLst>
                        <a:ext xmlns:a="http://schemas.openxmlformats.org/drawingml/2006/main" uri="{28A0092B-C50C-407E-A947-70E740481C1C}">
                          <a14:useLocalDpi xmlns:a14="http://schemas.microsoft.com/office/drawing/2010/main" val="0"/>
                        </a:ext>
                      </a:extLst>
                    </a:blip>
                    <a:stretch>
                      <a:fillRect/>
                    </a:stretch>
                  </pic:blipFill>
                  <pic:spPr>
                    <a:xfrm>
                      <a:off x="0" y="0"/>
                      <a:ext cx="4626592" cy="2231797"/>
                    </a:xfrm>
                    <a:prstGeom prst="rect">
                      <a:avLst/>
                    </a:prstGeom>
                  </pic:spPr>
                </pic:pic>
              </a:graphicData>
            </a:graphic>
          </wp:inline>
        </w:drawing>
      </w:r>
    </w:p>
    <w:p w:rsidR="008432DF" w:rsidRPr="008432DF" w:rsidP="008432DF" w14:paraId="26CA19EA" w14:textId="63794EC4">
      <w:pPr>
        <w:pStyle w:val="737"/>
        <w:ind w:left="454"/>
        <w:rPr>
          <w:rtl/>
        </w:rPr>
      </w:pPr>
      <w:r w:rsidRPr="008432DF">
        <w:rPr>
          <w:rFonts w:hint="eastAsia"/>
          <w:rtl/>
        </w:rPr>
        <w:t>המקור</w:t>
      </w:r>
      <w:r w:rsidRPr="008432DF">
        <w:rPr>
          <w:rtl/>
        </w:rPr>
        <w:t xml:space="preserve">: </w:t>
      </w:r>
      <w:r w:rsidRPr="008432DF">
        <w:rPr>
          <w:rFonts w:hint="eastAsia"/>
          <w:rtl/>
        </w:rPr>
        <w:t>רשות</w:t>
      </w:r>
      <w:r w:rsidRPr="008432DF">
        <w:rPr>
          <w:rtl/>
        </w:rPr>
        <w:t xml:space="preserve"> </w:t>
      </w:r>
      <w:r w:rsidRPr="008432DF">
        <w:rPr>
          <w:rFonts w:hint="eastAsia"/>
          <w:rtl/>
        </w:rPr>
        <w:t>החדשנות</w:t>
      </w:r>
      <w:r w:rsidRPr="008432DF">
        <w:rPr>
          <w:rFonts w:hint="cs"/>
          <w:rtl/>
        </w:rPr>
        <w:t>.</w:t>
      </w:r>
    </w:p>
    <w:p w:rsidR="008432DF" w:rsidP="008432DF" w14:paraId="066DD9AC" w14:textId="05A637C2">
      <w:pPr>
        <w:pStyle w:val="7316"/>
        <w:rPr>
          <w:rtl/>
        </w:rPr>
      </w:pPr>
      <w:r w:rsidRPr="0063556C">
        <w:rPr>
          <w:rStyle w:val="7372"/>
          <w:rFonts w:hint="cs"/>
          <w:noProof/>
          <w:rtl/>
        </w:rPr>
        <w:drawing>
          <wp:anchor distT="0" distB="0" distL="114300" distR="114300" simplePos="0" relativeHeight="251706368" behindDoc="1" locked="0" layoutInCell="1" allowOverlap="1">
            <wp:simplePos x="0" y="0"/>
            <wp:positionH relativeFrom="column">
              <wp:posOffset>4556955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815370536" name="תמונה 815370536">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8636444"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8914DD">
        <w:rPr>
          <w:rStyle w:val="7372"/>
          <w:rtl/>
        </w:rPr>
        <w:t>צוות משימה להאצת טכנולוגיות אקלים</w:t>
      </w:r>
      <w:r w:rsidRPr="008914DD">
        <w:rPr>
          <w:rStyle w:val="7372"/>
          <w:rFonts w:hint="cs"/>
          <w:rtl/>
        </w:rPr>
        <w:t xml:space="preserve"> </w:t>
      </w:r>
      <w:r w:rsidRPr="008914DD">
        <w:rPr>
          <w:rStyle w:val="7372"/>
          <w:rtl/>
        </w:rPr>
        <w:t>-</w:t>
      </w:r>
      <w:r w:rsidRPr="00936D22">
        <w:rPr>
          <w:rFonts w:hint="cs"/>
          <w:rtl/>
        </w:rPr>
        <w:t xml:space="preserve"> </w:t>
      </w:r>
      <w:r w:rsidRPr="00936D22">
        <w:rPr>
          <w:rtl/>
        </w:rPr>
        <w:t xml:space="preserve">למרות ההנחיה בהחלטת הממשלה 544 </w:t>
      </w:r>
      <w:r w:rsidRPr="00936D22">
        <w:rPr>
          <w:rFonts w:hint="cs"/>
          <w:rtl/>
        </w:rPr>
        <w:t xml:space="preserve">מאוקטובר 2021 </w:t>
      </w:r>
      <w:r w:rsidRPr="00936D22">
        <w:rPr>
          <w:rtl/>
        </w:rPr>
        <w:t>להקים צוות להסרת חסמים לקידום נושא זה בראשות מנכ"ל משרד ראש הממשלה, הצוות לא הוקם. מציאות זו מקשה למצוא פתרונות לחסמים רגולטוריים למחקר, לפיתוח, ליישום ולהטמעה של טכנולוגיות בתחום האקלים, ומקשה את מקסום הפוטנציאל הקיים בישראל בנושא טכנולוגיות אקלים-טק וקידום למדינה "ירוקה", שיסייעו בעמידה של ישראל ביעדיה להפחתת פליטות. כמו כן ישראל עלולה לאבד הזדמנויות לקידום טכנולוגיות לצורך היערכות למשבר האקלים וחיזוק הצמיחה הכלכלית בישראל</w:t>
      </w:r>
      <w:r w:rsidRPr="00AF3B73">
        <w:rPr>
          <w:rFonts w:hint="cs"/>
          <w:rtl/>
        </w:rPr>
        <w:t xml:space="preserve">. </w:t>
      </w:r>
    </w:p>
    <w:p w:rsidR="008432DF" w:rsidP="008432DF" w14:paraId="18458F7F" w14:textId="7A5940BE">
      <w:pPr>
        <w:pStyle w:val="7316"/>
        <w:rPr>
          <w:rtl/>
        </w:rPr>
      </w:pPr>
      <w:r w:rsidRPr="0063556C">
        <w:rPr>
          <w:rStyle w:val="7372"/>
          <w:rFonts w:hint="cs"/>
          <w:noProof/>
          <w:rtl/>
        </w:rPr>
        <w:drawing>
          <wp:anchor distT="0" distB="0" distL="114300" distR="114300" simplePos="0" relativeHeight="251707392" behindDoc="1" locked="0" layoutInCell="1" allowOverlap="1">
            <wp:simplePos x="0" y="0"/>
            <wp:positionH relativeFrom="column">
              <wp:posOffset>4556955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651409916" name="תמונה 651409916">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8039"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8914DD">
        <w:rPr>
          <w:rStyle w:val="7372"/>
          <w:rFonts w:hint="cs"/>
          <w:rtl/>
        </w:rPr>
        <w:t xml:space="preserve">תקציבים נוספים בתחום האקלים-טק </w:t>
      </w:r>
      <w:r w:rsidRPr="008914DD">
        <w:rPr>
          <w:rStyle w:val="7372"/>
          <w:rtl/>
        </w:rPr>
        <w:t>-</w:t>
      </w:r>
      <w:r>
        <w:rPr>
          <w:rFonts w:hint="cs"/>
          <w:rtl/>
        </w:rPr>
        <w:t xml:space="preserve"> </w:t>
      </w:r>
      <w:r w:rsidRPr="00936D22">
        <w:rPr>
          <w:rFonts w:hint="cs"/>
          <w:rtl/>
        </w:rPr>
        <w:t xml:space="preserve">אשר להשקעות עתידיות, </w:t>
      </w:r>
      <w:r w:rsidRPr="00936D22">
        <w:rPr>
          <w:rtl/>
        </w:rPr>
        <w:t>החלטות הממשלה אינן כוללות מקורות תקציביים ייעודיים למיזמי חדשנות ולהקמת חברות הזנק חדשות בתחום האקלים-טק</w:t>
      </w:r>
      <w:r w:rsidRPr="00936D22">
        <w:rPr>
          <w:rFonts w:hint="cs"/>
          <w:rtl/>
        </w:rPr>
        <w:t>, ו</w:t>
      </w:r>
      <w:r w:rsidRPr="00936D22">
        <w:rPr>
          <w:rtl/>
        </w:rPr>
        <w:t xml:space="preserve">בשנת 2022 הושקע סך של כ-38.3 מיליון ש"ח על ידי משרדי ממשלה. בכל הנוגע לתקציבים עתידיים פוטנציאליים שיתקבלו מפרויקטים אירופיים כדוגמת </w:t>
      </w:r>
      <w:r w:rsidRPr="00936D22">
        <w:rPr>
          <w:rtl/>
        </w:rPr>
        <w:t>הורייזן</w:t>
      </w:r>
      <w:r w:rsidRPr="00936D22">
        <w:rPr>
          <w:rtl/>
        </w:rPr>
        <w:t>, נמצא קושי למקסם את הפעילות של חברות ישראליות ולזכות במימון בשל פערי ידע שקיימים בנושא; התקבל סך של כ-</w:t>
      </w:r>
      <w:r w:rsidR="00D62668">
        <w:rPr>
          <w:rFonts w:hint="cs"/>
          <w:rtl/>
        </w:rPr>
        <w:t>6</w:t>
      </w:r>
      <w:r w:rsidRPr="00936D22">
        <w:rPr>
          <w:rtl/>
        </w:rPr>
        <w:t>5 מיליון אירו בשנים 2021 ו-2022 מתוכנית זו</w:t>
      </w:r>
      <w:r w:rsidRPr="00936D22">
        <w:rPr>
          <w:rFonts w:hint="cs"/>
          <w:rtl/>
        </w:rPr>
        <w:t xml:space="preserve"> </w:t>
      </w:r>
      <w:r w:rsidRPr="00936D22">
        <w:rPr>
          <w:rtl/>
        </w:rPr>
        <w:t>(סך של כ-</w:t>
      </w:r>
      <w:r w:rsidR="00D62668">
        <w:rPr>
          <w:rFonts w:hint="cs"/>
          <w:rtl/>
        </w:rPr>
        <w:t>24</w:t>
      </w:r>
      <w:r w:rsidRPr="00936D22">
        <w:rPr>
          <w:rtl/>
        </w:rPr>
        <w:t xml:space="preserve"> מיליון </w:t>
      </w:r>
      <w:r w:rsidRPr="00936D22">
        <w:rPr>
          <w:rFonts w:hint="cs"/>
          <w:rtl/>
        </w:rPr>
        <w:t>א</w:t>
      </w:r>
      <w:r w:rsidRPr="00936D22">
        <w:rPr>
          <w:rtl/>
        </w:rPr>
        <w:t>ירו בשנת 2021 וסך של כ-</w:t>
      </w:r>
      <w:r w:rsidR="00D62668">
        <w:rPr>
          <w:rFonts w:hint="cs"/>
          <w:rtl/>
        </w:rPr>
        <w:t>41</w:t>
      </w:r>
      <w:r w:rsidRPr="00936D22">
        <w:rPr>
          <w:rtl/>
        </w:rPr>
        <w:t xml:space="preserve"> מיליון </w:t>
      </w:r>
      <w:r w:rsidRPr="00936D22">
        <w:rPr>
          <w:rFonts w:hint="cs"/>
          <w:rtl/>
        </w:rPr>
        <w:t>א</w:t>
      </w:r>
      <w:r w:rsidRPr="00936D22">
        <w:rPr>
          <w:rtl/>
        </w:rPr>
        <w:t xml:space="preserve">ירו בשנת 2022), </w:t>
      </w:r>
      <w:r w:rsidRPr="00936D22">
        <w:rPr>
          <w:rFonts w:hint="cs"/>
          <w:rtl/>
        </w:rPr>
        <w:t>ו</w:t>
      </w:r>
      <w:r w:rsidRPr="00936D22">
        <w:rPr>
          <w:rtl/>
        </w:rPr>
        <w:t>סך המענקים הכולל שישראל קיבלה מתוכנית זו בשנים אלה הוא כ-</w:t>
      </w:r>
      <w:r w:rsidR="00D62668">
        <w:rPr>
          <w:rFonts w:hint="cs"/>
          <w:rtl/>
        </w:rPr>
        <w:t>486</w:t>
      </w:r>
      <w:r w:rsidRPr="00936D22">
        <w:rPr>
          <w:rtl/>
        </w:rPr>
        <w:t xml:space="preserve"> מיליון </w:t>
      </w:r>
      <w:r w:rsidRPr="00936D22">
        <w:rPr>
          <w:rFonts w:hint="cs"/>
          <w:rtl/>
        </w:rPr>
        <w:t>א</w:t>
      </w:r>
      <w:r w:rsidRPr="00936D22">
        <w:rPr>
          <w:rtl/>
        </w:rPr>
        <w:t>ירו</w:t>
      </w:r>
      <w:r w:rsidRPr="00936D22">
        <w:rPr>
          <w:rFonts w:hint="cs"/>
          <w:rtl/>
        </w:rPr>
        <w:t xml:space="preserve"> </w:t>
      </w:r>
      <w:r w:rsidRPr="00936D22">
        <w:rPr>
          <w:rtl/>
        </w:rPr>
        <w:t xml:space="preserve">(סך של כ-231 מיליון </w:t>
      </w:r>
      <w:r w:rsidRPr="00936D22">
        <w:rPr>
          <w:rFonts w:hint="cs"/>
          <w:rtl/>
        </w:rPr>
        <w:t>א</w:t>
      </w:r>
      <w:r w:rsidRPr="00936D22">
        <w:rPr>
          <w:rtl/>
        </w:rPr>
        <w:t>ירו בשנת 2021 וכ-</w:t>
      </w:r>
      <w:r w:rsidR="00D62668">
        <w:rPr>
          <w:rFonts w:hint="cs"/>
          <w:rtl/>
        </w:rPr>
        <w:t>255</w:t>
      </w:r>
      <w:r w:rsidRPr="00936D22">
        <w:rPr>
          <w:rtl/>
        </w:rPr>
        <w:t xml:space="preserve"> מיליון </w:t>
      </w:r>
      <w:r w:rsidRPr="00936D22">
        <w:rPr>
          <w:rFonts w:hint="cs"/>
          <w:rtl/>
        </w:rPr>
        <w:t>א</w:t>
      </w:r>
      <w:r w:rsidRPr="00936D22">
        <w:rPr>
          <w:rtl/>
        </w:rPr>
        <w:t xml:space="preserve">ירו בשנת 2022), כלומר שיעורי מימוש תקציבי תוכנית </w:t>
      </w:r>
      <w:r w:rsidRPr="00936D22">
        <w:rPr>
          <w:rtl/>
        </w:rPr>
        <w:t>הורייזן</w:t>
      </w:r>
      <w:r w:rsidRPr="00936D22">
        <w:rPr>
          <w:rtl/>
        </w:rPr>
        <w:t xml:space="preserve"> שנע מ-</w:t>
      </w:r>
      <w:r w:rsidR="00D62668">
        <w:rPr>
          <w:rFonts w:hint="cs"/>
          <w:rtl/>
        </w:rPr>
        <w:t>10.4</w:t>
      </w:r>
      <w:r w:rsidRPr="00936D22">
        <w:rPr>
          <w:rFonts w:hint="cs"/>
          <w:rtl/>
        </w:rPr>
        <w:t>%</w:t>
      </w:r>
      <w:r w:rsidRPr="00936D22">
        <w:rPr>
          <w:rtl/>
        </w:rPr>
        <w:t xml:space="preserve"> עד 16</w:t>
      </w:r>
      <w:r w:rsidRPr="00936D22">
        <w:rPr>
          <w:rFonts w:hint="cs"/>
          <w:rtl/>
        </w:rPr>
        <w:t>%</w:t>
      </w:r>
      <w:r w:rsidRPr="00936D22">
        <w:rPr>
          <w:rtl/>
        </w:rPr>
        <w:t>. שיעור מימוש זה נמוך משמעותית מהפוטנציאל</w:t>
      </w:r>
      <w:r w:rsidRPr="00936D22">
        <w:rPr>
          <w:rFonts w:hint="cs"/>
          <w:rtl/>
        </w:rPr>
        <w:t xml:space="preserve"> </w:t>
      </w:r>
      <w:r w:rsidRPr="00936D22">
        <w:rPr>
          <w:rtl/>
        </w:rPr>
        <w:t xml:space="preserve">(תוכנית </w:t>
      </w:r>
      <w:r w:rsidRPr="00936D22">
        <w:rPr>
          <w:rtl/>
        </w:rPr>
        <w:t>הורייזן</w:t>
      </w:r>
      <w:r w:rsidRPr="00936D22">
        <w:rPr>
          <w:rtl/>
        </w:rPr>
        <w:t xml:space="preserve"> מתכוונת להשקיע כ-35% מתקציביה לטובת מחקרים הקשורים באקלים-טק, כ-34.5 מיליארד </w:t>
      </w:r>
      <w:r w:rsidRPr="00936D22">
        <w:rPr>
          <w:rFonts w:hint="cs"/>
          <w:rtl/>
        </w:rPr>
        <w:t>א</w:t>
      </w:r>
      <w:r w:rsidRPr="00936D22">
        <w:rPr>
          <w:rtl/>
        </w:rPr>
        <w:t>ירו בשנים 2021 עד 2027 במצטבר; חוקרים ישראלים קיבלו בשנים 2021 ו-2022 מענקים הקשורים באקלים-טק בסך כולל של כ-</w:t>
      </w:r>
      <w:r w:rsidR="00D62668">
        <w:rPr>
          <w:rFonts w:hint="cs"/>
          <w:rtl/>
        </w:rPr>
        <w:t>65</w:t>
      </w:r>
      <w:r w:rsidRPr="00936D22">
        <w:rPr>
          <w:rtl/>
        </w:rPr>
        <w:t xml:space="preserve"> מיליון </w:t>
      </w:r>
      <w:r w:rsidRPr="00936D22">
        <w:rPr>
          <w:rFonts w:hint="cs"/>
          <w:rtl/>
        </w:rPr>
        <w:t>א</w:t>
      </w:r>
      <w:r w:rsidRPr="00936D22">
        <w:rPr>
          <w:rtl/>
        </w:rPr>
        <w:t>ירו - כ-</w:t>
      </w:r>
      <w:r w:rsidR="00D62668">
        <w:rPr>
          <w:rFonts w:hint="cs"/>
          <w:rtl/>
        </w:rPr>
        <w:t>13</w:t>
      </w:r>
      <w:r w:rsidRPr="00936D22">
        <w:rPr>
          <w:rtl/>
        </w:rPr>
        <w:t>.</w:t>
      </w:r>
      <w:r w:rsidR="00D62668">
        <w:rPr>
          <w:rFonts w:hint="cs"/>
          <w:rtl/>
        </w:rPr>
        <w:t>3</w:t>
      </w:r>
      <w:r w:rsidRPr="00936D22">
        <w:rPr>
          <w:rtl/>
        </w:rPr>
        <w:t>%</w:t>
      </w:r>
      <w:r>
        <w:rPr>
          <w:rFonts w:hint="cs"/>
          <w:rtl/>
        </w:rPr>
        <w:t>)</w:t>
      </w:r>
      <w:r w:rsidRPr="00AF3B73">
        <w:rPr>
          <w:rFonts w:hint="cs"/>
          <w:rtl/>
        </w:rPr>
        <w:t xml:space="preserve">. </w:t>
      </w:r>
    </w:p>
    <w:p w:rsidR="008432DF" w:rsidP="008432DF" w14:paraId="61498D7A" w14:textId="6B7302A6">
      <w:pPr>
        <w:pStyle w:val="7316"/>
        <w:rPr>
          <w:rtl/>
        </w:rPr>
      </w:pPr>
      <w:r w:rsidRPr="00936D22">
        <w:rPr>
          <w:rtl/>
        </w:rPr>
        <w:t>במציאות זו עולה חשש כי ללא תקציבים ממשלתיים משמעותיים ייעודיים ארוכי טווח יהיה קושי לקדם את החלטות הממשלה בתחום האקלים-טק.</w:t>
      </w:r>
      <w:r w:rsidRPr="00936D22">
        <w:rPr>
          <w:rFonts w:hint="cs"/>
          <w:rtl/>
        </w:rPr>
        <w:t xml:space="preserve"> </w:t>
      </w:r>
      <w:r w:rsidRPr="00936D22">
        <w:rPr>
          <w:rtl/>
        </w:rPr>
        <w:t>ללא יצירת ודאות כלכלית לקידום חדשנות טכנולוגית בתחום האקלים-טק בישראל י</w:t>
      </w:r>
      <w:r w:rsidRPr="00936D22">
        <w:rPr>
          <w:rFonts w:hint="cs"/>
          <w:rtl/>
        </w:rPr>
        <w:t xml:space="preserve">היה </w:t>
      </w:r>
      <w:r w:rsidRPr="00936D22">
        <w:rPr>
          <w:rtl/>
        </w:rPr>
        <w:t>קשה מאוד לקדם את החלטות הממשלה בנושא</w:t>
      </w:r>
      <w:r w:rsidRPr="00AF3B73">
        <w:rPr>
          <w:rFonts w:hint="cs"/>
          <w:rtl/>
        </w:rPr>
        <w:t xml:space="preserve">. </w:t>
      </w:r>
    </w:p>
    <w:p w:rsidR="008432DF" w:rsidRPr="00936D22" w:rsidP="008432DF" w14:paraId="571FC5FE" w14:textId="77777777">
      <w:pPr>
        <w:pStyle w:val="73512"/>
        <w:rPr>
          <w:rStyle w:val="7372"/>
          <w:bCs/>
          <w:color w:val="00305F"/>
          <w:sz w:val="24"/>
          <w:szCs w:val="24"/>
        </w:rPr>
      </w:pPr>
      <w:r w:rsidRPr="00936D22">
        <w:rPr>
          <w:rStyle w:val="7372"/>
          <w:bCs/>
          <w:color w:val="00305F"/>
          <w:sz w:val="24"/>
          <w:szCs w:val="24"/>
          <w:rtl/>
        </w:rPr>
        <w:t>היערכות לסיכונים פיננסיים שמקורם בשינויי אקלים</w:t>
      </w:r>
    </w:p>
    <w:p w:rsidR="008432DF" w:rsidP="008432DF" w14:paraId="11AAF067" w14:textId="007ACB4F">
      <w:pPr>
        <w:pStyle w:val="7316"/>
        <w:rPr>
          <w:rtl/>
        </w:rPr>
      </w:pPr>
      <w:r w:rsidRPr="008914DD">
        <w:rPr>
          <w:rStyle w:val="7371"/>
          <w:rFonts w:hint="cs"/>
          <w:noProof/>
          <w:rtl/>
        </w:rPr>
        <w:drawing>
          <wp:anchor distT="0" distB="0" distL="114300" distR="114300" simplePos="0" relativeHeight="251708416" behindDoc="1" locked="0" layoutInCell="1" allowOverlap="1">
            <wp:simplePos x="0" y="0"/>
            <wp:positionH relativeFrom="column">
              <wp:posOffset>4556955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2082409642" name="תמונה 2082409642">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896707"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8914DD">
        <w:rPr>
          <w:rStyle w:val="7371"/>
          <w:rtl/>
        </w:rPr>
        <w:t xml:space="preserve">השקעות בתחומי </w:t>
      </w:r>
      <w:r w:rsidRPr="007817EE">
        <w:rPr>
          <w:rStyle w:val="7371"/>
          <w:b/>
          <w:bCs w:val="0"/>
        </w:rPr>
        <w:t>ESG</w:t>
      </w:r>
      <w:r w:rsidRPr="008914DD">
        <w:rPr>
          <w:rStyle w:val="7371"/>
          <w:rtl/>
        </w:rPr>
        <w:t xml:space="preserve"> במסגרת ניהול יתרות מט"ח של בנק ישראל</w:t>
      </w:r>
      <w:r w:rsidRPr="008914DD">
        <w:rPr>
          <w:rStyle w:val="7371"/>
          <w:rFonts w:hint="cs"/>
          <w:rtl/>
        </w:rPr>
        <w:t xml:space="preserve"> </w:t>
      </w:r>
      <w:r w:rsidRPr="008914DD">
        <w:rPr>
          <w:rStyle w:val="7371"/>
          <w:rtl/>
        </w:rPr>
        <w:t>-</w:t>
      </w:r>
      <w:r w:rsidRPr="00936D22">
        <w:rPr>
          <w:rFonts w:hint="cs"/>
          <w:rtl/>
        </w:rPr>
        <w:t xml:space="preserve"> </w:t>
      </w:r>
      <w:r w:rsidRPr="00936D22">
        <w:rPr>
          <w:rtl/>
        </w:rPr>
        <w:t xml:space="preserve">בדוח הקודם עלה שבנק ישראל אינו משקיע את תיק יתרות </w:t>
      </w:r>
      <w:r w:rsidRPr="00936D22">
        <w:rPr>
          <w:rtl/>
        </w:rPr>
        <w:t>המט"ח</w:t>
      </w:r>
      <w:r w:rsidRPr="00936D22">
        <w:rPr>
          <w:rtl/>
        </w:rPr>
        <w:t xml:space="preserve"> של המדינה בתחומי </w:t>
      </w:r>
      <w:r w:rsidRPr="00936D22">
        <w:t>ESG</w:t>
      </w:r>
      <w:r w:rsidRPr="00936D22">
        <w:rPr>
          <w:rFonts w:hint="cs"/>
          <w:rtl/>
        </w:rPr>
        <w:t>, אולם בתגובה על ממצא זה כתב בנק ישראל כי בשנת 2021</w:t>
      </w:r>
      <w:r w:rsidRPr="00936D22">
        <w:rPr>
          <w:rtl/>
        </w:rPr>
        <w:t xml:space="preserve"> ה</w:t>
      </w:r>
      <w:r w:rsidRPr="00936D22">
        <w:rPr>
          <w:rFonts w:hint="cs"/>
          <w:rtl/>
        </w:rPr>
        <w:t>וא</w:t>
      </w:r>
      <w:r w:rsidRPr="00936D22">
        <w:rPr>
          <w:rtl/>
        </w:rPr>
        <w:t xml:space="preserve"> הקים צוות לבחינ</w:t>
      </w:r>
      <w:r w:rsidRPr="00936D22">
        <w:rPr>
          <w:rFonts w:hint="cs"/>
          <w:rtl/>
        </w:rPr>
        <w:t xml:space="preserve">ה אם נכון להרחיב את סוגי הנכסים שבתיק יתרות </w:t>
      </w:r>
      <w:r w:rsidRPr="00936D22">
        <w:rPr>
          <w:rFonts w:hint="cs"/>
          <w:rtl/>
        </w:rPr>
        <w:t>המט"ח</w:t>
      </w:r>
      <w:r w:rsidRPr="00936D22">
        <w:rPr>
          <w:rFonts w:hint="cs"/>
          <w:rtl/>
        </w:rPr>
        <w:t xml:space="preserve"> ואם לכלול בהם אג"ח ירוקות או השקעות</w:t>
      </w:r>
      <w:r w:rsidRPr="00936D22">
        <w:rPr>
          <w:rtl/>
        </w:rPr>
        <w:t xml:space="preserve"> מקיימות אחרות בלי לפגוע במטרות החזקת היתרות ובלי לשנות את פרופיל</w:t>
      </w:r>
      <w:r w:rsidRPr="00936D22">
        <w:rPr>
          <w:rFonts w:hint="cs"/>
          <w:rtl/>
        </w:rPr>
        <w:t xml:space="preserve"> </w:t>
      </w:r>
      <w:r w:rsidRPr="00936D22">
        <w:rPr>
          <w:rtl/>
        </w:rPr>
        <w:t>התשואה-סיכון של</w:t>
      </w:r>
      <w:r w:rsidRPr="00936D22">
        <w:rPr>
          <w:rFonts w:hint="cs"/>
          <w:rtl/>
        </w:rPr>
        <w:t xml:space="preserve"> התיק</w:t>
      </w:r>
      <w:r w:rsidRPr="00936D22">
        <w:rPr>
          <w:rtl/>
        </w:rPr>
        <w:t xml:space="preserve"> </w:t>
      </w:r>
      <w:r w:rsidRPr="00936D22">
        <w:rPr>
          <w:rFonts w:hint="cs"/>
          <w:rtl/>
        </w:rPr>
        <w:t xml:space="preserve">ולבחינת </w:t>
      </w:r>
      <w:r w:rsidRPr="00936D22">
        <w:rPr>
          <w:rtl/>
        </w:rPr>
        <w:t xml:space="preserve">שילוב כללים להשקעות אחראיות במדיניות ההשקעה. </w:t>
      </w:r>
      <w:r w:rsidRPr="00936D22">
        <w:rPr>
          <w:rFonts w:hint="cs"/>
          <w:rtl/>
        </w:rPr>
        <w:t>עוד נמסר כי "</w:t>
      </w:r>
      <w:r w:rsidRPr="00936D22">
        <w:rPr>
          <w:rtl/>
        </w:rPr>
        <w:t>ממצאי הצוות והמלצותיו יוצגו לנגיד ולוועדה המוניטרית במהלך 2022</w:t>
      </w:r>
      <w:r w:rsidRPr="00936D22">
        <w:rPr>
          <w:rFonts w:hint="cs"/>
          <w:rtl/>
        </w:rPr>
        <w:t>"</w:t>
      </w:r>
      <w:r w:rsidRPr="00936D22">
        <w:rPr>
          <w:rtl/>
        </w:rPr>
        <w:t>.</w:t>
      </w:r>
      <w:r w:rsidRPr="00936D22">
        <w:rPr>
          <w:rFonts w:hint="cs"/>
          <w:rtl/>
        </w:rPr>
        <w:t xml:space="preserve"> </w:t>
      </w:r>
      <w:r w:rsidRPr="00936D22">
        <w:rPr>
          <w:rtl/>
        </w:rPr>
        <w:t xml:space="preserve">בביקורת המעקב נמצא כי </w:t>
      </w:r>
      <w:r w:rsidRPr="008914DD">
        <w:rPr>
          <w:rStyle w:val="7371"/>
          <w:rtl/>
        </w:rPr>
        <w:t xml:space="preserve">הליקוי </w:t>
      </w:r>
      <w:r w:rsidRPr="008914DD">
        <w:rPr>
          <w:rStyle w:val="7371"/>
          <w:rFonts w:hint="cs"/>
          <w:rtl/>
        </w:rPr>
        <w:t xml:space="preserve">לא </w:t>
      </w:r>
      <w:r w:rsidRPr="008914DD">
        <w:rPr>
          <w:rStyle w:val="7371"/>
          <w:rtl/>
        </w:rPr>
        <w:t>תוקן</w:t>
      </w:r>
      <w:r w:rsidRPr="008914DD">
        <w:rPr>
          <w:rStyle w:val="7371"/>
          <w:rFonts w:hint="cs"/>
          <w:rtl/>
        </w:rPr>
        <w:t xml:space="preserve"> </w:t>
      </w:r>
      <w:r w:rsidRPr="008914DD">
        <w:rPr>
          <w:rStyle w:val="7371"/>
          <w:rtl/>
        </w:rPr>
        <w:t>-</w:t>
      </w:r>
      <w:r w:rsidRPr="00936D22">
        <w:t xml:space="preserve"> </w:t>
      </w:r>
      <w:r w:rsidRPr="00936D22">
        <w:rPr>
          <w:rtl/>
        </w:rPr>
        <w:t xml:space="preserve">יותר משנתיים מאז הוקם צוות לבחינת כללים להשקעות אחראיות (שיקולי </w:t>
      </w:r>
      <w:r w:rsidRPr="00936D22">
        <w:t>ESG</w:t>
      </w:r>
      <w:r w:rsidRPr="00936D22">
        <w:rPr>
          <w:rtl/>
        </w:rPr>
        <w:t>) במדיניות ההשקעה שלו, בנק ישראל טרם סיים את הליכי הבדיקה וטרם קיבל החלטות בנושא.</w:t>
      </w:r>
      <w:r w:rsidRPr="00936D22">
        <w:rPr>
          <w:rFonts w:hint="cs"/>
          <w:rtl/>
        </w:rPr>
        <w:t xml:space="preserve"> לפי</w:t>
      </w:r>
      <w:r w:rsidRPr="00936D22">
        <w:rPr>
          <w:rtl/>
        </w:rPr>
        <w:t xml:space="preserve">כך, בנק ישראל מנהל את תיק יתרות </w:t>
      </w:r>
      <w:r w:rsidRPr="00936D22">
        <w:rPr>
          <w:rtl/>
        </w:rPr>
        <w:t>המט"ח</w:t>
      </w:r>
      <w:r w:rsidRPr="00936D22">
        <w:rPr>
          <w:rtl/>
        </w:rPr>
        <w:t xml:space="preserve"> של מדינת ישראל</w:t>
      </w:r>
      <w:r w:rsidRPr="00936D22">
        <w:rPr>
          <w:rFonts w:hint="cs"/>
          <w:rtl/>
        </w:rPr>
        <w:t>,</w:t>
      </w:r>
      <w:r w:rsidRPr="00936D22">
        <w:rPr>
          <w:rtl/>
        </w:rPr>
        <w:t xml:space="preserve"> </w:t>
      </w:r>
      <w:r w:rsidRPr="00936D22">
        <w:rPr>
          <w:rFonts w:hint="cs"/>
          <w:rtl/>
        </w:rPr>
        <w:t>שהן</w:t>
      </w:r>
      <w:r w:rsidRPr="00936D22">
        <w:rPr>
          <w:rtl/>
        </w:rPr>
        <w:t xml:space="preserve">, נכון ליוני 2023, כ-202 מיליארד דולר, ללא התחשבות בשיקולי </w:t>
      </w:r>
      <w:r w:rsidRPr="00936D22">
        <w:t>ESG</w:t>
      </w:r>
      <w:r w:rsidRPr="00936D22">
        <w:rPr>
          <w:rtl/>
        </w:rPr>
        <w:t xml:space="preserve"> וללא הטמעת סיכונים הנובעים משינויי אקלים במסגרת שיקולי ההשקעה שלו. זאת, הגם שמסקר ה-</w:t>
      </w:r>
      <w:r w:rsidRPr="00936D22">
        <w:t>NGFS</w:t>
      </w:r>
      <w:r w:rsidRPr="00936D22">
        <w:rPr>
          <w:rtl/>
        </w:rPr>
        <w:t xml:space="preserve"> שנעשה בשנת 2022 עולה המגמה ולפיה כ-40% מהבנקים המרכזיים שהשיבו עליו (כשני שלישים מהם באיחוד האירופי) מביאים בחשבון שיקולי אקלים במסגרת המדיניות המוניטרית השוטפת שלהם</w:t>
      </w:r>
      <w:r w:rsidRPr="00AF3B73">
        <w:rPr>
          <w:rFonts w:hint="cs"/>
          <w:rtl/>
        </w:rPr>
        <w:t xml:space="preserve">. </w:t>
      </w:r>
    </w:p>
    <w:p w:rsidR="008432DF" w:rsidP="008432DF" w14:paraId="14BEB2AF" w14:textId="6145E0A6">
      <w:pPr>
        <w:pStyle w:val="7316"/>
        <w:rPr>
          <w:rtl/>
        </w:rPr>
      </w:pPr>
      <w:r w:rsidRPr="008914DD">
        <w:rPr>
          <w:rStyle w:val="7371"/>
          <w:rFonts w:hint="cs"/>
          <w:noProof/>
          <w:rtl/>
        </w:rPr>
        <w:drawing>
          <wp:anchor distT="0" distB="0" distL="114300" distR="114300" simplePos="0" relativeHeight="251709440" behindDoc="1" locked="0" layoutInCell="1" allowOverlap="1">
            <wp:simplePos x="0" y="0"/>
            <wp:positionH relativeFrom="column">
              <wp:posOffset>4556955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1346108153" name="תמונה 1346108153">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824172"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8914DD">
        <w:rPr>
          <w:rStyle w:val="7371"/>
          <w:rtl/>
        </w:rPr>
        <w:t>רשות ניירות ערך וסיכוני אקלים</w:t>
      </w:r>
      <w:r w:rsidRPr="008914DD">
        <w:rPr>
          <w:rStyle w:val="7371"/>
          <w:rFonts w:hint="cs"/>
          <w:rtl/>
        </w:rPr>
        <w:t xml:space="preserve"> -</w:t>
      </w:r>
      <w:r w:rsidRPr="00936D22">
        <w:rPr>
          <w:rFonts w:hint="cs"/>
          <w:rtl/>
        </w:rPr>
        <w:t xml:space="preserve"> </w:t>
      </w:r>
      <w:r w:rsidRPr="00936D22">
        <w:rPr>
          <w:rtl/>
        </w:rPr>
        <w:t>בדוח הקודם עלה כי</w:t>
      </w:r>
      <w:r w:rsidRPr="00936D22">
        <w:rPr>
          <w:rFonts w:hint="cs"/>
          <w:rtl/>
        </w:rPr>
        <w:t xml:space="preserve"> המתכונת של</w:t>
      </w:r>
      <w:r w:rsidRPr="00936D22">
        <w:rPr>
          <w:rtl/>
        </w:rPr>
        <w:t xml:space="preserve"> גילויי </w:t>
      </w:r>
      <w:r w:rsidRPr="00936D22">
        <w:t>ESG</w:t>
      </w:r>
      <w:r w:rsidRPr="00936D22">
        <w:rPr>
          <w:rtl/>
        </w:rPr>
        <w:t xml:space="preserve"> שפרסמה הרשות לא מבדלת את האקלים מיתר שיקולי </w:t>
      </w:r>
      <w:r w:rsidRPr="00936D22">
        <w:t>ESG</w:t>
      </w:r>
      <w:r w:rsidRPr="00936D22">
        <w:rPr>
          <w:rtl/>
        </w:rPr>
        <w:t xml:space="preserve">. כמו כן מתכונת וולונטרית של גילוי </w:t>
      </w:r>
      <w:r w:rsidRPr="00936D22">
        <w:t>ESG</w:t>
      </w:r>
      <w:r w:rsidRPr="00936D22">
        <w:rPr>
          <w:rtl/>
        </w:rPr>
        <w:t xml:space="preserve"> </w:t>
      </w:r>
      <w:r w:rsidRPr="00645C98" w:rsidR="00645C98">
        <w:rPr>
          <w:rtl/>
        </w:rPr>
        <w:t xml:space="preserve">של החברות המפוקחות על ידי הרשות </w:t>
      </w:r>
      <w:r w:rsidRPr="00936D22">
        <w:rPr>
          <w:rtl/>
        </w:rPr>
        <w:t>והיכולת</w:t>
      </w:r>
      <w:r w:rsidR="00645C98">
        <w:rPr>
          <w:rFonts w:hint="cs"/>
          <w:rtl/>
        </w:rPr>
        <w:t xml:space="preserve"> שלהן</w:t>
      </w:r>
      <w:r w:rsidRPr="00936D22">
        <w:rPr>
          <w:rtl/>
        </w:rPr>
        <w:t xml:space="preserve"> לדווח בפורמטים שונים מובילות לכך ששיקול הדעת בנוגע לקיום הגילוי, המידע שיכלול, תדירותו ומתכונתו יישארו בידי החברות עצמן. </w:t>
      </w:r>
      <w:r w:rsidRPr="00936D22">
        <w:rPr>
          <w:rFonts w:hint="eastAsia"/>
          <w:rtl/>
        </w:rPr>
        <w:t>ב</w:t>
      </w:r>
      <w:r w:rsidRPr="00936D22">
        <w:rPr>
          <w:rtl/>
        </w:rPr>
        <w:t xml:space="preserve">ביקורת המעקב </w:t>
      </w:r>
      <w:r w:rsidRPr="00936D22">
        <w:rPr>
          <w:rFonts w:hint="eastAsia"/>
          <w:rtl/>
        </w:rPr>
        <w:t>נמצא</w:t>
      </w:r>
      <w:r w:rsidRPr="00936D22">
        <w:rPr>
          <w:rtl/>
        </w:rPr>
        <w:t xml:space="preserve"> כי </w:t>
      </w:r>
      <w:r w:rsidRPr="008914DD">
        <w:rPr>
          <w:rStyle w:val="7371"/>
          <w:rFonts w:hint="eastAsia"/>
          <w:rtl/>
        </w:rPr>
        <w:t>הליקוי</w:t>
      </w:r>
      <w:r w:rsidRPr="008914DD">
        <w:rPr>
          <w:rStyle w:val="7371"/>
          <w:rtl/>
        </w:rPr>
        <w:t xml:space="preserve"> </w:t>
      </w:r>
      <w:r w:rsidRPr="008914DD">
        <w:rPr>
          <w:rStyle w:val="7371"/>
          <w:rFonts w:hint="eastAsia"/>
          <w:rtl/>
        </w:rPr>
        <w:t>תוקן</w:t>
      </w:r>
      <w:r w:rsidRPr="008914DD">
        <w:rPr>
          <w:rStyle w:val="7371"/>
          <w:rtl/>
        </w:rPr>
        <w:t xml:space="preserve"> </w:t>
      </w:r>
      <w:r w:rsidRPr="008914DD">
        <w:rPr>
          <w:rStyle w:val="7371"/>
          <w:rFonts w:hint="eastAsia"/>
          <w:rtl/>
        </w:rPr>
        <w:t>במידה</w:t>
      </w:r>
      <w:r w:rsidRPr="008914DD">
        <w:rPr>
          <w:rStyle w:val="7371"/>
          <w:rtl/>
        </w:rPr>
        <w:t xml:space="preserve"> </w:t>
      </w:r>
      <w:r w:rsidRPr="008914DD">
        <w:rPr>
          <w:rStyle w:val="7371"/>
          <w:rFonts w:hint="eastAsia"/>
          <w:rtl/>
        </w:rPr>
        <w:t>מועטה</w:t>
      </w:r>
      <w:r w:rsidRPr="008914DD">
        <w:rPr>
          <w:rStyle w:val="7371"/>
          <w:rtl/>
        </w:rPr>
        <w:t xml:space="preserve"> </w:t>
      </w:r>
      <w:r w:rsidRPr="008914DD">
        <w:rPr>
          <w:rStyle w:val="7371"/>
          <w:rFonts w:hint="cs"/>
          <w:rtl/>
        </w:rPr>
        <w:t xml:space="preserve">- </w:t>
      </w:r>
      <w:r w:rsidRPr="00936D22">
        <w:rPr>
          <w:rtl/>
        </w:rPr>
        <w:t xml:space="preserve">אין התקדמות ניכרת מאז הדוח הקודם, והמלצת הרשות בדבר בחינת הרלוונטיות של סיכוני </w:t>
      </w:r>
      <w:r w:rsidRPr="00936D22">
        <w:t>ESG</w:t>
      </w:r>
      <w:r w:rsidRPr="00936D22">
        <w:rPr>
          <w:rtl/>
        </w:rPr>
        <w:t xml:space="preserve"> בתהליכי ההשקעות עודנה וולונטרית וכללית באופן שמעניק שיקול דעת נרחב לגופים מפוקחים אם לבצע בחינה זו וכיצד, בלי פירוט מספק וללא סטנדרטיזציה של הנושא וכן ללא בידול נושא האקלים מיתר נושאי ה</w:t>
      </w:r>
      <w:r w:rsidRPr="00936D22">
        <w:rPr>
          <w:rFonts w:hint="cs"/>
          <w:rtl/>
        </w:rPr>
        <w:t>-</w:t>
      </w:r>
      <w:r w:rsidRPr="00936D22">
        <w:rPr>
          <w:rtl/>
        </w:rPr>
        <w:t xml:space="preserve"> </w:t>
      </w:r>
      <w:r w:rsidRPr="00936D22">
        <w:t>ESG</w:t>
      </w:r>
      <w:r w:rsidRPr="00936D22">
        <w:rPr>
          <w:rtl/>
        </w:rPr>
        <w:t xml:space="preserve">. נכון ליולי 2023, כשנתיים לאחר פרסום המלצות הרשות בעניין, רק </w:t>
      </w:r>
      <w:r w:rsidR="000F2903">
        <w:rPr>
          <w:rFonts w:hint="cs"/>
          <w:rtl/>
        </w:rPr>
        <w:t>48</w:t>
      </w:r>
      <w:r w:rsidRPr="00936D22">
        <w:rPr>
          <w:rtl/>
        </w:rPr>
        <w:t xml:space="preserve"> מתוך 558 חברות ציבוריות מפרסמות דיווח </w:t>
      </w:r>
      <w:r w:rsidRPr="00936D22">
        <w:t>ESG</w:t>
      </w:r>
      <w:r w:rsidRPr="00936D22">
        <w:rPr>
          <w:rtl/>
        </w:rPr>
        <w:t xml:space="preserve"> באתר הייעודי לעניין (כ-</w:t>
      </w:r>
      <w:r w:rsidR="000F2903">
        <w:rPr>
          <w:rFonts w:hint="cs"/>
          <w:rtl/>
        </w:rPr>
        <w:t>9</w:t>
      </w:r>
      <w:r w:rsidRPr="00936D22">
        <w:rPr>
          <w:rtl/>
        </w:rPr>
        <w:t>% מהחברות הציבוריות) - חלקן עשו כן לפני פרסום המלצות הרשות או ללא קשר להן, בין משום ש</w:t>
      </w:r>
      <w:r w:rsidRPr="00936D22">
        <w:rPr>
          <w:rFonts w:hint="cs"/>
          <w:rtl/>
        </w:rPr>
        <w:t>מדובר</w:t>
      </w:r>
      <w:r w:rsidRPr="00936D22">
        <w:rPr>
          <w:rtl/>
        </w:rPr>
        <w:t xml:space="preserve"> ב</w:t>
      </w:r>
      <w:r w:rsidRPr="00936D22">
        <w:rPr>
          <w:rFonts w:hint="cs"/>
          <w:rtl/>
        </w:rPr>
        <w:t>ב</w:t>
      </w:r>
      <w:r w:rsidRPr="00936D22">
        <w:rPr>
          <w:rtl/>
        </w:rPr>
        <w:t>נקים המחויבים לעשות כן ממילא, או משום ש</w:t>
      </w:r>
      <w:r w:rsidRPr="00936D22">
        <w:rPr>
          <w:rFonts w:hint="cs"/>
          <w:rtl/>
        </w:rPr>
        <w:t>מדובר</w:t>
      </w:r>
      <w:r w:rsidRPr="00936D22">
        <w:rPr>
          <w:rtl/>
        </w:rPr>
        <w:t xml:space="preserve"> </w:t>
      </w:r>
      <w:r w:rsidRPr="00936D22">
        <w:rPr>
          <w:rFonts w:hint="cs"/>
          <w:rtl/>
        </w:rPr>
        <w:t>ב</w:t>
      </w:r>
      <w:r w:rsidRPr="00936D22">
        <w:rPr>
          <w:rtl/>
        </w:rPr>
        <w:t>חברות בי</w:t>
      </w:r>
      <w:r w:rsidRPr="00936D22">
        <w:rPr>
          <w:rFonts w:hint="cs"/>
          <w:rtl/>
        </w:rPr>
        <w:t>ן-</w:t>
      </w:r>
      <w:r w:rsidRPr="00936D22">
        <w:rPr>
          <w:rtl/>
        </w:rPr>
        <w:t xml:space="preserve">לאומיות המקיימות דרישות רגולטוריות מחו"ל. מכאן שאפקטיביות </w:t>
      </w:r>
      <w:r w:rsidRPr="00936D22">
        <w:rPr>
          <w:rFonts w:hint="cs"/>
          <w:rtl/>
        </w:rPr>
        <w:t>האסדרה הוולונטרית</w:t>
      </w:r>
      <w:r w:rsidRPr="00936D22">
        <w:rPr>
          <w:rtl/>
        </w:rPr>
        <w:t xml:space="preserve"> מוטלת בספק</w:t>
      </w:r>
      <w:r w:rsidRPr="00AF3B73">
        <w:rPr>
          <w:rFonts w:hint="cs"/>
          <w:rtl/>
        </w:rPr>
        <w:t xml:space="preserve">. </w:t>
      </w:r>
    </w:p>
    <w:p w:rsidR="008432DF" w:rsidP="008432DF" w14:paraId="09B68BD6" w14:textId="616A4905">
      <w:pPr>
        <w:pStyle w:val="7316"/>
        <w:rPr>
          <w:rtl/>
        </w:rPr>
      </w:pPr>
      <w:r w:rsidRPr="00460EE3">
        <w:rPr>
          <w:rStyle w:val="7371"/>
          <w:rFonts w:hint="cs"/>
          <w:noProof/>
          <w:rtl/>
        </w:rPr>
        <w:drawing>
          <wp:anchor distT="0" distB="0" distL="114300" distR="114300" simplePos="0" relativeHeight="251710464" behindDoc="1" locked="0" layoutInCell="1" allowOverlap="1">
            <wp:simplePos x="0" y="0"/>
            <wp:positionH relativeFrom="column">
              <wp:posOffset>4556955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1237545773" name="תמונה 1237545773">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7069"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460EE3">
        <w:rPr>
          <w:rStyle w:val="7371"/>
          <w:rtl/>
        </w:rPr>
        <w:t>רשות שוק ההון, ביטוח וחיסכון והיערכותה לסיכוני אקלים</w:t>
      </w:r>
      <w:r w:rsidRPr="00460EE3">
        <w:rPr>
          <w:rStyle w:val="7371"/>
          <w:rFonts w:hint="cs"/>
          <w:rtl/>
        </w:rPr>
        <w:t xml:space="preserve"> -</w:t>
      </w:r>
      <w:r w:rsidRPr="00936D22">
        <w:rPr>
          <w:rFonts w:hint="cs"/>
          <w:rtl/>
        </w:rPr>
        <w:t xml:space="preserve"> </w:t>
      </w:r>
      <w:r w:rsidRPr="00936D22">
        <w:rPr>
          <w:rtl/>
        </w:rPr>
        <w:t>בדוח הקודם נמצא כי הנחיות רשות שוק ההון</w:t>
      </w:r>
      <w:r w:rsidRPr="00936D22">
        <w:rPr>
          <w:rFonts w:hint="cs"/>
          <w:rtl/>
        </w:rPr>
        <w:t>,</w:t>
      </w:r>
      <w:r w:rsidRPr="00936D22">
        <w:rPr>
          <w:rtl/>
        </w:rPr>
        <w:t xml:space="preserve"> ביטוח וחיסכון לא </w:t>
      </w:r>
      <w:r w:rsidRPr="00936D22">
        <w:rPr>
          <w:rFonts w:hint="cs"/>
          <w:rtl/>
        </w:rPr>
        <w:t>עסק</w:t>
      </w:r>
      <w:r w:rsidRPr="00936D22">
        <w:rPr>
          <w:rtl/>
        </w:rPr>
        <w:t xml:space="preserve">ו </w:t>
      </w:r>
      <w:r w:rsidRPr="00936D22">
        <w:rPr>
          <w:rFonts w:hint="cs"/>
          <w:rtl/>
        </w:rPr>
        <w:t>ב</w:t>
      </w:r>
      <w:r w:rsidRPr="00936D22">
        <w:rPr>
          <w:rtl/>
        </w:rPr>
        <w:t>היבטי אקלים ולא כללו הנחיות ל</w:t>
      </w:r>
      <w:r w:rsidRPr="00936D22">
        <w:rPr>
          <w:rFonts w:hint="cs"/>
          <w:rtl/>
        </w:rPr>
        <w:t xml:space="preserve">גבי </w:t>
      </w:r>
      <w:r w:rsidRPr="00936D22">
        <w:rPr>
          <w:rtl/>
        </w:rPr>
        <w:t xml:space="preserve">מתכונת הדיווח בדבר היבטי </w:t>
      </w:r>
      <w:r w:rsidRPr="00936D22">
        <w:t>ESG</w:t>
      </w:r>
      <w:r w:rsidRPr="00936D22">
        <w:rPr>
          <w:rtl/>
        </w:rPr>
        <w:t xml:space="preserve"> שיש לפרסם ו</w:t>
      </w:r>
      <w:r w:rsidRPr="00936D22">
        <w:rPr>
          <w:rFonts w:hint="cs"/>
          <w:rtl/>
        </w:rPr>
        <w:t xml:space="preserve">לגבי השאלה </w:t>
      </w:r>
      <w:r w:rsidRPr="00936D22">
        <w:rPr>
          <w:rtl/>
        </w:rPr>
        <w:t>אם לכלול בהם היבטי אקלים</w:t>
      </w:r>
      <w:r w:rsidRPr="00936D22">
        <w:rPr>
          <w:rFonts w:hint="cs"/>
          <w:rtl/>
        </w:rPr>
        <w:t>,</w:t>
      </w:r>
      <w:r w:rsidRPr="00936D22">
        <w:rPr>
          <w:rtl/>
        </w:rPr>
        <w:t xml:space="preserve"> והומלץ לשקול פעולות להטמעת הסיכונים הכרוכים בשינוי</w:t>
      </w:r>
      <w:r w:rsidRPr="00936D22">
        <w:rPr>
          <w:rFonts w:hint="cs"/>
          <w:rtl/>
        </w:rPr>
        <w:t>י</w:t>
      </w:r>
      <w:r w:rsidRPr="00936D22">
        <w:rPr>
          <w:rtl/>
        </w:rPr>
        <w:t xml:space="preserve"> </w:t>
      </w:r>
      <w:r w:rsidRPr="00936D22">
        <w:rPr>
          <w:rFonts w:hint="cs"/>
          <w:rtl/>
        </w:rPr>
        <w:t>ה</w:t>
      </w:r>
      <w:r w:rsidRPr="00936D22">
        <w:rPr>
          <w:rtl/>
        </w:rPr>
        <w:t xml:space="preserve">אקלים במסגרת חובות הגילוי שחלים על גופים מוסדיים בישראל. </w:t>
      </w:r>
      <w:r w:rsidRPr="00936D22">
        <w:rPr>
          <w:rFonts w:hint="eastAsia"/>
          <w:rtl/>
        </w:rPr>
        <w:t>ב</w:t>
      </w:r>
      <w:r w:rsidRPr="00936D22">
        <w:rPr>
          <w:rtl/>
        </w:rPr>
        <w:t xml:space="preserve">ביקורת המעקב </w:t>
      </w:r>
      <w:r w:rsidRPr="00936D22">
        <w:rPr>
          <w:rFonts w:hint="eastAsia"/>
          <w:rtl/>
        </w:rPr>
        <w:t>נמצא</w:t>
      </w:r>
      <w:r w:rsidRPr="00936D22">
        <w:rPr>
          <w:rtl/>
        </w:rPr>
        <w:t xml:space="preserve"> כי </w:t>
      </w:r>
      <w:r w:rsidRPr="00F600A6">
        <w:rPr>
          <w:rStyle w:val="7371"/>
          <w:rtl/>
        </w:rPr>
        <w:t>הליקוי תוקן במידה מועטה</w:t>
      </w:r>
      <w:r w:rsidRPr="00F600A6">
        <w:rPr>
          <w:rStyle w:val="7371"/>
          <w:rFonts w:hint="cs"/>
          <w:rtl/>
        </w:rPr>
        <w:t xml:space="preserve"> -</w:t>
      </w:r>
      <w:r w:rsidRPr="00936D22">
        <w:rPr>
          <w:rtl/>
        </w:rPr>
        <w:t xml:space="preserve"> הרשות פרסמה </w:t>
      </w:r>
      <w:r w:rsidRPr="00936D22">
        <w:rPr>
          <w:rFonts w:hint="cs"/>
          <w:rtl/>
        </w:rPr>
        <w:t>כמה</w:t>
      </w:r>
      <w:r w:rsidRPr="00936D22">
        <w:rPr>
          <w:rtl/>
        </w:rPr>
        <w:t xml:space="preserve"> הנחיות בתחומי ניהול הסיכונים, ההשקעות וחובות הגילוי וביצעה </w:t>
      </w:r>
      <w:r w:rsidRPr="00936D22">
        <w:rPr>
          <w:rFonts w:hint="cs"/>
          <w:rtl/>
        </w:rPr>
        <w:t>סקירה</w:t>
      </w:r>
      <w:r w:rsidRPr="00936D22">
        <w:rPr>
          <w:rtl/>
        </w:rPr>
        <w:t xml:space="preserve"> של הטמעת הנחיותיה בגופים מפוקחים, אולם לצד זאת עמדתה היא כי בשלב זה אין מקום לקביעת שיטה אחידה לניהול סיכוני אקלים וסביבה. עוד נמצא בביקורת המעקב כי חובות הגילוי נותרו כלליות וחסרות מרכיבי גילוי כמותי ל</w:t>
      </w:r>
      <w:r w:rsidRPr="00936D22">
        <w:rPr>
          <w:rFonts w:hint="cs"/>
          <w:rtl/>
        </w:rPr>
        <w:t>גבי</w:t>
      </w:r>
      <w:r w:rsidRPr="00936D22">
        <w:rPr>
          <w:rtl/>
        </w:rPr>
        <w:t xml:space="preserve"> סך ההשקעות בחברות </w:t>
      </w:r>
      <w:r w:rsidRPr="00936D22">
        <w:rPr>
          <w:rtl/>
        </w:rPr>
        <w:t>פוסיליות</w:t>
      </w:r>
      <w:r w:rsidRPr="00936D22">
        <w:rPr>
          <w:rFonts w:hint="cs"/>
          <w:rtl/>
        </w:rPr>
        <w:t>,</w:t>
      </w:r>
      <w:r w:rsidRPr="00936D22">
        <w:rPr>
          <w:rtl/>
        </w:rPr>
        <w:t xml:space="preserve"> ואין הגדרות ברורות לדיווח על היבטי סביבה; וכי הרשות א</w:t>
      </w:r>
      <w:r w:rsidRPr="00936D22">
        <w:rPr>
          <w:rFonts w:hint="cs"/>
          <w:rtl/>
        </w:rPr>
        <w:t>ינה</w:t>
      </w:r>
      <w:r w:rsidRPr="00936D22">
        <w:rPr>
          <w:rtl/>
        </w:rPr>
        <w:t xml:space="preserve"> מקדמת בשלב זה מבחני קיצון בהקשר </w:t>
      </w:r>
      <w:r w:rsidRPr="00936D22">
        <w:rPr>
          <w:rFonts w:hint="cs"/>
          <w:rtl/>
        </w:rPr>
        <w:t xml:space="preserve">של </w:t>
      </w:r>
      <w:r w:rsidRPr="00936D22">
        <w:rPr>
          <w:rtl/>
        </w:rPr>
        <w:t xml:space="preserve">סיכוני </w:t>
      </w:r>
      <w:r w:rsidRPr="00936D22">
        <w:rPr>
          <w:rFonts w:hint="cs"/>
          <w:rtl/>
        </w:rPr>
        <w:t>ה</w:t>
      </w:r>
      <w:r w:rsidRPr="00936D22">
        <w:rPr>
          <w:rtl/>
        </w:rPr>
        <w:t xml:space="preserve">אקלים, בין היתר בשל </w:t>
      </w:r>
      <w:r w:rsidRPr="00936D22">
        <w:rPr>
          <w:rFonts w:hint="cs"/>
          <w:rtl/>
        </w:rPr>
        <w:t>העובדה</w:t>
      </w:r>
      <w:r w:rsidRPr="00936D22">
        <w:rPr>
          <w:rtl/>
        </w:rPr>
        <w:t xml:space="preserve"> שטרם אומץ בישראל תרחיש אקלים לאומי אחוד</w:t>
      </w:r>
      <w:r w:rsidRPr="00AF3B73">
        <w:rPr>
          <w:rFonts w:hint="cs"/>
          <w:rtl/>
        </w:rPr>
        <w:t xml:space="preserve">. </w:t>
      </w:r>
    </w:p>
    <w:p w:rsidR="00EB672B" w:rsidRPr="000B463F" w:rsidP="00C035DE" w14:paraId="5AE2419C" w14:textId="77777777">
      <w:pPr>
        <w:spacing w:before="480" w:after="240"/>
      </w:pPr>
      <w:r>
        <w:rPr>
          <w:noProof/>
        </w:rPr>
        <w:drawing>
          <wp:inline distT="0" distB="0" distL="0" distR="0">
            <wp:extent cx="2209800" cy="190500"/>
            <wp:effectExtent l="0" t="0" r="0" b="0"/>
            <wp:docPr id="374811198" name="תמונה 3" descr="ממצאים חיובי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728440" name="תמונה 3" descr="ממצאים חיוביים"/>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a:xfrm>
                      <a:off x="0" y="0"/>
                      <a:ext cx="2209800" cy="190500"/>
                    </a:xfrm>
                    <a:prstGeom prst="rect">
                      <a:avLst/>
                    </a:prstGeom>
                  </pic:spPr>
                </pic:pic>
              </a:graphicData>
            </a:graphic>
          </wp:inline>
        </w:drawing>
      </w:r>
    </w:p>
    <w:p w:rsidR="008432DF" w:rsidRPr="00936D22" w:rsidP="008432DF" w14:paraId="1D9C6318" w14:textId="77777777">
      <w:pPr>
        <w:pStyle w:val="73512"/>
        <w:rPr>
          <w:rStyle w:val="7372"/>
          <w:bCs/>
          <w:color w:val="00305F"/>
          <w:sz w:val="24"/>
          <w:szCs w:val="24"/>
        </w:rPr>
      </w:pPr>
      <w:r w:rsidRPr="00936D22">
        <w:rPr>
          <w:rStyle w:val="7372"/>
          <w:bCs/>
          <w:color w:val="00305F"/>
          <w:sz w:val="24"/>
          <w:szCs w:val="24"/>
          <w:rtl/>
        </w:rPr>
        <w:t>חדשנות ומו"פ אקלים-טק</w:t>
      </w:r>
    </w:p>
    <w:p w:rsidR="00EB672B" w:rsidP="00EB672B" w14:paraId="34FBDC9B" w14:textId="029BBBB9">
      <w:pPr>
        <w:pStyle w:val="7316"/>
        <w:rPr>
          <w:rtl/>
        </w:rPr>
      </w:pPr>
      <w:r w:rsidRPr="00F600A6">
        <w:rPr>
          <w:rStyle w:val="7371"/>
          <w:rtl/>
        </w:rPr>
        <w:t xml:space="preserve">השקעות </w:t>
      </w:r>
      <w:r w:rsidRPr="00F600A6">
        <w:rPr>
          <w:rStyle w:val="7371"/>
          <w:rFonts w:hint="eastAsia"/>
          <w:rtl/>
        </w:rPr>
        <w:t>רשות</w:t>
      </w:r>
      <w:r w:rsidRPr="00F600A6">
        <w:rPr>
          <w:rStyle w:val="7371"/>
          <w:rtl/>
        </w:rPr>
        <w:t xml:space="preserve"> </w:t>
      </w:r>
      <w:r w:rsidRPr="00F600A6">
        <w:rPr>
          <w:rStyle w:val="7371"/>
          <w:rFonts w:hint="eastAsia"/>
          <w:rtl/>
        </w:rPr>
        <w:t>החדשנות</w:t>
      </w:r>
      <w:r w:rsidRPr="00F600A6">
        <w:rPr>
          <w:rStyle w:val="7371"/>
          <w:rtl/>
        </w:rPr>
        <w:t xml:space="preserve"> בתחום האקלים-טק </w:t>
      </w:r>
      <w:r w:rsidRPr="00F600A6">
        <w:rPr>
          <w:rStyle w:val="7371"/>
          <w:rFonts w:hint="cs"/>
          <w:rtl/>
        </w:rPr>
        <w:t>-</w:t>
      </w:r>
      <w:r w:rsidRPr="00936D22">
        <w:rPr>
          <w:rFonts w:hint="cs"/>
          <w:rtl/>
        </w:rPr>
        <w:t xml:space="preserve"> </w:t>
      </w:r>
      <w:r w:rsidRPr="00936D22">
        <w:rPr>
          <w:rtl/>
        </w:rPr>
        <w:t xml:space="preserve">בדוח הקודם עלה שבשנת 2018 שיעור ההשקעה הציבורית של רשות החדשנות בתחומי </w:t>
      </w:r>
      <w:r w:rsidRPr="00936D22">
        <w:rPr>
          <w:rtl/>
        </w:rPr>
        <w:t>האנרגייה</w:t>
      </w:r>
      <w:r w:rsidRPr="00936D22">
        <w:rPr>
          <w:rtl/>
        </w:rPr>
        <w:t>, המים, הסביבה והקיימות</w:t>
      </w:r>
      <w:r w:rsidRPr="00936D22">
        <w:rPr>
          <w:rFonts w:hint="cs"/>
          <w:rtl/>
        </w:rPr>
        <w:t xml:space="preserve"> היה</w:t>
      </w:r>
      <w:r w:rsidRPr="00936D22">
        <w:rPr>
          <w:rtl/>
        </w:rPr>
        <w:t xml:space="preserve"> 4%. </w:t>
      </w:r>
      <w:r w:rsidRPr="00936D22">
        <w:rPr>
          <w:rFonts w:hint="cs"/>
          <w:rtl/>
        </w:rPr>
        <w:t>ב</w:t>
      </w:r>
      <w:r w:rsidRPr="00936D22">
        <w:rPr>
          <w:rtl/>
        </w:rPr>
        <w:t>ביקורת המעקב</w:t>
      </w:r>
      <w:r w:rsidRPr="00936D22">
        <w:rPr>
          <w:rFonts w:hint="cs"/>
          <w:rtl/>
        </w:rPr>
        <w:t xml:space="preserve"> נמצא כי </w:t>
      </w:r>
      <w:r w:rsidRPr="00F600A6">
        <w:rPr>
          <w:rStyle w:val="7371"/>
          <w:rFonts w:hint="cs"/>
          <w:rtl/>
        </w:rPr>
        <w:t xml:space="preserve">הליקוי </w:t>
      </w:r>
      <w:r w:rsidRPr="00F600A6">
        <w:rPr>
          <w:rStyle w:val="7371"/>
          <w:rtl/>
        </w:rPr>
        <w:t>תוקן במידה רבה -</w:t>
      </w:r>
      <w:r w:rsidRPr="00936D22">
        <w:rPr>
          <w:rtl/>
        </w:rPr>
        <w:t xml:space="preserve"> בשנת 2022 הוצגה עלייה בהשקעה של  5.7% (96 מיליון ש"ח), המגלמת שיפור </w:t>
      </w:r>
      <w:r w:rsidRPr="00936D22">
        <w:rPr>
          <w:rFonts w:hint="cs"/>
          <w:rtl/>
        </w:rPr>
        <w:t xml:space="preserve">מסוים </w:t>
      </w:r>
      <w:r w:rsidRPr="00936D22">
        <w:rPr>
          <w:rtl/>
        </w:rPr>
        <w:t>ביחס לשנת 201</w:t>
      </w:r>
      <w:r w:rsidRPr="00936D22">
        <w:rPr>
          <w:rFonts w:hint="cs"/>
          <w:rtl/>
        </w:rPr>
        <w:t>8</w:t>
      </w:r>
      <w:r w:rsidRPr="00CA4EB1">
        <w:rPr>
          <w:rFonts w:hint="cs"/>
          <w:rtl/>
        </w:rPr>
        <w:t>.</w:t>
      </w:r>
    </w:p>
    <w:p w:rsidR="008432DF" w:rsidRPr="00936D22" w:rsidP="008432DF" w14:paraId="4A43112C" w14:textId="77777777">
      <w:pPr>
        <w:pStyle w:val="73512"/>
        <w:rPr>
          <w:rStyle w:val="7372"/>
          <w:bCs/>
          <w:color w:val="00305F"/>
          <w:sz w:val="24"/>
          <w:szCs w:val="24"/>
        </w:rPr>
      </w:pPr>
      <w:r w:rsidRPr="00936D22">
        <w:rPr>
          <w:rStyle w:val="7372"/>
          <w:bCs/>
          <w:color w:val="00305F"/>
          <w:sz w:val="24"/>
          <w:szCs w:val="24"/>
          <w:rtl/>
        </w:rPr>
        <w:t>היערכות</w:t>
      </w:r>
      <w:r w:rsidRPr="00936D22">
        <w:rPr>
          <w:rStyle w:val="7372"/>
          <w:color w:val="00305F"/>
          <w:sz w:val="24"/>
          <w:szCs w:val="24"/>
          <w:rtl/>
        </w:rPr>
        <w:t xml:space="preserve"> </w:t>
      </w:r>
      <w:r w:rsidRPr="00936D22">
        <w:rPr>
          <w:rStyle w:val="7372"/>
          <w:bCs/>
          <w:color w:val="00305F"/>
          <w:sz w:val="24"/>
          <w:szCs w:val="24"/>
          <w:rtl/>
        </w:rPr>
        <w:t>לסיכונים פיננסיים שמקורם בשינויי אקלים</w:t>
      </w:r>
    </w:p>
    <w:p w:rsidR="00EB672B" w:rsidRPr="00CA4EB1" w:rsidP="00EB672B" w14:paraId="3D4B0578" w14:textId="5BE21056">
      <w:pPr>
        <w:pStyle w:val="7316"/>
        <w:rPr>
          <w:rtl/>
        </w:rPr>
      </w:pPr>
      <w:r w:rsidRPr="00F600A6">
        <w:rPr>
          <w:rStyle w:val="7371"/>
          <w:rFonts w:hint="cs"/>
          <w:rtl/>
        </w:rPr>
        <w:t>סיכוני אקלים במערכת הבנקאות -</w:t>
      </w:r>
      <w:r w:rsidRPr="00936D22">
        <w:rPr>
          <w:rFonts w:hint="cs"/>
          <w:rtl/>
        </w:rPr>
        <w:t xml:space="preserve"> </w:t>
      </w:r>
      <w:r w:rsidRPr="00936D22">
        <w:rPr>
          <w:rtl/>
        </w:rPr>
        <w:t xml:space="preserve">בדוח הקודם עלה שהפיקוח על הבנקים לא התייחס במפורש לסיכוני </w:t>
      </w:r>
      <w:r w:rsidRPr="00936D22">
        <w:rPr>
          <w:rFonts w:hint="cs"/>
          <w:rtl/>
        </w:rPr>
        <w:t>ה</w:t>
      </w:r>
      <w:r w:rsidRPr="00936D22">
        <w:rPr>
          <w:rtl/>
        </w:rPr>
        <w:t>אקלים בהנחיות לגופים המפוקחים והותיר את העניין לשיקול דעת רחב יחסי</w:t>
      </w:r>
      <w:r w:rsidRPr="00936D22">
        <w:rPr>
          <w:rFonts w:hint="cs"/>
          <w:rtl/>
        </w:rPr>
        <w:t>ת</w:t>
      </w:r>
      <w:r w:rsidRPr="00936D22">
        <w:rPr>
          <w:rtl/>
        </w:rPr>
        <w:t xml:space="preserve">. </w:t>
      </w:r>
      <w:r w:rsidRPr="00936D22">
        <w:rPr>
          <w:rFonts w:hint="cs"/>
          <w:rtl/>
        </w:rPr>
        <w:t>ב</w:t>
      </w:r>
      <w:r w:rsidRPr="00936D22">
        <w:rPr>
          <w:rtl/>
        </w:rPr>
        <w:t>ביקורת המעקב</w:t>
      </w:r>
      <w:r w:rsidRPr="00936D22">
        <w:rPr>
          <w:rFonts w:hint="cs"/>
          <w:rtl/>
        </w:rPr>
        <w:t xml:space="preserve"> נמצא </w:t>
      </w:r>
      <w:r w:rsidRPr="00F600A6">
        <w:rPr>
          <w:rStyle w:val="7371"/>
          <w:rFonts w:hint="cs"/>
          <w:rtl/>
        </w:rPr>
        <w:t>שהליקוי תוקן במידה רבה -</w:t>
      </w:r>
      <w:r w:rsidRPr="00936D22">
        <w:rPr>
          <w:rFonts w:hint="cs"/>
          <w:rtl/>
        </w:rPr>
        <w:t xml:space="preserve"> </w:t>
      </w:r>
      <w:r w:rsidRPr="00936D22">
        <w:rPr>
          <w:rtl/>
        </w:rPr>
        <w:t>ביוני 2023 פורסמה הוראת ניהול בנקאי תקין מס</w:t>
      </w:r>
      <w:r w:rsidRPr="00936D22">
        <w:rPr>
          <w:rFonts w:hint="cs"/>
          <w:rtl/>
        </w:rPr>
        <w:t>'</w:t>
      </w:r>
      <w:r w:rsidRPr="00936D22">
        <w:rPr>
          <w:rtl/>
        </w:rPr>
        <w:t xml:space="preserve"> 345 בנושא עקרונות לניהול אפקטיבי של סיכונים פיננסיים שקשורים לאקלים</w:t>
      </w:r>
      <w:r w:rsidRPr="00936D22">
        <w:rPr>
          <w:rFonts w:hint="cs"/>
          <w:rtl/>
        </w:rPr>
        <w:t>,</w:t>
      </w:r>
      <w:r w:rsidRPr="00936D22">
        <w:rPr>
          <w:rtl/>
        </w:rPr>
        <w:t xml:space="preserve"> ובה עקרונות רבים אשר אימצו את המלצות ועדת באזל משנת 2022. כמו כן חלה התקדמות של ממש בפעילות הפיקוח על הבנקים הן בנושא ההתייחסות המפורשת לנושא האקלים והרחבתו גם לסיכוני סביבה נוספים והן בהגברת חובות הגילוי שחל</w:t>
      </w:r>
      <w:r w:rsidRPr="00936D22">
        <w:rPr>
          <w:rFonts w:hint="cs"/>
          <w:rtl/>
        </w:rPr>
        <w:t>ות</w:t>
      </w:r>
      <w:r w:rsidRPr="00936D22">
        <w:rPr>
          <w:rtl/>
        </w:rPr>
        <w:t xml:space="preserve"> כיום על המערכת הבנקאית. לצד זאת נמצאו פערים בפעולות הפיקוח על הבנקים ב</w:t>
      </w:r>
      <w:r w:rsidRPr="00936D22">
        <w:rPr>
          <w:rFonts w:hint="cs"/>
          <w:rtl/>
        </w:rPr>
        <w:t>נוגע</w:t>
      </w:r>
      <w:r w:rsidRPr="00936D22">
        <w:rPr>
          <w:rtl/>
        </w:rPr>
        <w:t xml:space="preserve"> </w:t>
      </w:r>
      <w:r w:rsidRPr="00936D22">
        <w:rPr>
          <w:rFonts w:hint="cs"/>
          <w:rtl/>
        </w:rPr>
        <w:t>ל</w:t>
      </w:r>
      <w:r w:rsidRPr="00936D22">
        <w:rPr>
          <w:rtl/>
        </w:rPr>
        <w:t xml:space="preserve">צורך </w:t>
      </w:r>
      <w:r w:rsidRPr="00936D22">
        <w:rPr>
          <w:rtl/>
        </w:rPr>
        <w:t>בהרחבה ו</w:t>
      </w:r>
      <w:r w:rsidRPr="00936D22">
        <w:rPr>
          <w:rFonts w:hint="cs"/>
          <w:rtl/>
        </w:rPr>
        <w:t>ב</w:t>
      </w:r>
      <w:r w:rsidRPr="00936D22">
        <w:rPr>
          <w:rtl/>
        </w:rPr>
        <w:t xml:space="preserve">דיוק </w:t>
      </w:r>
      <w:r w:rsidRPr="00936D22">
        <w:rPr>
          <w:rFonts w:hint="cs"/>
          <w:rtl/>
        </w:rPr>
        <w:t xml:space="preserve">של </w:t>
      </w:r>
      <w:r w:rsidRPr="00936D22">
        <w:rPr>
          <w:rtl/>
        </w:rPr>
        <w:t>חובות הגילוי הכמותיות וב</w:t>
      </w:r>
      <w:r w:rsidRPr="00936D22">
        <w:rPr>
          <w:rFonts w:hint="cs"/>
          <w:rtl/>
        </w:rPr>
        <w:t>נוגע ל</w:t>
      </w:r>
      <w:r w:rsidRPr="00936D22">
        <w:rPr>
          <w:rtl/>
        </w:rPr>
        <w:t xml:space="preserve">צורך </w:t>
      </w:r>
      <w:r w:rsidRPr="00936D22">
        <w:rPr>
          <w:rFonts w:hint="cs"/>
          <w:rtl/>
        </w:rPr>
        <w:t>ב</w:t>
      </w:r>
      <w:r w:rsidRPr="00936D22">
        <w:rPr>
          <w:rtl/>
        </w:rPr>
        <w:t>יצירת קריטריונים אחידים לדיווח על ידי התאגידים הבנקאיים. נוסף</w:t>
      </w:r>
      <w:r w:rsidRPr="00936D22">
        <w:rPr>
          <w:rFonts w:hint="cs"/>
          <w:rtl/>
        </w:rPr>
        <w:t xml:space="preserve"> על כך</w:t>
      </w:r>
      <w:r w:rsidRPr="00936D22">
        <w:rPr>
          <w:rtl/>
        </w:rPr>
        <w:t xml:space="preserve"> קיימים פערים ברמת מערכת הבנקאות, </w:t>
      </w:r>
      <w:r w:rsidRPr="00936D22">
        <w:rPr>
          <w:rFonts w:hint="cs"/>
          <w:rtl/>
        </w:rPr>
        <w:t>למשל</w:t>
      </w:r>
      <w:r w:rsidRPr="00936D22">
        <w:rPr>
          <w:rtl/>
        </w:rPr>
        <w:t xml:space="preserve"> ב</w:t>
      </w:r>
      <w:r w:rsidRPr="00936D22">
        <w:rPr>
          <w:rFonts w:hint="cs"/>
          <w:rtl/>
        </w:rPr>
        <w:t>נוגע</w:t>
      </w:r>
      <w:r w:rsidRPr="00936D22">
        <w:rPr>
          <w:rtl/>
        </w:rPr>
        <w:t xml:space="preserve"> לביצוע מבחני קיצון אקלימיים </w:t>
      </w:r>
      <w:r w:rsidRPr="00936D22">
        <w:rPr>
          <w:rFonts w:hint="cs"/>
          <w:rtl/>
        </w:rPr>
        <w:t>כדי</w:t>
      </w:r>
      <w:r w:rsidRPr="00936D22">
        <w:rPr>
          <w:rtl/>
        </w:rPr>
        <w:t xml:space="preserve"> לבחון את יכולת התמודדותם בישראל במקרה של התממשות סיכוני אקלים וסביבה</w:t>
      </w:r>
      <w:r>
        <w:rPr>
          <w:rFonts w:hint="cs"/>
          <w:rtl/>
        </w:rPr>
        <w:t>.</w:t>
      </w:r>
    </w:p>
    <w:p w:rsidR="00EB672B" w:rsidRPr="006F49D3" w:rsidP="006F49D3" w14:paraId="021D9A4C" w14:textId="77777777">
      <w:pPr>
        <w:pStyle w:val="7326"/>
        <w:rPr>
          <w:rtl/>
        </w:rPr>
      </w:pPr>
      <w:r w:rsidRPr="006F49D3">
        <w:rPr>
          <w:rFonts w:hint="cs"/>
          <w:rtl/>
        </w:rPr>
        <w:t>עיקרי המלצות הביקורת</w:t>
      </w:r>
    </w:p>
    <w:p w:rsidR="008432DF" w:rsidRPr="00936D22" w:rsidP="008432DF" w14:paraId="27950879" w14:textId="77777777">
      <w:pPr>
        <w:pStyle w:val="73512"/>
        <w:rPr>
          <w:rStyle w:val="7372"/>
          <w:bCs/>
          <w:color w:val="00305F"/>
          <w:sz w:val="24"/>
          <w:szCs w:val="24"/>
        </w:rPr>
      </w:pPr>
      <w:r w:rsidRPr="00936D22">
        <w:rPr>
          <w:rStyle w:val="7372"/>
          <w:bCs/>
          <w:color w:val="00305F"/>
          <w:sz w:val="24"/>
          <w:szCs w:val="24"/>
          <w:rtl/>
        </w:rPr>
        <w:t xml:space="preserve">הערכות בדבר ההשפעות הכלכליות של שינויי </w:t>
      </w:r>
      <w:r w:rsidRPr="00936D22">
        <w:rPr>
          <w:rStyle w:val="7372"/>
          <w:rFonts w:hint="cs"/>
          <w:bCs/>
          <w:color w:val="00305F"/>
          <w:sz w:val="24"/>
          <w:szCs w:val="24"/>
          <w:rtl/>
        </w:rPr>
        <w:t>ה</w:t>
      </w:r>
      <w:r w:rsidRPr="00936D22">
        <w:rPr>
          <w:rStyle w:val="7372"/>
          <w:bCs/>
          <w:color w:val="00305F"/>
          <w:sz w:val="24"/>
          <w:szCs w:val="24"/>
          <w:rtl/>
        </w:rPr>
        <w:t>אקלים</w:t>
      </w:r>
      <w:r w:rsidRPr="00936D22">
        <w:rPr>
          <w:rStyle w:val="7372"/>
          <w:rFonts w:hint="cs"/>
          <w:bCs/>
          <w:color w:val="00305F"/>
          <w:sz w:val="24"/>
          <w:szCs w:val="24"/>
          <w:rtl/>
        </w:rPr>
        <w:t xml:space="preserve"> </w:t>
      </w:r>
    </w:p>
    <w:p w:rsidR="00EB672B" w:rsidP="00EB672B" w14:paraId="44B516F2" w14:textId="28EB0F90">
      <w:pPr>
        <w:pStyle w:val="7316"/>
        <w:rPr>
          <w:rtl/>
        </w:rPr>
      </w:pPr>
      <w:r w:rsidRPr="0063556C">
        <w:rPr>
          <w:rStyle w:val="7372"/>
          <w:rFonts w:hint="cs"/>
          <w:noProof/>
          <w:rtl/>
        </w:rPr>
        <w:drawing>
          <wp:anchor distT="0" distB="1440180" distL="71755" distR="107950" simplePos="0" relativeHeight="251674624" behindDoc="1" locked="0" layoutInCell="1" allowOverlap="1">
            <wp:simplePos x="0" y="0"/>
            <wp:positionH relativeFrom="column">
              <wp:posOffset>4519930</wp:posOffset>
            </wp:positionH>
            <wp:positionV relativeFrom="paragraph">
              <wp:posOffset>25400</wp:posOffset>
            </wp:positionV>
            <wp:extent cx="144000" cy="162000"/>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1451066628"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4042512"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6"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936D22" w:rsidR="008432DF">
        <w:rPr>
          <w:rFonts w:hint="cs"/>
          <w:rtl/>
        </w:rPr>
        <w:t>מומלץ כי משרד האוצר י</w:t>
      </w:r>
      <w:r w:rsidRPr="00936D22" w:rsidR="008432DF">
        <w:rPr>
          <w:rtl/>
        </w:rPr>
        <w:t>יזום ויוביל מחקר עומק לניתוח ההש</w:t>
      </w:r>
      <w:r w:rsidRPr="00936D22" w:rsidR="008432DF">
        <w:rPr>
          <w:rFonts w:hint="cs"/>
          <w:rtl/>
        </w:rPr>
        <w:t>פע</w:t>
      </w:r>
      <w:r w:rsidRPr="00936D22" w:rsidR="008432DF">
        <w:rPr>
          <w:rtl/>
        </w:rPr>
        <w:t xml:space="preserve">ות הכלכליות-פיסקליות ארוכות הטווח הכולל הערכות </w:t>
      </w:r>
      <w:r w:rsidRPr="00936D22" w:rsidR="008432DF">
        <w:rPr>
          <w:rFonts w:hint="cs"/>
          <w:rtl/>
        </w:rPr>
        <w:t>ש</w:t>
      </w:r>
      <w:r w:rsidRPr="00936D22" w:rsidR="008432DF">
        <w:rPr>
          <w:rtl/>
        </w:rPr>
        <w:t xml:space="preserve">ל עלויות </w:t>
      </w:r>
      <w:r w:rsidRPr="00936D22" w:rsidR="008432DF">
        <w:rPr>
          <w:rFonts w:hint="cs"/>
          <w:rtl/>
        </w:rPr>
        <w:t>ה</w:t>
      </w:r>
      <w:r w:rsidRPr="00936D22" w:rsidR="008432DF">
        <w:rPr>
          <w:rtl/>
        </w:rPr>
        <w:t xml:space="preserve">היערכות לשינויי </w:t>
      </w:r>
      <w:r w:rsidRPr="00936D22" w:rsidR="008432DF">
        <w:rPr>
          <w:rFonts w:hint="cs"/>
          <w:rtl/>
        </w:rPr>
        <w:t>ה</w:t>
      </w:r>
      <w:r w:rsidRPr="00936D22" w:rsidR="008432DF">
        <w:rPr>
          <w:rtl/>
        </w:rPr>
        <w:t>אקלים בישראל ו</w:t>
      </w:r>
      <w:r w:rsidRPr="00936D22" w:rsidR="008432DF">
        <w:rPr>
          <w:rFonts w:hint="cs"/>
          <w:rtl/>
        </w:rPr>
        <w:t xml:space="preserve">עלויות </w:t>
      </w:r>
      <w:r w:rsidRPr="00936D22" w:rsidR="008432DF">
        <w:rPr>
          <w:rtl/>
        </w:rPr>
        <w:t xml:space="preserve">נקיטת אמצעי </w:t>
      </w:r>
      <w:r w:rsidRPr="00936D22" w:rsidR="008432DF">
        <w:rPr>
          <w:rtl/>
        </w:rPr>
        <w:t>מיטיגציה</w:t>
      </w:r>
      <w:r w:rsidRPr="00936D22" w:rsidR="008432DF">
        <w:rPr>
          <w:rtl/>
        </w:rPr>
        <w:t xml:space="preserve"> להשגת יעדים לאומיים בעניין</w:t>
      </w:r>
      <w:r w:rsidR="00E866B5">
        <w:rPr>
          <w:rFonts w:hint="cs"/>
          <w:rtl/>
        </w:rPr>
        <w:t xml:space="preserve"> </w:t>
      </w:r>
      <w:r w:rsidRPr="00E866B5" w:rsidR="00E866B5">
        <w:rPr>
          <w:rtl/>
        </w:rPr>
        <w:t>וכן עלויות של אי-נקיטת אמצעים אלו</w:t>
      </w:r>
      <w:r w:rsidRPr="00936D22" w:rsidR="008432DF">
        <w:rPr>
          <w:rFonts w:hint="cs"/>
          <w:rtl/>
        </w:rPr>
        <w:t>.</w:t>
      </w:r>
      <w:r w:rsidRPr="00936D22" w:rsidR="008432DF">
        <w:rPr>
          <w:rtl/>
        </w:rPr>
        <w:t xml:space="preserve"> </w:t>
      </w:r>
      <w:r w:rsidRPr="00936D22" w:rsidR="008432DF">
        <w:rPr>
          <w:rFonts w:hint="cs"/>
          <w:rtl/>
        </w:rPr>
        <w:t>זאת לפי</w:t>
      </w:r>
      <w:r w:rsidRPr="00936D22" w:rsidR="008432DF">
        <w:rPr>
          <w:rtl/>
        </w:rPr>
        <w:t xml:space="preserve"> תרחישי מדיניות אקלים שונים </w:t>
      </w:r>
      <w:r w:rsidRPr="00936D22" w:rsidR="008432DF">
        <w:rPr>
          <w:rFonts w:hint="cs"/>
          <w:rtl/>
        </w:rPr>
        <w:t>ו</w:t>
      </w:r>
      <w:r w:rsidRPr="00936D22" w:rsidR="008432DF">
        <w:rPr>
          <w:rtl/>
        </w:rPr>
        <w:t>בשים לב למחקרים כלכליים ו</w:t>
      </w:r>
      <w:r w:rsidRPr="00936D22" w:rsidR="008432DF">
        <w:rPr>
          <w:rFonts w:hint="cs"/>
          <w:rtl/>
        </w:rPr>
        <w:t>ל</w:t>
      </w:r>
      <w:r w:rsidRPr="00936D22" w:rsidR="008432DF">
        <w:rPr>
          <w:rtl/>
        </w:rPr>
        <w:t xml:space="preserve">הערכות שכבר בוצעו בעניין, כמו הערכות המשרד </w:t>
      </w:r>
      <w:r w:rsidRPr="00936D22" w:rsidR="008432DF">
        <w:rPr>
          <w:rtl/>
        </w:rPr>
        <w:t>להג"ס</w:t>
      </w:r>
      <w:r w:rsidRPr="00936D22" w:rsidR="008432DF">
        <w:rPr>
          <w:rtl/>
        </w:rPr>
        <w:t>, ובשים לב למחקרים כלכליים עולמיים עדכניים ולהמלצות הבי</w:t>
      </w:r>
      <w:r w:rsidRPr="00936D22" w:rsidR="008432DF">
        <w:rPr>
          <w:rFonts w:hint="cs"/>
          <w:rtl/>
        </w:rPr>
        <w:t>ן-</w:t>
      </w:r>
      <w:r w:rsidRPr="00936D22" w:rsidR="008432DF">
        <w:rPr>
          <w:rtl/>
        </w:rPr>
        <w:t xml:space="preserve">לאומיות של </w:t>
      </w:r>
      <w:r w:rsidRPr="00936D22" w:rsidR="008432DF">
        <w:rPr>
          <w:rFonts w:hint="cs"/>
          <w:rtl/>
        </w:rPr>
        <w:t xml:space="preserve">ארגון </w:t>
      </w:r>
      <w:r w:rsidRPr="00936D22" w:rsidR="008432DF">
        <w:rPr>
          <w:rtl/>
        </w:rPr>
        <w:t>ה-</w:t>
      </w:r>
      <w:r w:rsidRPr="00936D22" w:rsidR="008432DF">
        <w:t>OECD</w:t>
      </w:r>
      <w:r w:rsidRPr="00936D22" w:rsidR="008432DF">
        <w:rPr>
          <w:rtl/>
        </w:rPr>
        <w:t>, קואליציית שרי האוצר לאקלים וה-</w:t>
      </w:r>
      <w:r w:rsidRPr="00936D22" w:rsidR="008432DF">
        <w:t>IMF</w:t>
      </w:r>
      <w:r w:rsidRPr="00936D22" w:rsidR="008432DF">
        <w:rPr>
          <w:rtl/>
        </w:rPr>
        <w:t xml:space="preserve"> המיועדות למשרדי אוצר. מסקנות המחקר ישמשו בסיס להערכה כלכלית-פיסקלית לאומית מנחה ומתוקפת. בהכנת הערכה זו ו</w:t>
      </w:r>
      <w:r w:rsidRPr="00936D22" w:rsidR="008432DF">
        <w:rPr>
          <w:rFonts w:hint="cs"/>
          <w:rtl/>
        </w:rPr>
        <w:t>ב</w:t>
      </w:r>
      <w:r w:rsidRPr="00936D22" w:rsidR="008432DF">
        <w:rPr>
          <w:rtl/>
        </w:rPr>
        <w:t xml:space="preserve">תיקופה ראוי כי משרד האוצר ישתף את המועצה הלאומית לכלכלה, בנק ישראל, המשרד </w:t>
      </w:r>
      <w:r w:rsidRPr="00936D22" w:rsidR="008432DF">
        <w:rPr>
          <w:rtl/>
        </w:rPr>
        <w:t>להג"ס</w:t>
      </w:r>
      <w:r w:rsidRPr="00936D22" w:rsidR="008432DF">
        <w:rPr>
          <w:rtl/>
        </w:rPr>
        <w:t xml:space="preserve">, משרד </w:t>
      </w:r>
      <w:r w:rsidRPr="00936D22" w:rsidR="008432DF">
        <w:rPr>
          <w:rtl/>
        </w:rPr>
        <w:t>האנרגייה</w:t>
      </w:r>
      <w:r w:rsidRPr="00936D22" w:rsidR="008432DF">
        <w:rPr>
          <w:rtl/>
        </w:rPr>
        <w:t xml:space="preserve"> </w:t>
      </w:r>
      <w:r w:rsidRPr="00936D22" w:rsidR="008432DF">
        <w:rPr>
          <w:rtl/>
        </w:rPr>
        <w:t>והשמ"ט</w:t>
      </w:r>
      <w:r w:rsidRPr="00936D22" w:rsidR="008432DF">
        <w:rPr>
          <w:rtl/>
        </w:rPr>
        <w:t xml:space="preserve"> (לצורך הגדרת תרחישי ייחוס), וכן יבקש </w:t>
      </w:r>
      <w:r w:rsidRPr="00936D22" w:rsidR="008432DF">
        <w:rPr>
          <w:rtl/>
        </w:rPr>
        <w:t>ויאגם</w:t>
      </w:r>
      <w:r w:rsidRPr="00936D22" w:rsidR="008432DF">
        <w:rPr>
          <w:rtl/>
        </w:rPr>
        <w:t xml:space="preserve"> הערכות מכל המשרדים הממשלתיים והגופים הציבוריים שתשומותיהם </w:t>
      </w:r>
      <w:r w:rsidRPr="00936D22" w:rsidR="008432DF">
        <w:rPr>
          <w:rFonts w:hint="cs"/>
          <w:rtl/>
        </w:rPr>
        <w:t>רלוונטיות</w:t>
      </w:r>
      <w:r w:rsidRPr="00936D22" w:rsidR="008432DF">
        <w:rPr>
          <w:rtl/>
        </w:rPr>
        <w:t xml:space="preserve"> לגיבוש הערכה זו. עוד מומלץ כי משרד האוצר יפעל לכך שמהערכה זו ומתרחישי ייחוס אקלימיים י</w:t>
      </w:r>
      <w:r w:rsidRPr="00936D22" w:rsidR="008432DF">
        <w:rPr>
          <w:rFonts w:hint="cs"/>
          <w:rtl/>
        </w:rPr>
        <w:t>י</w:t>
      </w:r>
      <w:r w:rsidRPr="00936D22" w:rsidR="008432DF">
        <w:rPr>
          <w:rtl/>
        </w:rPr>
        <w:t xml:space="preserve">גזרו משמעויות תקציביות, ועל בסיס אלו גם יתקבלו החלטות מדיניות בכל משרדי הממשלה, לרוחב המשק. לבסוף מוצע כי המועצה הלאומית לכלכלה תשלים את הערכת המצב האסטרטגית אשר תתייחס </w:t>
      </w:r>
      <w:r w:rsidRPr="00936D22" w:rsidR="008432DF">
        <w:rPr>
          <w:rFonts w:hint="cs"/>
          <w:rtl/>
        </w:rPr>
        <w:t xml:space="preserve">גם </w:t>
      </w:r>
      <w:r w:rsidRPr="00936D22" w:rsidR="008432DF">
        <w:rPr>
          <w:rtl/>
        </w:rPr>
        <w:t>לשינויי אקלים ותביאה לדיון בממשלה</w:t>
      </w:r>
      <w:r w:rsidRPr="007C7D40">
        <w:rPr>
          <w:rFonts w:hint="cs"/>
          <w:rtl/>
        </w:rPr>
        <w:t xml:space="preserve">. </w:t>
      </w:r>
    </w:p>
    <w:p w:rsidR="008432DF" w:rsidRPr="00936D22" w:rsidP="008432DF" w14:paraId="14526425" w14:textId="77777777">
      <w:pPr>
        <w:pStyle w:val="73512"/>
        <w:rPr>
          <w:rStyle w:val="7372"/>
          <w:bCs/>
          <w:color w:val="00305F"/>
          <w:sz w:val="24"/>
          <w:szCs w:val="24"/>
          <w:rtl/>
        </w:rPr>
      </w:pPr>
      <w:r w:rsidRPr="00936D22">
        <w:rPr>
          <w:rStyle w:val="7372"/>
          <w:bCs/>
          <w:color w:val="00305F"/>
          <w:sz w:val="24"/>
          <w:szCs w:val="24"/>
          <w:rtl/>
        </w:rPr>
        <w:t>תפקיד</w:t>
      </w:r>
      <w:r w:rsidRPr="00936D22">
        <w:rPr>
          <w:rStyle w:val="7372"/>
          <w:color w:val="00305F"/>
          <w:sz w:val="24"/>
          <w:szCs w:val="24"/>
          <w:rtl/>
        </w:rPr>
        <w:t xml:space="preserve"> </w:t>
      </w:r>
      <w:r w:rsidRPr="00936D22">
        <w:rPr>
          <w:rStyle w:val="7372"/>
          <w:bCs/>
          <w:color w:val="00305F"/>
          <w:sz w:val="24"/>
          <w:szCs w:val="24"/>
          <w:rtl/>
        </w:rPr>
        <w:t xml:space="preserve">משרד </w:t>
      </w:r>
      <w:r w:rsidRPr="00936D22">
        <w:rPr>
          <w:rStyle w:val="7372"/>
          <w:rFonts w:hint="cs"/>
          <w:bCs/>
          <w:color w:val="00305F"/>
          <w:sz w:val="24"/>
          <w:szCs w:val="24"/>
          <w:rtl/>
        </w:rPr>
        <w:t>ה</w:t>
      </w:r>
      <w:r w:rsidRPr="00936D22">
        <w:rPr>
          <w:rStyle w:val="7372"/>
          <w:bCs/>
          <w:color w:val="00305F"/>
          <w:sz w:val="24"/>
          <w:szCs w:val="24"/>
          <w:rtl/>
        </w:rPr>
        <w:t>אוצר בקידום פעולות אקלים</w:t>
      </w:r>
    </w:p>
    <w:p w:rsidR="00EB672B" w:rsidP="00521693" w14:paraId="723E2ABD" w14:textId="44AF3F6E">
      <w:pPr>
        <w:pStyle w:val="7316"/>
        <w:rPr>
          <w:rtl/>
        </w:rPr>
      </w:pPr>
      <w:r w:rsidRPr="0063556C">
        <w:rPr>
          <w:rStyle w:val="7372"/>
          <w:rFonts w:hint="cs"/>
          <w:noProof/>
          <w:rtl/>
        </w:rPr>
        <w:drawing>
          <wp:anchor distT="0" distB="720090" distL="71755" distR="71755" simplePos="0" relativeHeight="251675648" behindDoc="1" locked="0" layoutInCell="1" allowOverlap="1">
            <wp:simplePos x="0" y="0"/>
            <wp:positionH relativeFrom="column">
              <wp:posOffset>4521200</wp:posOffset>
            </wp:positionH>
            <wp:positionV relativeFrom="paragraph">
              <wp:posOffset>25400</wp:posOffset>
            </wp:positionV>
            <wp:extent cx="144000" cy="162000"/>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14"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2362261"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6"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936D22" w:rsidR="008432DF">
        <w:rPr>
          <w:rFonts w:hint="cs"/>
          <w:rtl/>
        </w:rPr>
        <w:t xml:space="preserve">לצורך גיבוש אסטרטגיית פעולה בתחום האקלים מומלץ </w:t>
      </w:r>
      <w:r w:rsidRPr="00936D22" w:rsidR="008432DF">
        <w:rPr>
          <w:rtl/>
        </w:rPr>
        <w:t xml:space="preserve">שמשרד האוצר יצטרף לקואליציית שרי האוצר, יבחן את עקרונות הלסינקי, את פרסומי הקואליציה והמלצותיה, את ההמלצות של שותפות </w:t>
      </w:r>
      <w:r w:rsidRPr="00936D22" w:rsidR="008432DF">
        <w:t>OECD</w:t>
      </w:r>
      <w:r w:rsidRPr="00936D22" w:rsidR="008432DF">
        <w:rPr>
          <w:rtl/>
        </w:rPr>
        <w:t xml:space="preserve"> פריז לתקצוב ירוק ומודל המסגרת לתקצוב ירוק שפרסמה, את המלצות ה-</w:t>
      </w:r>
      <w:r w:rsidRPr="00936D22" w:rsidR="008432DF">
        <w:t>IMF</w:t>
      </w:r>
      <w:r w:rsidRPr="00936D22" w:rsidR="008432DF">
        <w:rPr>
          <w:rtl/>
        </w:rPr>
        <w:t xml:space="preserve"> בעניין ניהול ירוק של כספי ציבור, הכנסות והוצאות, ואת יתר </w:t>
      </w:r>
      <w:r w:rsidRPr="00936D22" w:rsidR="008432DF">
        <w:rPr>
          <w:rFonts w:hint="cs"/>
          <w:rtl/>
        </w:rPr>
        <w:t>ה</w:t>
      </w:r>
      <w:r w:rsidRPr="00936D22" w:rsidR="008432DF">
        <w:rPr>
          <w:rtl/>
        </w:rPr>
        <w:t>המלצות בתחומים אלו</w:t>
      </w:r>
      <w:r w:rsidRPr="00936D22" w:rsidR="008432DF">
        <w:rPr>
          <w:rFonts w:hint="cs"/>
          <w:rtl/>
        </w:rPr>
        <w:t>.</w:t>
      </w:r>
      <w:r w:rsidRPr="00936D22" w:rsidR="008432DF">
        <w:rPr>
          <w:rtl/>
        </w:rPr>
        <w:t xml:space="preserve"> פעולות אלו ימקמו את המשרד בחזית המעבר לכלכלה מאופסת פחמן ו</w:t>
      </w:r>
      <w:r w:rsidRPr="00936D22" w:rsidR="008432DF">
        <w:rPr>
          <w:rFonts w:hint="cs"/>
          <w:rtl/>
        </w:rPr>
        <w:t>בחזית ה</w:t>
      </w:r>
      <w:r w:rsidRPr="00936D22" w:rsidR="008432DF">
        <w:rPr>
          <w:rtl/>
        </w:rPr>
        <w:t xml:space="preserve">היערכות לשינויי </w:t>
      </w:r>
      <w:r w:rsidRPr="00936D22" w:rsidR="008432DF">
        <w:rPr>
          <w:rFonts w:hint="cs"/>
          <w:rtl/>
        </w:rPr>
        <w:t>ה</w:t>
      </w:r>
      <w:r w:rsidRPr="00936D22" w:rsidR="008432DF">
        <w:rPr>
          <w:rtl/>
        </w:rPr>
        <w:t>אקלים, יאותתו למשק ויסמנו את הדרך ליתר משרדי הממשלה, לכלכלה ולשוק</w:t>
      </w:r>
      <w:r w:rsidRPr="007C7D40">
        <w:rPr>
          <w:rtl/>
        </w:rPr>
        <w:t xml:space="preserve">. </w:t>
      </w:r>
    </w:p>
    <w:p w:rsidR="00B54233" w:rsidRPr="00936D22" w:rsidP="00B54233" w14:paraId="1EB2D625" w14:textId="04D048D9">
      <w:pPr>
        <w:pStyle w:val="73512"/>
        <w:rPr>
          <w:rStyle w:val="7372"/>
          <w:b w:val="0"/>
          <w:bCs/>
          <w:color w:val="00305F"/>
          <w:sz w:val="24"/>
          <w:szCs w:val="24"/>
        </w:rPr>
      </w:pPr>
      <w:r w:rsidRPr="00936D22">
        <w:rPr>
          <w:rStyle w:val="7372"/>
          <w:b w:val="0"/>
          <w:bCs/>
          <w:color w:val="00305F"/>
          <w:sz w:val="24"/>
          <w:szCs w:val="24"/>
          <w:rtl/>
        </w:rPr>
        <w:t>תמחור פחמן והיבטי מיסוי נוספים</w:t>
      </w:r>
    </w:p>
    <w:p w:rsidR="00EB672B" w:rsidRPr="007C7D40" w:rsidP="00EB672B" w14:paraId="55FA89EC" w14:textId="7597C798">
      <w:pPr>
        <w:pStyle w:val="7316"/>
        <w:rPr>
          <w:rtl/>
        </w:rPr>
      </w:pPr>
      <w:r w:rsidRPr="0063556C">
        <w:rPr>
          <w:rStyle w:val="7372"/>
          <w:rFonts w:hint="cs"/>
          <w:noProof/>
          <w:rtl/>
        </w:rPr>
        <w:drawing>
          <wp:anchor distT="0" distB="1440180" distL="71755" distR="107950" simplePos="0" relativeHeight="251676672" behindDoc="1" locked="0" layoutInCell="1" allowOverlap="1">
            <wp:simplePos x="0" y="0"/>
            <wp:positionH relativeFrom="column">
              <wp:posOffset>4521200</wp:posOffset>
            </wp:positionH>
            <wp:positionV relativeFrom="paragraph">
              <wp:posOffset>31244</wp:posOffset>
            </wp:positionV>
            <wp:extent cx="144000" cy="162000"/>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20"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598939"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6"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936D22" w:rsidR="00B54233">
        <w:rPr>
          <w:rtl/>
        </w:rPr>
        <w:t xml:space="preserve">מוצע כי משרד האוצר ורשות המיסים, בהיוועצות עם המשרד </w:t>
      </w:r>
      <w:r w:rsidRPr="00936D22" w:rsidR="00B54233">
        <w:rPr>
          <w:rtl/>
        </w:rPr>
        <w:t>להג"ס</w:t>
      </w:r>
      <w:r w:rsidRPr="00936D22" w:rsidR="00B54233">
        <w:rPr>
          <w:rtl/>
        </w:rPr>
        <w:t xml:space="preserve"> ומשרד הכלכלה, </w:t>
      </w:r>
      <w:r w:rsidRPr="00936D22" w:rsidR="00B54233">
        <w:rPr>
          <w:rFonts w:hint="cs"/>
          <w:rtl/>
        </w:rPr>
        <w:t xml:space="preserve">יפעלו </w:t>
      </w:r>
      <w:r w:rsidRPr="00936D22" w:rsidR="00B54233">
        <w:rPr>
          <w:rtl/>
        </w:rPr>
        <w:t>לאור המלצות קואליציית שרי האוצר וה-</w:t>
      </w:r>
      <w:r w:rsidRPr="00936D22" w:rsidR="00B54233">
        <w:t>OECD</w:t>
      </w:r>
      <w:r w:rsidRPr="00936D22" w:rsidR="00B54233">
        <w:rPr>
          <w:rtl/>
        </w:rPr>
        <w:t xml:space="preserve"> להתאמת תהליכי הכנסות והוצאות הלאומיים כך שיעלו בקנה אחד עם יעדי האקלים לביטול </w:t>
      </w:r>
      <w:r w:rsidRPr="00936D22" w:rsidR="00B54233">
        <w:rPr>
          <w:rFonts w:hint="cs"/>
          <w:rtl/>
        </w:rPr>
        <w:t>ה</w:t>
      </w:r>
      <w:r w:rsidRPr="00936D22" w:rsidR="00B54233">
        <w:rPr>
          <w:rtl/>
        </w:rPr>
        <w:t xml:space="preserve">הטבות על דלקים </w:t>
      </w:r>
      <w:r w:rsidRPr="00936D22" w:rsidR="00B54233">
        <w:rPr>
          <w:rtl/>
        </w:rPr>
        <w:t>פוסיליים</w:t>
      </w:r>
      <w:r w:rsidRPr="00936D22" w:rsidR="00B54233">
        <w:rPr>
          <w:rtl/>
        </w:rPr>
        <w:t xml:space="preserve">, </w:t>
      </w:r>
      <w:r w:rsidRPr="00936D22" w:rsidR="00B54233">
        <w:rPr>
          <w:rFonts w:hint="cs"/>
          <w:rtl/>
        </w:rPr>
        <w:t>ו</w:t>
      </w:r>
      <w:r w:rsidRPr="00936D22" w:rsidR="00B54233">
        <w:rPr>
          <w:rtl/>
        </w:rPr>
        <w:t xml:space="preserve">ינתחו את כל התמיכות והסובסידיות על דלקים </w:t>
      </w:r>
      <w:r w:rsidRPr="00936D22" w:rsidR="00B54233">
        <w:rPr>
          <w:rtl/>
        </w:rPr>
        <w:t>פוסיליים</w:t>
      </w:r>
      <w:r w:rsidRPr="00936D22" w:rsidR="00B54233">
        <w:rPr>
          <w:rtl/>
        </w:rPr>
        <w:t xml:space="preserve"> </w:t>
      </w:r>
      <w:r w:rsidRPr="00936D22" w:rsidR="00B54233">
        <w:rPr>
          <w:rFonts w:hint="cs"/>
          <w:rtl/>
        </w:rPr>
        <w:t>ו</w:t>
      </w:r>
      <w:r w:rsidRPr="00936D22" w:rsidR="00B54233">
        <w:rPr>
          <w:rtl/>
        </w:rPr>
        <w:t xml:space="preserve">את האופן </w:t>
      </w:r>
      <w:r w:rsidRPr="00936D22" w:rsidR="00B54233">
        <w:rPr>
          <w:rFonts w:hint="cs"/>
          <w:rtl/>
        </w:rPr>
        <w:t>ש</w:t>
      </w:r>
      <w:r w:rsidRPr="00936D22" w:rsidR="00B54233">
        <w:rPr>
          <w:rtl/>
        </w:rPr>
        <w:t xml:space="preserve">בו הם מתמרצים ביקושים, ויבחנו להן חלופות. עוד מוצע כי בחינה זו תבוצע כחלק ממהלך מקיף יותר </w:t>
      </w:r>
      <w:r w:rsidRPr="00936D22" w:rsidR="00B54233">
        <w:rPr>
          <w:rtl/>
        </w:rPr>
        <w:t xml:space="preserve">שימפה את כל כלי המדיניות במערך ההכנסות של המדינה, לרבות ממיסים, המשפיעים לשלילה על השגת יעדי האקלים, </w:t>
      </w:r>
      <w:r w:rsidRPr="00936D22" w:rsidR="00B54233">
        <w:rPr>
          <w:rFonts w:hint="cs"/>
          <w:rtl/>
        </w:rPr>
        <w:t>ו</w:t>
      </w:r>
      <w:r w:rsidRPr="00936D22" w:rsidR="00B54233">
        <w:rPr>
          <w:rtl/>
        </w:rPr>
        <w:t xml:space="preserve">בסופה יגבשו גורמים אלו כלי מדיניות חלופיים שיקדמו את השגתם. התבוננות הוליסטית על מערך ההכנסות של מדינה תאפשר לאתר תמריצים הפוגעים בהשגת יעדי </w:t>
      </w:r>
      <w:r w:rsidRPr="00936D22" w:rsidR="00B54233">
        <w:rPr>
          <w:rFonts w:hint="cs"/>
          <w:rtl/>
        </w:rPr>
        <w:t>ה</w:t>
      </w:r>
      <w:r w:rsidRPr="00936D22" w:rsidR="00B54233">
        <w:rPr>
          <w:rtl/>
        </w:rPr>
        <w:t xml:space="preserve">אקלים </w:t>
      </w:r>
      <w:r w:rsidRPr="00936D22" w:rsidR="00B54233">
        <w:rPr>
          <w:rFonts w:hint="cs"/>
          <w:rtl/>
        </w:rPr>
        <w:t xml:space="preserve">ולטפל בהם </w:t>
      </w:r>
      <w:r w:rsidRPr="00936D22" w:rsidR="00B54233">
        <w:rPr>
          <w:rtl/>
        </w:rPr>
        <w:t>מחד</w:t>
      </w:r>
      <w:r w:rsidRPr="00936D22" w:rsidR="00B54233">
        <w:rPr>
          <w:rFonts w:hint="cs"/>
          <w:rtl/>
        </w:rPr>
        <w:t xml:space="preserve"> גיסא</w:t>
      </w:r>
      <w:r w:rsidRPr="00936D22" w:rsidR="00B54233">
        <w:rPr>
          <w:rtl/>
        </w:rPr>
        <w:t xml:space="preserve">, ומאידך </w:t>
      </w:r>
      <w:r w:rsidRPr="00936D22" w:rsidR="00B54233">
        <w:rPr>
          <w:rFonts w:hint="cs"/>
          <w:rtl/>
        </w:rPr>
        <w:t xml:space="preserve">גיסא לאתר </w:t>
      </w:r>
      <w:r w:rsidRPr="00936D22" w:rsidR="00B54233">
        <w:rPr>
          <w:rtl/>
        </w:rPr>
        <w:t>הזדמנויות להכנסות עבור אוצר המדינה אשר יסיעו בתקצוב פעולות אקלים (</w:t>
      </w:r>
      <w:r w:rsidRPr="00936D22" w:rsidR="00B54233">
        <w:rPr>
          <w:rtl/>
        </w:rPr>
        <w:t>מיטיגציה</w:t>
      </w:r>
      <w:r w:rsidRPr="00936D22" w:rsidR="00B54233">
        <w:rPr>
          <w:rtl/>
        </w:rPr>
        <w:t xml:space="preserve"> ואדפטציה), יפצו גורמים ש</w:t>
      </w:r>
      <w:r w:rsidRPr="00936D22" w:rsidR="00B54233">
        <w:rPr>
          <w:rFonts w:hint="cs"/>
          <w:rtl/>
        </w:rPr>
        <w:t>י</w:t>
      </w:r>
      <w:r w:rsidRPr="00936D22" w:rsidR="00B54233">
        <w:rPr>
          <w:rtl/>
        </w:rPr>
        <w:t xml:space="preserve">יפגעו מהן, יתמכו באוכלוסיות ראויות לקידום ויאפשרו התמודדות מותאמת עם יוקר </w:t>
      </w:r>
      <w:r w:rsidRPr="00936D22" w:rsidR="00B54233">
        <w:rPr>
          <w:rFonts w:hint="cs"/>
          <w:rtl/>
        </w:rPr>
        <w:t>ה</w:t>
      </w:r>
      <w:r w:rsidRPr="00936D22" w:rsidR="00B54233">
        <w:rPr>
          <w:rtl/>
        </w:rPr>
        <w:t>מחיה לאוכלוסיות אלו ואחרות, לפי סדרי עדיפויות</w:t>
      </w:r>
      <w:r w:rsidRPr="007C7D40">
        <w:rPr>
          <w:rFonts w:hint="cs"/>
          <w:rtl/>
        </w:rPr>
        <w:t>.</w:t>
      </w:r>
    </w:p>
    <w:p w:rsidR="00EB672B" w:rsidRPr="007C7D40" w:rsidP="00EB672B" w14:paraId="078A06EB" w14:textId="6C4E501D">
      <w:pPr>
        <w:pStyle w:val="7316"/>
        <w:rPr>
          <w:rtl/>
        </w:rPr>
      </w:pPr>
      <w:r w:rsidRPr="0063556C">
        <w:rPr>
          <w:rStyle w:val="7372"/>
          <w:rFonts w:hint="cs"/>
          <w:noProof/>
          <w:rtl/>
        </w:rPr>
        <w:drawing>
          <wp:anchor distT="0" distB="1440180" distL="107950" distR="114300" simplePos="0" relativeHeight="251677696" behindDoc="1" locked="0" layoutInCell="1" allowOverlap="1">
            <wp:simplePos x="0" y="0"/>
            <wp:positionH relativeFrom="column">
              <wp:posOffset>4521200</wp:posOffset>
            </wp:positionH>
            <wp:positionV relativeFrom="paragraph">
              <wp:posOffset>31244</wp:posOffset>
            </wp:positionV>
            <wp:extent cx="144000" cy="162000"/>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22"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592309"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6"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333AA7" w:rsidR="00B54233">
        <w:rPr>
          <w:rFonts w:hint="cs"/>
          <w:rtl/>
        </w:rPr>
        <w:t xml:space="preserve">מתווה </w:t>
      </w:r>
      <w:r w:rsidRPr="00333AA7" w:rsidR="00B54233">
        <w:rPr>
          <w:rtl/>
        </w:rPr>
        <w:t xml:space="preserve">מס </w:t>
      </w:r>
      <w:r w:rsidRPr="00333AA7" w:rsidR="00B54233">
        <w:rPr>
          <w:rFonts w:hint="cs"/>
          <w:rtl/>
        </w:rPr>
        <w:t>ה</w:t>
      </w:r>
      <w:r w:rsidRPr="00333AA7" w:rsidR="00B54233">
        <w:rPr>
          <w:rtl/>
        </w:rPr>
        <w:t xml:space="preserve">פחמן </w:t>
      </w:r>
      <w:r w:rsidRPr="00333AA7" w:rsidR="00B54233">
        <w:rPr>
          <w:rFonts w:hint="cs"/>
          <w:rtl/>
        </w:rPr>
        <w:t>ש</w:t>
      </w:r>
      <w:r w:rsidRPr="00333AA7" w:rsidR="00B54233">
        <w:rPr>
          <w:rtl/>
        </w:rPr>
        <w:t xml:space="preserve">עליו הוחלט בהחלטת </w:t>
      </w:r>
      <w:r w:rsidRPr="00333AA7" w:rsidR="00B54233">
        <w:rPr>
          <w:rFonts w:hint="cs"/>
          <w:rtl/>
        </w:rPr>
        <w:t>ה</w:t>
      </w:r>
      <w:r w:rsidRPr="00333AA7" w:rsidR="00B54233">
        <w:rPr>
          <w:rtl/>
        </w:rPr>
        <w:t>ממשלה 286</w:t>
      </w:r>
      <w:r w:rsidRPr="00333AA7" w:rsidR="00B54233">
        <w:rPr>
          <w:rFonts w:hint="cs"/>
          <w:rtl/>
        </w:rPr>
        <w:t xml:space="preserve"> הוא</w:t>
      </w:r>
      <w:r w:rsidRPr="00333AA7" w:rsidR="00B54233">
        <w:rPr>
          <w:rtl/>
        </w:rPr>
        <w:t xml:space="preserve"> </w:t>
      </w:r>
      <w:r w:rsidRPr="00333AA7" w:rsidR="00B54233">
        <w:rPr>
          <w:rFonts w:hint="cs"/>
          <w:rtl/>
        </w:rPr>
        <w:t xml:space="preserve">מתווה </w:t>
      </w:r>
      <w:r w:rsidRPr="00333AA7" w:rsidR="00B54233">
        <w:rPr>
          <w:rtl/>
        </w:rPr>
        <w:t>הדרגתי לטווח ארוך מאוד</w:t>
      </w:r>
      <w:r w:rsidRPr="00333AA7" w:rsidR="00B54233">
        <w:rPr>
          <w:rFonts w:hint="cs"/>
          <w:rtl/>
        </w:rPr>
        <w:t>, ו</w:t>
      </w:r>
      <w:r w:rsidRPr="00333AA7" w:rsidR="00B54233">
        <w:rPr>
          <w:rtl/>
        </w:rPr>
        <w:t>במהלכו מחירי הדלקים עשויים להיות תנודתיים</w:t>
      </w:r>
      <w:r w:rsidRPr="00333AA7" w:rsidR="00B54233">
        <w:rPr>
          <w:rFonts w:hint="cs"/>
          <w:rtl/>
        </w:rPr>
        <w:t>,</w:t>
      </w:r>
      <w:r w:rsidRPr="00333AA7" w:rsidR="00B54233">
        <w:rPr>
          <w:rtl/>
        </w:rPr>
        <w:t xml:space="preserve"> </w:t>
      </w:r>
      <w:r w:rsidRPr="00333AA7" w:rsidR="00B54233">
        <w:rPr>
          <w:rFonts w:hint="cs"/>
          <w:rtl/>
        </w:rPr>
        <w:t>ו</w:t>
      </w:r>
      <w:r w:rsidRPr="00333AA7" w:rsidR="00B54233">
        <w:rPr>
          <w:rtl/>
        </w:rPr>
        <w:t xml:space="preserve">על כן מידת יישומו של מס הפחמן לא יכולה להיות תלויה במחירי הדלקים. משרד מבקר המדינה חוזר על המלצתו בדוח הקודם, </w:t>
      </w:r>
      <w:r w:rsidRPr="00333AA7" w:rsidR="00B54233">
        <w:rPr>
          <w:rFonts w:hint="cs"/>
          <w:rtl/>
        </w:rPr>
        <w:t>ו</w:t>
      </w:r>
      <w:r w:rsidRPr="00333AA7" w:rsidR="00B54233">
        <w:rPr>
          <w:rtl/>
        </w:rPr>
        <w:t>לפיה ב</w:t>
      </w:r>
      <w:r w:rsidRPr="00333AA7" w:rsidR="00B54233">
        <w:rPr>
          <w:rFonts w:hint="cs"/>
          <w:rtl/>
        </w:rPr>
        <w:t>ד בבד</w:t>
      </w:r>
      <w:r w:rsidRPr="00333AA7" w:rsidR="00B54233">
        <w:rPr>
          <w:rtl/>
        </w:rPr>
        <w:t xml:space="preserve"> </w:t>
      </w:r>
      <w:r w:rsidRPr="00333AA7" w:rsidR="00B54233">
        <w:rPr>
          <w:rFonts w:hint="cs"/>
          <w:rtl/>
        </w:rPr>
        <w:t>עם ה</w:t>
      </w:r>
      <w:r w:rsidRPr="00333AA7" w:rsidR="00B54233">
        <w:rPr>
          <w:rtl/>
        </w:rPr>
        <w:t xml:space="preserve">גיבוש </w:t>
      </w:r>
      <w:r w:rsidRPr="00333AA7" w:rsidR="00B54233">
        <w:rPr>
          <w:rFonts w:hint="cs"/>
          <w:rtl/>
        </w:rPr>
        <w:t>ה</w:t>
      </w:r>
      <w:r w:rsidRPr="00333AA7" w:rsidR="00B54233">
        <w:rPr>
          <w:rtl/>
        </w:rPr>
        <w:t xml:space="preserve">סופי של המנגנונים המשלימים שיסייעו למזער את הנזק לתעשייה ולאוכלוסיות </w:t>
      </w:r>
      <w:r w:rsidRPr="00333AA7" w:rsidR="00B54233">
        <w:rPr>
          <w:rFonts w:hint="cs"/>
          <w:rtl/>
        </w:rPr>
        <w:t>ראויות לקידום</w:t>
      </w:r>
      <w:r w:rsidRPr="00333AA7" w:rsidR="00B54233">
        <w:rPr>
          <w:rtl/>
        </w:rPr>
        <w:t xml:space="preserve"> ו</w:t>
      </w:r>
      <w:r w:rsidRPr="00333AA7" w:rsidR="00B54233">
        <w:rPr>
          <w:rFonts w:hint="cs"/>
          <w:rtl/>
        </w:rPr>
        <w:t xml:space="preserve">עם </w:t>
      </w:r>
      <w:r w:rsidRPr="00333AA7" w:rsidR="00B54233">
        <w:rPr>
          <w:rtl/>
        </w:rPr>
        <w:t xml:space="preserve">תיקופם, יפעלו משרדי האוצר, </w:t>
      </w:r>
      <w:r w:rsidRPr="00333AA7" w:rsidR="00B54233">
        <w:rPr>
          <w:rtl/>
        </w:rPr>
        <w:t>הג"ס</w:t>
      </w:r>
      <w:r w:rsidRPr="00333AA7" w:rsidR="00B54233">
        <w:rPr>
          <w:rtl/>
        </w:rPr>
        <w:t xml:space="preserve">, הכלכלה </w:t>
      </w:r>
      <w:r w:rsidRPr="00333AA7" w:rsidR="00B54233">
        <w:rPr>
          <w:rtl/>
        </w:rPr>
        <w:t>והאנרגייה</w:t>
      </w:r>
      <w:r w:rsidRPr="00333AA7" w:rsidR="00B54233">
        <w:rPr>
          <w:rtl/>
        </w:rPr>
        <w:t xml:space="preserve">, ליישום החלטת הממשלה </w:t>
      </w:r>
      <w:r w:rsidRPr="00333AA7" w:rsidR="00B54233">
        <w:rPr>
          <w:rFonts w:hint="cs"/>
          <w:rtl/>
        </w:rPr>
        <w:t xml:space="preserve">286 </w:t>
      </w:r>
      <w:r w:rsidRPr="00333AA7" w:rsidR="00B54233">
        <w:rPr>
          <w:rtl/>
        </w:rPr>
        <w:t>בנושא</w:t>
      </w:r>
      <w:r w:rsidRPr="00333AA7" w:rsidR="00B54233">
        <w:rPr>
          <w:rFonts w:hint="cs"/>
          <w:rtl/>
        </w:rPr>
        <w:t xml:space="preserve"> מס פחמן</w:t>
      </w:r>
      <w:r w:rsidRPr="00333AA7" w:rsidR="00B54233">
        <w:rPr>
          <w:rtl/>
        </w:rPr>
        <w:t xml:space="preserve">. במסגרת זו יפעל משרד האוצר </w:t>
      </w:r>
      <w:r w:rsidRPr="00333AA7" w:rsidR="00B54233">
        <w:rPr>
          <w:rFonts w:hint="cs"/>
          <w:rtl/>
        </w:rPr>
        <w:t>בו-זמנית</w:t>
      </w:r>
      <w:r w:rsidRPr="00333AA7" w:rsidR="00B54233">
        <w:rPr>
          <w:rtl/>
        </w:rPr>
        <w:t xml:space="preserve"> לחתימה מחדש על הצווים ולאישורם בוועדת הכספים ויגבש אמות מידה מושכלות לשימוש בתקבולים, לרבות בכל הנוגע לשאלת ייעודם לנושאי אקלים ולצמצום השפעת מס הפחמן על יוקר המחיה. בתוך כך, כיוון שמדובר בכלי מדיניות </w:t>
      </w:r>
      <w:r w:rsidRPr="00333AA7" w:rsidR="00B54233">
        <w:rPr>
          <w:rtl/>
        </w:rPr>
        <w:t>ליבתי</w:t>
      </w:r>
      <w:r w:rsidRPr="00333AA7" w:rsidR="00B54233">
        <w:rPr>
          <w:rtl/>
        </w:rPr>
        <w:t xml:space="preserve"> במדיניות האקלים הכוללת ו</w:t>
      </w:r>
      <w:r w:rsidRPr="00333AA7" w:rsidR="00B54233">
        <w:rPr>
          <w:rFonts w:hint="cs"/>
          <w:rtl/>
        </w:rPr>
        <w:t>כדי</w:t>
      </w:r>
      <w:r w:rsidRPr="00333AA7" w:rsidR="00B54233">
        <w:rPr>
          <w:rtl/>
        </w:rPr>
        <w:t xml:space="preserve"> להבטיח רציפות בהחלתו, מוצע לעגן את מס הפחמן בחוק אקלים</w:t>
      </w:r>
      <w:r w:rsidRPr="007C7D40">
        <w:rPr>
          <w:rFonts w:hint="cs"/>
          <w:rtl/>
        </w:rPr>
        <w:t>.</w:t>
      </w:r>
    </w:p>
    <w:p w:rsidR="00EB672B" w:rsidRPr="007C7D40" w:rsidP="00EB672B" w14:paraId="5538133A" w14:textId="137BB0C4">
      <w:pPr>
        <w:pStyle w:val="7316"/>
      </w:pPr>
      <w:r w:rsidRPr="0063556C">
        <w:rPr>
          <w:rStyle w:val="7372"/>
          <w:rFonts w:hint="cs"/>
          <w:noProof/>
          <w:rtl/>
        </w:rPr>
        <w:drawing>
          <wp:anchor distT="0" distB="1440180" distL="107950" distR="114300" simplePos="0" relativeHeight="251678720" behindDoc="1" locked="0" layoutInCell="1" allowOverlap="1">
            <wp:simplePos x="0" y="0"/>
            <wp:positionH relativeFrom="column">
              <wp:posOffset>4521200</wp:posOffset>
            </wp:positionH>
            <wp:positionV relativeFrom="paragraph">
              <wp:posOffset>21719</wp:posOffset>
            </wp:positionV>
            <wp:extent cx="143510" cy="161925"/>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23"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7290992"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6"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3510" cy="161925"/>
                    </a:xfrm>
                    <a:prstGeom prst="rect">
                      <a:avLst/>
                    </a:prstGeom>
                  </pic:spPr>
                </pic:pic>
              </a:graphicData>
            </a:graphic>
            <wp14:sizeRelH relativeFrom="margin">
              <wp14:pctWidth>0</wp14:pctWidth>
            </wp14:sizeRelH>
            <wp14:sizeRelV relativeFrom="margin">
              <wp14:pctHeight>0</wp14:pctHeight>
            </wp14:sizeRelV>
          </wp:anchor>
        </w:drawing>
      </w:r>
      <w:r w:rsidRPr="00333AA7" w:rsidR="00B54233">
        <w:rPr>
          <w:rtl/>
        </w:rPr>
        <w:t xml:space="preserve">מוצע כי </w:t>
      </w:r>
      <w:r w:rsidRPr="00333AA7" w:rsidR="00B54233">
        <w:rPr>
          <w:rFonts w:hint="cs"/>
          <w:rtl/>
        </w:rPr>
        <w:t>קודם</w:t>
      </w:r>
      <w:r w:rsidRPr="00333AA7" w:rsidR="00B54233">
        <w:rPr>
          <w:rtl/>
        </w:rPr>
        <w:t xml:space="preserve"> אימוץ מתווה חדש</w:t>
      </w:r>
      <w:r w:rsidRPr="00333AA7" w:rsidR="00B54233">
        <w:rPr>
          <w:rFonts w:hint="cs"/>
          <w:rtl/>
        </w:rPr>
        <w:t xml:space="preserve"> למס הפחמן</w:t>
      </w:r>
      <w:r w:rsidRPr="00333AA7" w:rsidR="00B54233">
        <w:rPr>
          <w:rtl/>
        </w:rPr>
        <w:t xml:space="preserve"> תתבצע בדיקה מחודשת ומעמיקה אשר תיתן את הדעת לא רק </w:t>
      </w:r>
      <w:r w:rsidRPr="00333AA7" w:rsidR="00B54233">
        <w:rPr>
          <w:rFonts w:hint="cs"/>
          <w:rtl/>
        </w:rPr>
        <w:t>ע</w:t>
      </w:r>
      <w:r w:rsidRPr="00333AA7" w:rsidR="00B54233">
        <w:rPr>
          <w:rtl/>
        </w:rPr>
        <w:t>ל</w:t>
      </w:r>
      <w:r w:rsidRPr="00333AA7" w:rsidR="00B54233">
        <w:rPr>
          <w:rFonts w:hint="cs"/>
          <w:rtl/>
        </w:rPr>
        <w:t xml:space="preserve"> ה</w:t>
      </w:r>
      <w:r w:rsidRPr="00333AA7" w:rsidR="00B54233">
        <w:rPr>
          <w:rtl/>
        </w:rPr>
        <w:t xml:space="preserve">שאלה כיצד מצמצמים את ההתייקרות, אלא גם </w:t>
      </w:r>
      <w:r w:rsidRPr="00333AA7" w:rsidR="00B54233">
        <w:rPr>
          <w:rFonts w:hint="cs"/>
          <w:rtl/>
        </w:rPr>
        <w:t>ע</w:t>
      </w:r>
      <w:r w:rsidRPr="00333AA7" w:rsidR="00B54233">
        <w:rPr>
          <w:rtl/>
        </w:rPr>
        <w:t>ל</w:t>
      </w:r>
      <w:r w:rsidRPr="00333AA7" w:rsidR="00B54233">
        <w:rPr>
          <w:rFonts w:hint="cs"/>
          <w:rtl/>
        </w:rPr>
        <w:t xml:space="preserve"> </w:t>
      </w:r>
      <w:r w:rsidRPr="00333AA7" w:rsidR="00B54233">
        <w:rPr>
          <w:rtl/>
        </w:rPr>
        <w:t>יצירת מנגנונים שיפצו על ההתייקרות הצפויה</w:t>
      </w:r>
      <w:r w:rsidRPr="00333AA7" w:rsidR="00B54233">
        <w:rPr>
          <w:rFonts w:hint="cs"/>
          <w:rtl/>
        </w:rPr>
        <w:t>,</w:t>
      </w:r>
      <w:r w:rsidRPr="00333AA7" w:rsidR="00B54233">
        <w:rPr>
          <w:rtl/>
        </w:rPr>
        <w:t xml:space="preserve"> בין היתר באמצעות תקבולים ממס פחמן</w:t>
      </w:r>
      <w:r w:rsidRPr="00333AA7" w:rsidR="00B54233">
        <w:rPr>
          <w:rFonts w:hint="cs"/>
          <w:rtl/>
        </w:rPr>
        <w:t>.</w:t>
      </w:r>
      <w:r w:rsidRPr="00333AA7" w:rsidR="00B54233">
        <w:rPr>
          <w:rtl/>
        </w:rPr>
        <w:t xml:space="preserve"> באופן זה </w:t>
      </w:r>
      <w:r w:rsidRPr="00333AA7" w:rsidR="00B54233">
        <w:rPr>
          <w:rFonts w:hint="cs"/>
          <w:rtl/>
        </w:rPr>
        <w:t>ניתן יהיה לבחון</w:t>
      </w:r>
      <w:r w:rsidRPr="00333AA7" w:rsidR="00B54233">
        <w:rPr>
          <w:rtl/>
        </w:rPr>
        <w:t xml:space="preserve"> מחדש </w:t>
      </w:r>
      <w:r w:rsidRPr="00333AA7" w:rsidR="00B54233">
        <w:rPr>
          <w:rFonts w:hint="cs"/>
          <w:rtl/>
        </w:rPr>
        <w:t xml:space="preserve">את </w:t>
      </w:r>
      <w:r w:rsidRPr="00333AA7" w:rsidR="00B54233">
        <w:rPr>
          <w:rtl/>
        </w:rPr>
        <w:t xml:space="preserve">ההחלטה להגביל את עליית מחירי החשמל וכן </w:t>
      </w:r>
      <w:r w:rsidRPr="00333AA7" w:rsidR="00B54233">
        <w:rPr>
          <w:rFonts w:hint="cs"/>
          <w:rtl/>
        </w:rPr>
        <w:t>דרכים</w:t>
      </w:r>
      <w:r w:rsidRPr="00333AA7" w:rsidR="00B54233">
        <w:rPr>
          <w:rtl/>
        </w:rPr>
        <w:t xml:space="preserve"> להפחתת מיסים ו</w:t>
      </w:r>
      <w:r w:rsidRPr="00333AA7" w:rsidR="00B54233">
        <w:rPr>
          <w:rFonts w:hint="cs"/>
          <w:rtl/>
        </w:rPr>
        <w:t>ל</w:t>
      </w:r>
      <w:r w:rsidRPr="00333AA7" w:rsidR="00B54233">
        <w:rPr>
          <w:rtl/>
        </w:rPr>
        <w:t>הורדת יוקר המחיה בתחומים אחרים, כפי שהציעה ועדת מיסוי ירוק 3 בראשות משרד האוצר</w:t>
      </w:r>
      <w:r w:rsidRPr="00333AA7" w:rsidR="00B54233">
        <w:rPr>
          <w:rFonts w:hint="cs"/>
          <w:rtl/>
        </w:rPr>
        <w:t xml:space="preserve"> עצמו</w:t>
      </w:r>
      <w:r w:rsidRPr="00333AA7" w:rsidR="00B54233">
        <w:rPr>
          <w:rtl/>
        </w:rPr>
        <w:t>, אשר יקזזו את השפעות מס הפחמן על יוקר המחיה</w:t>
      </w:r>
      <w:r w:rsidRPr="007C7D40">
        <w:rPr>
          <w:rFonts w:hint="cs"/>
          <w:rtl/>
        </w:rPr>
        <w:t>.</w:t>
      </w:r>
    </w:p>
    <w:p w:rsidR="00EB672B" w:rsidP="00EB672B" w14:paraId="63467834" w14:textId="235EF093">
      <w:pPr>
        <w:pStyle w:val="7316"/>
        <w:rPr>
          <w:rtl/>
        </w:rPr>
      </w:pPr>
      <w:r w:rsidRPr="0063556C">
        <w:rPr>
          <w:rStyle w:val="7372"/>
          <w:rFonts w:hint="cs"/>
          <w:noProof/>
          <w:rtl/>
        </w:rPr>
        <w:drawing>
          <wp:anchor distT="0" distB="1440180" distL="107950" distR="114300" simplePos="0" relativeHeight="251679744" behindDoc="1" locked="0" layoutInCell="1" allowOverlap="1">
            <wp:simplePos x="0" y="0"/>
            <wp:positionH relativeFrom="column">
              <wp:posOffset>4521200</wp:posOffset>
            </wp:positionH>
            <wp:positionV relativeFrom="paragraph">
              <wp:posOffset>36324</wp:posOffset>
            </wp:positionV>
            <wp:extent cx="144000" cy="162000"/>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29"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558377"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6"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333AA7" w:rsidR="00B54233">
        <w:rPr>
          <w:rtl/>
        </w:rPr>
        <w:t xml:space="preserve">מוצע כי משרד האוצר יבחן את תמחור מס הפחמן המוצע בהתחשב בכלל מקורות פליטות </w:t>
      </w:r>
      <w:r w:rsidRPr="00333AA7" w:rsidR="00B54233">
        <w:rPr>
          <w:rFonts w:hint="cs"/>
          <w:rtl/>
        </w:rPr>
        <w:t>ה</w:t>
      </w:r>
      <w:r w:rsidRPr="00333AA7" w:rsidR="00B54233">
        <w:rPr>
          <w:rtl/>
        </w:rPr>
        <w:t>גז"ח</w:t>
      </w:r>
      <w:r w:rsidRPr="00333AA7" w:rsidR="00B54233">
        <w:rPr>
          <w:rtl/>
        </w:rPr>
        <w:t xml:space="preserve"> ו</w:t>
      </w:r>
      <w:r w:rsidRPr="00333AA7" w:rsidR="00B54233">
        <w:rPr>
          <w:rFonts w:hint="cs"/>
          <w:rtl/>
        </w:rPr>
        <w:t>ב</w:t>
      </w:r>
      <w:r w:rsidRPr="00333AA7" w:rsidR="00B54233">
        <w:rPr>
          <w:rtl/>
        </w:rPr>
        <w:t xml:space="preserve">כלל הדלקים </w:t>
      </w:r>
      <w:r w:rsidRPr="00333AA7" w:rsidR="00B54233">
        <w:rPr>
          <w:rFonts w:hint="cs"/>
          <w:rtl/>
        </w:rPr>
        <w:t>ו</w:t>
      </w:r>
      <w:r w:rsidRPr="00333AA7" w:rsidR="00B54233">
        <w:rPr>
          <w:rtl/>
        </w:rPr>
        <w:t xml:space="preserve">יביא בחשבון את </w:t>
      </w:r>
      <w:r w:rsidRPr="00333AA7" w:rsidR="00B54233">
        <w:rPr>
          <w:rFonts w:hint="cs"/>
          <w:rtl/>
        </w:rPr>
        <w:t>ה</w:t>
      </w:r>
      <w:r w:rsidRPr="00333AA7" w:rsidR="00B54233">
        <w:rPr>
          <w:rtl/>
        </w:rPr>
        <w:t xml:space="preserve">שיעור </w:t>
      </w:r>
      <w:r w:rsidRPr="00333AA7" w:rsidR="00B54233">
        <w:rPr>
          <w:rFonts w:hint="cs"/>
          <w:rtl/>
        </w:rPr>
        <w:t xml:space="preserve">הכללי הקטן של </w:t>
      </w:r>
      <w:r w:rsidRPr="00333AA7" w:rsidR="00B54233">
        <w:rPr>
          <w:rtl/>
        </w:rPr>
        <w:t xml:space="preserve">הפנמת העלויות החיצוניות של פליטות </w:t>
      </w:r>
      <w:r w:rsidRPr="00333AA7" w:rsidR="00B54233">
        <w:rPr>
          <w:rtl/>
        </w:rPr>
        <w:t>גז"ח</w:t>
      </w:r>
      <w:r w:rsidRPr="00333AA7" w:rsidR="00B54233">
        <w:rPr>
          <w:rtl/>
        </w:rPr>
        <w:t xml:space="preserve"> העולה מהמתווה האמור, וישקול דרכים להעלאתו</w:t>
      </w:r>
      <w:r w:rsidRPr="00333AA7" w:rsidR="00B54233">
        <w:rPr>
          <w:rFonts w:hint="cs"/>
          <w:rtl/>
        </w:rPr>
        <w:t>,</w:t>
      </w:r>
      <w:r w:rsidRPr="00333AA7" w:rsidR="00B54233">
        <w:rPr>
          <w:rtl/>
        </w:rPr>
        <w:t xml:space="preserve"> לאור ההמלצות שמשרד האוצר היה שותף להן בעבר במסגרת דוח ועדת מיסוי ירוק 3</w:t>
      </w:r>
      <w:r w:rsidRPr="00333AA7" w:rsidR="00B54233">
        <w:rPr>
          <w:rFonts w:hint="cs"/>
          <w:rtl/>
        </w:rPr>
        <w:t xml:space="preserve">. </w:t>
      </w:r>
      <w:r w:rsidRPr="00333AA7" w:rsidR="00B54233">
        <w:rPr>
          <w:rtl/>
        </w:rPr>
        <w:t xml:space="preserve">עוד מוצע לבחון את קביעתם של מנגנונים משלימים למס פחמן לצורך הפנמת עלויות של </w:t>
      </w:r>
      <w:r w:rsidRPr="00333AA7" w:rsidR="00B54233">
        <w:rPr>
          <w:rtl/>
        </w:rPr>
        <w:t>גז</w:t>
      </w:r>
      <w:r w:rsidRPr="00333AA7" w:rsidR="00B54233">
        <w:rPr>
          <w:rFonts w:hint="cs"/>
          <w:rtl/>
        </w:rPr>
        <w:t>"ח</w:t>
      </w:r>
      <w:r w:rsidRPr="00333AA7" w:rsidR="00B54233">
        <w:rPr>
          <w:rtl/>
        </w:rPr>
        <w:t xml:space="preserve"> אחרים</w:t>
      </w:r>
      <w:r w:rsidRPr="00333AA7" w:rsidR="00B54233">
        <w:rPr>
          <w:rFonts w:hint="cs"/>
          <w:rtl/>
        </w:rPr>
        <w:t>;</w:t>
      </w:r>
      <w:r w:rsidRPr="00333AA7" w:rsidR="00B54233">
        <w:rPr>
          <w:rtl/>
        </w:rPr>
        <w:t xml:space="preserve"> זאת למשל באמצעות היטלים על פליטות, כך שכל האמצעים ישקפו טוב יותר את העלויות החיצוניות של </w:t>
      </w:r>
      <w:r w:rsidRPr="00333AA7" w:rsidR="00B54233">
        <w:rPr>
          <w:rFonts w:hint="cs"/>
          <w:rtl/>
        </w:rPr>
        <w:t>ה</w:t>
      </w:r>
      <w:r w:rsidRPr="00333AA7" w:rsidR="00B54233">
        <w:rPr>
          <w:rtl/>
        </w:rPr>
        <w:t>גז</w:t>
      </w:r>
      <w:r w:rsidRPr="00333AA7" w:rsidR="00B54233">
        <w:rPr>
          <w:rFonts w:hint="cs"/>
          <w:rtl/>
        </w:rPr>
        <w:t>"ח</w:t>
      </w:r>
      <w:r w:rsidRPr="00333AA7" w:rsidR="00B54233">
        <w:rPr>
          <w:rtl/>
        </w:rPr>
        <w:t xml:space="preserve"> - ויביאו להפנמתן בצורה רחבה יותר</w:t>
      </w:r>
      <w:r w:rsidRPr="008E57FE">
        <w:rPr>
          <w:rFonts w:hint="cs"/>
          <w:rtl/>
        </w:rPr>
        <w:t>.</w:t>
      </w:r>
    </w:p>
    <w:p w:rsidR="00362505" w:rsidP="00362505" w14:paraId="74A7651D" w14:textId="157681C3">
      <w:pPr>
        <w:pStyle w:val="7316"/>
        <w:rPr>
          <w:rtl/>
        </w:rPr>
      </w:pPr>
      <w:r w:rsidRPr="0063556C">
        <w:rPr>
          <w:rStyle w:val="7372"/>
          <w:rFonts w:hint="cs"/>
          <w:noProof/>
          <w:rtl/>
        </w:rPr>
        <w:drawing>
          <wp:anchor distT="0" distB="1440180" distL="107950" distR="114300" simplePos="0" relativeHeight="251687936" behindDoc="1" locked="0" layoutInCell="1" allowOverlap="1">
            <wp:simplePos x="0" y="0"/>
            <wp:positionH relativeFrom="column">
              <wp:posOffset>4521200</wp:posOffset>
            </wp:positionH>
            <wp:positionV relativeFrom="paragraph">
              <wp:posOffset>36324</wp:posOffset>
            </wp:positionV>
            <wp:extent cx="144000" cy="162000"/>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364147197" name="תמונה 364147197">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9596079" name="תמונה 364147197">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6"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333AA7" w:rsidR="00B54233">
        <w:rPr>
          <w:rtl/>
        </w:rPr>
        <w:t xml:space="preserve">מומלץ כי משרד האוצר </w:t>
      </w:r>
      <w:r w:rsidRPr="00333AA7" w:rsidR="00B54233">
        <w:rPr>
          <w:rFonts w:hint="cs"/>
          <w:rtl/>
        </w:rPr>
        <w:t>יבחן מחדש</w:t>
      </w:r>
      <w:r w:rsidRPr="00333AA7" w:rsidR="00B54233">
        <w:rPr>
          <w:rtl/>
        </w:rPr>
        <w:t xml:space="preserve"> עם המשרד </w:t>
      </w:r>
      <w:r w:rsidRPr="00333AA7" w:rsidR="00B54233">
        <w:rPr>
          <w:rtl/>
        </w:rPr>
        <w:t>להג"ס</w:t>
      </w:r>
      <w:r w:rsidRPr="00333AA7" w:rsidR="00B54233">
        <w:rPr>
          <w:rtl/>
        </w:rPr>
        <w:t>, רשות המ</w:t>
      </w:r>
      <w:r w:rsidRPr="00333AA7" w:rsidR="00B54233">
        <w:rPr>
          <w:rFonts w:hint="cs"/>
          <w:rtl/>
        </w:rPr>
        <w:t>י</w:t>
      </w:r>
      <w:r w:rsidRPr="00333AA7" w:rsidR="00B54233">
        <w:rPr>
          <w:rtl/>
        </w:rPr>
        <w:t xml:space="preserve">סים ומשרד </w:t>
      </w:r>
      <w:r w:rsidRPr="00333AA7" w:rsidR="00B54233">
        <w:rPr>
          <w:rtl/>
        </w:rPr>
        <w:t>האנרגייה</w:t>
      </w:r>
      <w:r w:rsidRPr="00333AA7" w:rsidR="00B54233">
        <w:rPr>
          <w:rtl/>
        </w:rPr>
        <w:t xml:space="preserve"> את שאלת מס הפחמן על דלקים לתחבורה</w:t>
      </w:r>
      <w:r w:rsidRPr="00333AA7" w:rsidR="00B54233">
        <w:rPr>
          <w:rFonts w:hint="cs"/>
          <w:rtl/>
        </w:rPr>
        <w:t>,</w:t>
      </w:r>
      <w:r w:rsidRPr="00333AA7" w:rsidR="00B54233">
        <w:rPr>
          <w:rtl/>
        </w:rPr>
        <w:t xml:space="preserve"> לרבות שאלת סימון חלקו בבלו, וכן ישקלו כלים נוספים 'שיאותתו' על קיומו של מס פחמן לדלקים אלו או יקדמו חלופות (לרבות רכב חשמלי) </w:t>
      </w:r>
      <w:r w:rsidRPr="00333AA7" w:rsidR="00B54233">
        <w:rPr>
          <w:rFonts w:hint="cs"/>
          <w:rtl/>
        </w:rPr>
        <w:t>כדי</w:t>
      </w:r>
      <w:r w:rsidRPr="00333AA7" w:rsidR="00B54233">
        <w:rPr>
          <w:rtl/>
        </w:rPr>
        <w:t xml:space="preserve"> להביא לשינוי בהתנהגות הצרכנית ולהורדת </w:t>
      </w:r>
      <w:r w:rsidRPr="00333AA7" w:rsidR="00B54233">
        <w:rPr>
          <w:rFonts w:hint="cs"/>
          <w:rtl/>
        </w:rPr>
        <w:t>ה</w:t>
      </w:r>
      <w:r w:rsidRPr="00333AA7" w:rsidR="00B54233">
        <w:rPr>
          <w:rtl/>
        </w:rPr>
        <w:t>ביקושים</w:t>
      </w:r>
      <w:r w:rsidRPr="00333AA7" w:rsidR="00B54233">
        <w:rPr>
          <w:rtl/>
        </w:rPr>
        <w:t xml:space="preserve"> של </w:t>
      </w:r>
      <w:r w:rsidRPr="00333AA7" w:rsidR="00B54233">
        <w:rPr>
          <w:rFonts w:hint="cs"/>
          <w:rtl/>
        </w:rPr>
        <w:t>ה</w:t>
      </w:r>
      <w:r w:rsidRPr="00333AA7" w:rsidR="00B54233">
        <w:rPr>
          <w:rtl/>
        </w:rPr>
        <w:t>בנזין ו</w:t>
      </w:r>
      <w:r w:rsidRPr="00333AA7" w:rsidR="00B54233">
        <w:rPr>
          <w:rFonts w:hint="cs"/>
          <w:rtl/>
        </w:rPr>
        <w:t>ה</w:t>
      </w:r>
      <w:r w:rsidRPr="00333AA7" w:rsidR="00B54233">
        <w:rPr>
          <w:rtl/>
        </w:rPr>
        <w:t>סולר</w:t>
      </w:r>
      <w:r w:rsidRPr="008E57FE">
        <w:rPr>
          <w:rFonts w:hint="cs"/>
          <w:rtl/>
        </w:rPr>
        <w:t>.</w:t>
      </w:r>
    </w:p>
    <w:p w:rsidR="00362505" w:rsidP="00362505" w14:paraId="64F1A374" w14:textId="73968B3C">
      <w:pPr>
        <w:pStyle w:val="7316"/>
        <w:rPr>
          <w:rtl/>
        </w:rPr>
      </w:pPr>
      <w:r w:rsidRPr="0063556C">
        <w:rPr>
          <w:rStyle w:val="7372"/>
          <w:rFonts w:hint="cs"/>
          <w:noProof/>
          <w:rtl/>
        </w:rPr>
        <w:drawing>
          <wp:anchor distT="0" distB="1440180" distL="107950" distR="114300" simplePos="0" relativeHeight="251688960" behindDoc="1" locked="0" layoutInCell="1" allowOverlap="1">
            <wp:simplePos x="0" y="0"/>
            <wp:positionH relativeFrom="column">
              <wp:posOffset>4521200</wp:posOffset>
            </wp:positionH>
            <wp:positionV relativeFrom="paragraph">
              <wp:posOffset>36324</wp:posOffset>
            </wp:positionV>
            <wp:extent cx="144000" cy="162000"/>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1623734442" name="תמונה 1623734442">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544408" name="תמונה 1623734442">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6"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333AA7" w:rsidR="00B54233">
        <w:rPr>
          <w:rtl/>
        </w:rPr>
        <w:t xml:space="preserve">מוצע כי משרד האוצר עם המשרד </w:t>
      </w:r>
      <w:r w:rsidRPr="00333AA7" w:rsidR="00B54233">
        <w:rPr>
          <w:rtl/>
        </w:rPr>
        <w:t>להג"ס</w:t>
      </w:r>
      <w:r w:rsidRPr="00333AA7" w:rsidR="00B54233">
        <w:rPr>
          <w:rtl/>
        </w:rPr>
        <w:t>, רשות המ</w:t>
      </w:r>
      <w:r w:rsidRPr="00333AA7" w:rsidR="00B54233">
        <w:rPr>
          <w:rFonts w:hint="cs"/>
          <w:rtl/>
        </w:rPr>
        <w:t>י</w:t>
      </w:r>
      <w:r w:rsidRPr="00333AA7" w:rsidR="00B54233">
        <w:rPr>
          <w:rtl/>
        </w:rPr>
        <w:t xml:space="preserve">סים ומשרד הכלכלה ינתחו את המשמעויות הנגזרות מהמהלכים לקדם </w:t>
      </w:r>
      <w:r w:rsidRPr="00333AA7" w:rsidR="00B54233">
        <w:t>CBAM</w:t>
      </w:r>
      <w:r w:rsidRPr="00333AA7" w:rsidR="00B54233">
        <w:rPr>
          <w:rtl/>
        </w:rPr>
        <w:t xml:space="preserve"> באיחוד האירופי, וכן יעקב</w:t>
      </w:r>
      <w:r w:rsidRPr="00333AA7" w:rsidR="00B54233">
        <w:rPr>
          <w:rFonts w:hint="cs"/>
          <w:rtl/>
        </w:rPr>
        <w:t>ו</w:t>
      </w:r>
      <w:r w:rsidRPr="00333AA7" w:rsidR="00B54233">
        <w:rPr>
          <w:rtl/>
        </w:rPr>
        <w:t xml:space="preserve"> אחר המדיניות המתגבשת בנושא בבריטניה ובמדינות אחרות ו</w:t>
      </w:r>
      <w:r w:rsidRPr="00333AA7" w:rsidR="00B54233">
        <w:rPr>
          <w:rFonts w:hint="cs"/>
          <w:rtl/>
        </w:rPr>
        <w:t xml:space="preserve">יבחנו </w:t>
      </w:r>
      <w:r w:rsidRPr="00333AA7" w:rsidR="00B54233">
        <w:rPr>
          <w:rtl/>
        </w:rPr>
        <w:t xml:space="preserve">אם מתווה מס הפחמן בהחלטה נותן מענה לחשיפה </w:t>
      </w:r>
      <w:r w:rsidRPr="00333AA7" w:rsidR="00B54233">
        <w:rPr>
          <w:rFonts w:hint="cs"/>
          <w:rtl/>
        </w:rPr>
        <w:t xml:space="preserve">לסיכונים </w:t>
      </w:r>
      <w:r w:rsidRPr="00333AA7" w:rsidR="00B54233">
        <w:rPr>
          <w:rtl/>
        </w:rPr>
        <w:t xml:space="preserve">של יצוא ישראלי למדינות אלו. במסגרת זו מוצע לשקול גם נקיטת </w:t>
      </w:r>
      <w:r w:rsidRPr="00333AA7" w:rsidR="00B54233">
        <w:rPr>
          <w:rtl/>
        </w:rPr>
        <w:t xml:space="preserve">אמצעים דומים בישראל שמטרתם למנוע "זליגת פחמן" </w:t>
      </w:r>
      <w:r w:rsidRPr="00333AA7" w:rsidR="00B54233">
        <w:rPr>
          <w:rFonts w:hint="cs"/>
          <w:rtl/>
        </w:rPr>
        <w:t>ל</w:t>
      </w:r>
      <w:r w:rsidRPr="00333AA7" w:rsidR="00B54233">
        <w:rPr>
          <w:rtl/>
        </w:rPr>
        <w:t>תעשיות מחוץ לישראל (בעקבות הטלת מס פחמן</w:t>
      </w:r>
      <w:r w:rsidR="00B54233">
        <w:rPr>
          <w:rFonts w:hint="cs"/>
          <w:rtl/>
        </w:rPr>
        <w:t>)</w:t>
      </w:r>
      <w:r w:rsidRPr="008E57FE">
        <w:rPr>
          <w:rFonts w:hint="cs"/>
          <w:rtl/>
        </w:rPr>
        <w:t>.</w:t>
      </w:r>
    </w:p>
    <w:p w:rsidR="00B54233" w:rsidRPr="00936D22" w:rsidP="00B54233" w14:paraId="07E1864F" w14:textId="77777777">
      <w:pPr>
        <w:pStyle w:val="73512"/>
        <w:rPr>
          <w:rStyle w:val="7372"/>
          <w:bCs/>
          <w:color w:val="00305F"/>
          <w:sz w:val="24"/>
          <w:szCs w:val="24"/>
          <w:rtl/>
        </w:rPr>
      </w:pPr>
      <w:bookmarkStart w:id="3" w:name="_Hlk140417420"/>
      <w:r w:rsidRPr="00936D22">
        <w:rPr>
          <w:rStyle w:val="7372"/>
          <w:bCs/>
          <w:color w:val="00305F"/>
          <w:sz w:val="24"/>
          <w:szCs w:val="24"/>
          <w:rtl/>
        </w:rPr>
        <w:t>חדשנות ומו"פ אקלי</w:t>
      </w:r>
      <w:r w:rsidRPr="00936D22">
        <w:rPr>
          <w:rStyle w:val="7372"/>
          <w:rFonts w:hint="cs"/>
          <w:bCs/>
          <w:color w:val="00305F"/>
          <w:sz w:val="24"/>
          <w:szCs w:val="24"/>
          <w:rtl/>
        </w:rPr>
        <w:t>ם</w:t>
      </w:r>
      <w:r w:rsidRPr="00936D22">
        <w:rPr>
          <w:rStyle w:val="7372"/>
          <w:bCs/>
          <w:color w:val="00305F"/>
          <w:sz w:val="24"/>
          <w:szCs w:val="24"/>
          <w:rtl/>
        </w:rPr>
        <w:t>-ט</w:t>
      </w:r>
      <w:r w:rsidRPr="00936D22">
        <w:rPr>
          <w:rStyle w:val="7372"/>
          <w:rFonts w:hint="cs"/>
          <w:bCs/>
          <w:color w:val="00305F"/>
          <w:sz w:val="24"/>
          <w:szCs w:val="24"/>
          <w:rtl/>
        </w:rPr>
        <w:t>ק</w:t>
      </w:r>
    </w:p>
    <w:bookmarkEnd w:id="3"/>
    <w:p w:rsidR="00362505" w:rsidP="00362505" w14:paraId="62699D10" w14:textId="277D3BEE">
      <w:pPr>
        <w:pStyle w:val="7316"/>
        <w:rPr>
          <w:rtl/>
        </w:rPr>
      </w:pPr>
      <w:r w:rsidRPr="0063556C">
        <w:rPr>
          <w:rStyle w:val="7372"/>
          <w:rFonts w:hint="cs"/>
          <w:noProof/>
          <w:rtl/>
        </w:rPr>
        <w:drawing>
          <wp:anchor distT="0" distB="1440180" distL="107950" distR="114300" simplePos="0" relativeHeight="251689984" behindDoc="1" locked="0" layoutInCell="1" allowOverlap="1">
            <wp:simplePos x="0" y="0"/>
            <wp:positionH relativeFrom="column">
              <wp:posOffset>4521200</wp:posOffset>
            </wp:positionH>
            <wp:positionV relativeFrom="paragraph">
              <wp:posOffset>36324</wp:posOffset>
            </wp:positionV>
            <wp:extent cx="144000" cy="162000"/>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466323398" name="תמונה 466323398">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142227" name="תמונה 466323398">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6"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333AA7" w:rsidR="00B54233">
        <w:rPr>
          <w:rtl/>
        </w:rPr>
        <w:t xml:space="preserve">מוצע כי רשות החדשנות תבחן </w:t>
      </w:r>
      <w:r w:rsidRPr="00333AA7" w:rsidR="00B54233">
        <w:rPr>
          <w:rFonts w:hint="cs"/>
          <w:rtl/>
        </w:rPr>
        <w:t>את ה</w:t>
      </w:r>
      <w:r w:rsidRPr="00333AA7" w:rsidR="00B54233">
        <w:rPr>
          <w:rtl/>
        </w:rPr>
        <w:t xml:space="preserve">מגמות בהיקפי ההשקעות ואת תמהיל השקעותיה לאור יעדי הפחתת </w:t>
      </w:r>
      <w:r w:rsidRPr="00333AA7" w:rsidR="00B54233">
        <w:rPr>
          <w:rFonts w:hint="cs"/>
          <w:rtl/>
        </w:rPr>
        <w:t>ה</w:t>
      </w:r>
      <w:r w:rsidRPr="00333AA7" w:rsidR="00B54233">
        <w:rPr>
          <w:rtl/>
        </w:rPr>
        <w:t>פליטות הסקטוריאליים שקבעה ישראל</w:t>
      </w:r>
      <w:r w:rsidRPr="00333AA7" w:rsidR="00B54233">
        <w:rPr>
          <w:rFonts w:hint="cs"/>
          <w:rtl/>
        </w:rPr>
        <w:t>,</w:t>
      </w:r>
      <w:r w:rsidRPr="00333AA7" w:rsidR="00B54233">
        <w:rPr>
          <w:rtl/>
        </w:rPr>
        <w:t xml:space="preserve"> הנדרשים בעיקר בתחום ייצור החשמל והתחבורה, וכן לאור הצרכים </w:t>
      </w:r>
      <w:r w:rsidRPr="00333AA7" w:rsidR="00B54233">
        <w:rPr>
          <w:rFonts w:hint="cs"/>
          <w:rtl/>
        </w:rPr>
        <w:t>ש</w:t>
      </w:r>
      <w:r w:rsidRPr="00333AA7" w:rsidR="00B54233">
        <w:rPr>
          <w:rtl/>
        </w:rPr>
        <w:t xml:space="preserve">העלתה לשכת המדען הראשי במשרד </w:t>
      </w:r>
      <w:r w:rsidRPr="00333AA7" w:rsidR="00B54233">
        <w:rPr>
          <w:rtl/>
        </w:rPr>
        <w:t>האנרגייה</w:t>
      </w:r>
      <w:r w:rsidRPr="00333AA7" w:rsidR="00B54233">
        <w:rPr>
          <w:rtl/>
        </w:rPr>
        <w:t xml:space="preserve"> תוך היוועצות עם לשכות המדענים הראשיים של משרדי </w:t>
      </w:r>
      <w:r w:rsidRPr="00333AA7" w:rsidR="00B54233">
        <w:rPr>
          <w:rtl/>
        </w:rPr>
        <w:t>האנרגייה</w:t>
      </w:r>
      <w:r w:rsidRPr="00333AA7" w:rsidR="00B54233">
        <w:rPr>
          <w:rtl/>
        </w:rPr>
        <w:t xml:space="preserve"> </w:t>
      </w:r>
      <w:r w:rsidRPr="00333AA7" w:rsidR="00B54233">
        <w:rPr>
          <w:rtl/>
        </w:rPr>
        <w:t>והג</w:t>
      </w:r>
      <w:r w:rsidRPr="00333AA7" w:rsidR="00B54233">
        <w:rPr>
          <w:rFonts w:hint="cs"/>
          <w:rtl/>
        </w:rPr>
        <w:t>"ס</w:t>
      </w:r>
      <w:r w:rsidRPr="008E57FE">
        <w:rPr>
          <w:rFonts w:hint="cs"/>
          <w:rtl/>
        </w:rPr>
        <w:t>.</w:t>
      </w:r>
    </w:p>
    <w:p w:rsidR="00362505" w:rsidP="00362505" w14:paraId="09F28DED" w14:textId="745CEF37">
      <w:pPr>
        <w:pStyle w:val="7316"/>
        <w:rPr>
          <w:rtl/>
        </w:rPr>
      </w:pPr>
      <w:r w:rsidRPr="0063556C">
        <w:rPr>
          <w:rStyle w:val="7372"/>
          <w:rFonts w:hint="cs"/>
          <w:noProof/>
          <w:rtl/>
        </w:rPr>
        <w:drawing>
          <wp:anchor distT="0" distB="1440180" distL="107950" distR="114300" simplePos="0" relativeHeight="251691008" behindDoc="1" locked="0" layoutInCell="1" allowOverlap="1">
            <wp:simplePos x="0" y="0"/>
            <wp:positionH relativeFrom="column">
              <wp:posOffset>4521200</wp:posOffset>
            </wp:positionH>
            <wp:positionV relativeFrom="paragraph">
              <wp:posOffset>36324</wp:posOffset>
            </wp:positionV>
            <wp:extent cx="144000" cy="162000"/>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888605305" name="תמונה 888605305">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422207" name="תמונה 888605305">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6"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333AA7" w:rsidR="00B54233">
        <w:rPr>
          <w:rFonts w:hint="cs"/>
          <w:rtl/>
        </w:rPr>
        <w:t xml:space="preserve">מוצע כי </w:t>
      </w:r>
      <w:r w:rsidRPr="00333AA7" w:rsidR="00B54233">
        <w:rPr>
          <w:rtl/>
        </w:rPr>
        <w:t xml:space="preserve">רשות החדשנות </w:t>
      </w:r>
      <w:r w:rsidRPr="00333AA7" w:rsidR="00B54233">
        <w:rPr>
          <w:rFonts w:hint="cs"/>
          <w:rtl/>
        </w:rPr>
        <w:t>תבחן</w:t>
      </w:r>
      <w:r w:rsidRPr="00333AA7" w:rsidR="00B54233">
        <w:rPr>
          <w:rtl/>
        </w:rPr>
        <w:t xml:space="preserve"> עם משרדי האוצר, </w:t>
      </w:r>
      <w:r w:rsidRPr="00333AA7" w:rsidR="00B54233">
        <w:rPr>
          <w:rtl/>
        </w:rPr>
        <w:t>האנרגייה</w:t>
      </w:r>
      <w:r w:rsidRPr="00333AA7" w:rsidR="00B54233">
        <w:rPr>
          <w:rtl/>
        </w:rPr>
        <w:t xml:space="preserve">, החקלאות והכלכלה ומשרד החדשנות אם החלטות הממשלה בנושא האקלים-טק לסיוע להפחתת פליטות </w:t>
      </w:r>
      <w:r w:rsidRPr="00333AA7" w:rsidR="00B54233">
        <w:rPr>
          <w:rtl/>
        </w:rPr>
        <w:t>גז"ח</w:t>
      </w:r>
      <w:r w:rsidRPr="00333AA7" w:rsidR="00B54233">
        <w:rPr>
          <w:rtl/>
        </w:rPr>
        <w:t xml:space="preserve"> בישראל מקודמות באופן היעיל</w:t>
      </w:r>
      <w:r w:rsidRPr="00333AA7" w:rsidR="00B54233">
        <w:rPr>
          <w:rFonts w:hint="cs"/>
          <w:rtl/>
        </w:rPr>
        <w:t xml:space="preserve"> ביותר</w:t>
      </w:r>
      <w:r w:rsidRPr="00333AA7" w:rsidR="00B54233">
        <w:rPr>
          <w:rtl/>
        </w:rPr>
        <w:t xml:space="preserve">, </w:t>
      </w:r>
      <w:r w:rsidRPr="00333AA7" w:rsidR="00B54233">
        <w:rPr>
          <w:rFonts w:hint="cs"/>
          <w:rtl/>
        </w:rPr>
        <w:t>ו</w:t>
      </w:r>
      <w:r w:rsidRPr="00333AA7" w:rsidR="00B54233">
        <w:rPr>
          <w:rtl/>
        </w:rPr>
        <w:t>אם פעולות רשות החדשנות בעניין יוכלו להשיג את צ</w:t>
      </w:r>
      <w:r w:rsidRPr="00333AA7" w:rsidR="00B54233">
        <w:rPr>
          <w:rFonts w:hint="cs"/>
          <w:rtl/>
        </w:rPr>
        <w:t>ו</w:t>
      </w:r>
      <w:r w:rsidRPr="00333AA7" w:rsidR="00B54233">
        <w:rPr>
          <w:rtl/>
        </w:rPr>
        <w:t xml:space="preserve">רכי הפיתוח הטכנולוגי של ישראל ולמצות את ההזדמנויות שלה בתחום ביחס לעולם. כמו כן על משרדי </w:t>
      </w:r>
      <w:r w:rsidRPr="00333AA7" w:rsidR="00B54233">
        <w:rPr>
          <w:rtl/>
        </w:rPr>
        <w:t>האנרגייה</w:t>
      </w:r>
      <w:r w:rsidRPr="00333AA7" w:rsidR="00B54233">
        <w:rPr>
          <w:rtl/>
        </w:rPr>
        <w:t xml:space="preserve"> והאוצר לבחון אם פעולת משרד </w:t>
      </w:r>
      <w:r w:rsidRPr="00333AA7" w:rsidR="00B54233">
        <w:rPr>
          <w:rtl/>
        </w:rPr>
        <w:t>האנרגייה</w:t>
      </w:r>
      <w:r w:rsidRPr="00333AA7" w:rsidR="00B54233">
        <w:rPr>
          <w:rtl/>
        </w:rPr>
        <w:t xml:space="preserve"> באמצעות לשכת המדען הראשי מקבלת את כלל המשאבים הדרוש</w:t>
      </w:r>
      <w:r w:rsidRPr="00333AA7" w:rsidR="00B54233">
        <w:rPr>
          <w:rFonts w:hint="cs"/>
          <w:rtl/>
        </w:rPr>
        <w:t>ים לה</w:t>
      </w:r>
      <w:r w:rsidRPr="008E57FE">
        <w:rPr>
          <w:rFonts w:hint="cs"/>
          <w:rtl/>
        </w:rPr>
        <w:t>.</w:t>
      </w:r>
    </w:p>
    <w:p w:rsidR="00362505" w:rsidP="00362505" w14:paraId="1F43BF31" w14:textId="7B62D47B">
      <w:pPr>
        <w:pStyle w:val="7316"/>
        <w:rPr>
          <w:rtl/>
        </w:rPr>
      </w:pPr>
      <w:r w:rsidRPr="0063556C">
        <w:rPr>
          <w:rStyle w:val="7372"/>
          <w:rFonts w:hint="cs"/>
          <w:noProof/>
          <w:rtl/>
        </w:rPr>
        <w:drawing>
          <wp:anchor distT="0" distB="1440180" distL="107950" distR="114300" simplePos="0" relativeHeight="251692032" behindDoc="1" locked="0" layoutInCell="1" allowOverlap="1">
            <wp:simplePos x="0" y="0"/>
            <wp:positionH relativeFrom="column">
              <wp:posOffset>4521200</wp:posOffset>
            </wp:positionH>
            <wp:positionV relativeFrom="paragraph">
              <wp:posOffset>36324</wp:posOffset>
            </wp:positionV>
            <wp:extent cx="144000" cy="162000"/>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1488676059" name="תמונה 14886760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5344292" name="תמונה 14886760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6"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333AA7" w:rsidR="00B54233">
        <w:rPr>
          <w:rtl/>
        </w:rPr>
        <w:t xml:space="preserve">כדי לקדם את ביצוען של החלטות הממשלה בתחום האקלים-טק, מוצע כי ממצאי פרק זה </w:t>
      </w:r>
      <w:r w:rsidRPr="00333AA7" w:rsidR="00B54233">
        <w:rPr>
          <w:rFonts w:hint="cs"/>
          <w:rtl/>
        </w:rPr>
        <w:t xml:space="preserve">הנוגעים בין היתר להשקעות ציבוריות בתחום האקלים-טק ולסיווג תחומי האקלים-טק </w:t>
      </w:r>
      <w:r w:rsidRPr="00333AA7" w:rsidR="00B54233">
        <w:rPr>
          <w:rtl/>
        </w:rPr>
        <w:t xml:space="preserve">ייבחנו על ידי רשות החדשנות ומשרד </w:t>
      </w:r>
      <w:r w:rsidRPr="00333AA7" w:rsidR="00B54233">
        <w:rPr>
          <w:rtl/>
        </w:rPr>
        <w:t>האנרגייה</w:t>
      </w:r>
      <w:r w:rsidRPr="00333AA7" w:rsidR="00B54233">
        <w:rPr>
          <w:rtl/>
        </w:rPr>
        <w:t xml:space="preserve"> בשיתוף משרד האוצר, וימוצו התהליכים הדרושים לצורך יישומ</w:t>
      </w:r>
      <w:r w:rsidRPr="00333AA7" w:rsidR="00B54233">
        <w:rPr>
          <w:rFonts w:hint="cs"/>
          <w:rtl/>
        </w:rPr>
        <w:t>ן</w:t>
      </w:r>
      <w:r w:rsidRPr="00333AA7" w:rsidR="00B54233">
        <w:rPr>
          <w:rtl/>
        </w:rPr>
        <w:t xml:space="preserve"> בפועל לרבות </w:t>
      </w:r>
      <w:r w:rsidRPr="00333AA7" w:rsidR="00B54233">
        <w:rPr>
          <w:rFonts w:hint="eastAsia"/>
          <w:rtl/>
        </w:rPr>
        <w:t>ת</w:t>
      </w:r>
      <w:r w:rsidRPr="00333AA7" w:rsidR="00B54233">
        <w:rPr>
          <w:rFonts w:hint="cs"/>
          <w:rtl/>
        </w:rPr>
        <w:t>י</w:t>
      </w:r>
      <w:r w:rsidRPr="00333AA7" w:rsidR="00B54233">
        <w:rPr>
          <w:rFonts w:hint="eastAsia"/>
          <w:rtl/>
        </w:rPr>
        <w:t>עדוף</w:t>
      </w:r>
      <w:r w:rsidRPr="00333AA7" w:rsidR="00B54233">
        <w:rPr>
          <w:rtl/>
        </w:rPr>
        <w:t xml:space="preserve"> הקצאת משאבים ציבוריים לצד</w:t>
      </w:r>
      <w:r w:rsidRPr="00333AA7" w:rsidR="00B54233">
        <w:rPr>
          <w:rFonts w:hint="cs"/>
          <w:rtl/>
        </w:rPr>
        <w:t xml:space="preserve"> </w:t>
      </w:r>
      <w:r w:rsidRPr="00333AA7" w:rsidR="00B54233">
        <w:rPr>
          <w:rtl/>
        </w:rPr>
        <w:t>עידוד משיכת הון פרטי לתחום זה, על בסיס תקצוב הולם.</w:t>
      </w:r>
      <w:r w:rsidRPr="00333AA7" w:rsidR="00B54233">
        <w:rPr>
          <w:rFonts w:hint="cs"/>
          <w:rtl/>
        </w:rPr>
        <w:t xml:space="preserve"> </w:t>
      </w:r>
      <w:r w:rsidRPr="00333AA7" w:rsidR="00B54233">
        <w:rPr>
          <w:rtl/>
        </w:rPr>
        <w:t>עוד מומלץ כי משרד החדשנות יגבש הצעת מחליטים משלימה שתבטיח את התקציבים הדרושים לקידום התחום</w:t>
      </w:r>
      <w:r w:rsidRPr="00333AA7" w:rsidR="00B54233">
        <w:rPr>
          <w:rFonts w:hint="cs"/>
          <w:rtl/>
        </w:rPr>
        <w:t xml:space="preserve">; וכי </w:t>
      </w:r>
      <w:r w:rsidRPr="00333AA7" w:rsidR="00B54233">
        <w:rPr>
          <w:rFonts w:hint="cs"/>
        </w:rPr>
        <w:t>ISERD</w:t>
      </w:r>
      <w:r w:rsidRPr="00333AA7" w:rsidR="00B54233">
        <w:rPr>
          <w:rFonts w:hint="cs"/>
          <w:rtl/>
        </w:rPr>
        <w:t xml:space="preserve"> תמשיך </w:t>
      </w:r>
      <w:r w:rsidRPr="00333AA7" w:rsidR="00B54233">
        <w:rPr>
          <w:rtl/>
        </w:rPr>
        <w:t>לעודד חוקרים להגיש בקשות למימון מחקרים בתחום האקלים</w:t>
      </w:r>
      <w:r w:rsidRPr="008E57FE">
        <w:rPr>
          <w:rFonts w:hint="cs"/>
          <w:rtl/>
        </w:rPr>
        <w:t>.</w:t>
      </w:r>
    </w:p>
    <w:p w:rsidR="00B54233" w:rsidP="00B54233" w14:paraId="65070A65" w14:textId="65B807F5">
      <w:pPr>
        <w:pStyle w:val="7316"/>
        <w:rPr>
          <w:rtl/>
        </w:rPr>
      </w:pPr>
      <w:r w:rsidRPr="0063556C">
        <w:rPr>
          <w:rStyle w:val="7372"/>
          <w:rFonts w:hint="cs"/>
          <w:noProof/>
          <w:rtl/>
        </w:rPr>
        <w:drawing>
          <wp:anchor distT="0" distB="360045" distL="107950" distR="114300" simplePos="0" relativeHeight="251714560" behindDoc="1" locked="0" layoutInCell="1" allowOverlap="1">
            <wp:simplePos x="0" y="0"/>
            <wp:positionH relativeFrom="column">
              <wp:posOffset>4521200</wp:posOffset>
            </wp:positionH>
            <wp:positionV relativeFrom="paragraph">
              <wp:posOffset>36324</wp:posOffset>
            </wp:positionV>
            <wp:extent cx="144000" cy="162000"/>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121962617" name="תמונה 121962617">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511270" name="תמונה 14886760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6"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333AA7">
        <w:rPr>
          <w:rtl/>
        </w:rPr>
        <w:t>על מנכ"ל משרד ראש הממשלה לפעול להקמת צוות משימה להאצת טכנולוגיות אקלים שיפעל לאיתור חסמים ולביצוע פעולות להסרתם, בהשתתפות החשב הכללי במשרד האוצר והממונה על התקציבים</w:t>
      </w:r>
      <w:r w:rsidRPr="008E57FE">
        <w:rPr>
          <w:rFonts w:hint="cs"/>
          <w:rtl/>
        </w:rPr>
        <w:t>.</w:t>
      </w:r>
    </w:p>
    <w:p w:rsidR="00B54233" w:rsidRPr="00936D22" w:rsidP="00B54233" w14:paraId="7D94B236" w14:textId="77777777">
      <w:pPr>
        <w:pStyle w:val="73512"/>
        <w:rPr>
          <w:rStyle w:val="7372"/>
          <w:color w:val="00305F"/>
          <w:sz w:val="24"/>
          <w:szCs w:val="24"/>
          <w:rtl/>
        </w:rPr>
      </w:pPr>
      <w:r w:rsidRPr="00936D22">
        <w:rPr>
          <w:rStyle w:val="7372"/>
          <w:bCs/>
          <w:color w:val="00305F"/>
          <w:sz w:val="24"/>
          <w:szCs w:val="24"/>
          <w:rtl/>
        </w:rPr>
        <w:t>היערכות</w:t>
      </w:r>
      <w:r w:rsidRPr="00936D22">
        <w:rPr>
          <w:rStyle w:val="7372"/>
          <w:color w:val="00305F"/>
          <w:sz w:val="24"/>
          <w:szCs w:val="24"/>
          <w:rtl/>
        </w:rPr>
        <w:t xml:space="preserve"> </w:t>
      </w:r>
      <w:r w:rsidRPr="00936D22">
        <w:rPr>
          <w:rStyle w:val="7372"/>
          <w:bCs/>
          <w:color w:val="00305F"/>
          <w:sz w:val="24"/>
          <w:szCs w:val="24"/>
          <w:rtl/>
        </w:rPr>
        <w:t>לסיכונים פיננסיים שמקורם בשינויי אקלים</w:t>
      </w:r>
    </w:p>
    <w:p w:rsidR="00B54233" w:rsidP="00B54233" w14:paraId="3452D9F9" w14:textId="351D4979">
      <w:pPr>
        <w:pStyle w:val="7316"/>
        <w:rPr>
          <w:rtl/>
        </w:rPr>
      </w:pPr>
      <w:r w:rsidRPr="0063556C">
        <w:rPr>
          <w:rStyle w:val="7372"/>
          <w:rFonts w:hint="cs"/>
          <w:noProof/>
          <w:rtl/>
        </w:rPr>
        <w:drawing>
          <wp:anchor distT="0" distB="1440180" distL="107950" distR="114300" simplePos="0" relativeHeight="251715584" behindDoc="1" locked="0" layoutInCell="1" allowOverlap="1">
            <wp:simplePos x="0" y="0"/>
            <wp:positionH relativeFrom="column">
              <wp:posOffset>4521200</wp:posOffset>
            </wp:positionH>
            <wp:positionV relativeFrom="paragraph">
              <wp:posOffset>36324</wp:posOffset>
            </wp:positionV>
            <wp:extent cx="144000" cy="162000"/>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375316357" name="תמונה 375316357">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520928" name="תמונה 14886760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6"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333AA7">
        <w:rPr>
          <w:rtl/>
        </w:rPr>
        <w:t xml:space="preserve">מוצע כי בהקשר של חובות גילוי, הפיקוח על הבנקים יבחן את האפשרות לכלול </w:t>
      </w:r>
      <w:r w:rsidRPr="00333AA7">
        <w:rPr>
          <w:rFonts w:hint="cs"/>
          <w:rtl/>
        </w:rPr>
        <w:t xml:space="preserve">בדיווחי הבנקים </w:t>
      </w:r>
      <w:r w:rsidRPr="00333AA7">
        <w:rPr>
          <w:rtl/>
        </w:rPr>
        <w:t xml:space="preserve">רשימת קריטריונים ברורה ואחידה לגבי חובות גילוי של דיווחי אקלים כמותיים הנוגעים לאופן חישוב פליטות </w:t>
      </w:r>
      <w:r w:rsidRPr="00333AA7">
        <w:rPr>
          <w:rtl/>
        </w:rPr>
        <w:t>גז"ח</w:t>
      </w:r>
      <w:r w:rsidRPr="00333AA7">
        <w:rPr>
          <w:rtl/>
        </w:rPr>
        <w:t>, לסוגי האינטרסים הסביבתיים הנשקלים ו</w:t>
      </w:r>
      <w:r w:rsidRPr="00333AA7">
        <w:rPr>
          <w:rFonts w:hint="cs"/>
          <w:rtl/>
        </w:rPr>
        <w:t>ל</w:t>
      </w:r>
      <w:r w:rsidRPr="00333AA7">
        <w:rPr>
          <w:rtl/>
        </w:rPr>
        <w:t xml:space="preserve">דרך ניהול הסיכונים הקשורים באקלים (פיזיים ומעבר). </w:t>
      </w:r>
      <w:r w:rsidRPr="00333AA7">
        <w:rPr>
          <w:rFonts w:hint="cs"/>
          <w:rtl/>
        </w:rPr>
        <w:t xml:space="preserve"> זאת, </w:t>
      </w:r>
      <w:r w:rsidRPr="00333AA7">
        <w:rPr>
          <w:rtl/>
        </w:rPr>
        <w:t xml:space="preserve"> כדי להגביר עוד יותר את ההיערכות לסיכונים הפיננסיים כתוצאה ממשבר האקלים, ולאור </w:t>
      </w:r>
      <w:r w:rsidRPr="00333AA7">
        <w:rPr>
          <w:rFonts w:hint="cs"/>
          <w:rtl/>
        </w:rPr>
        <w:t>פרסום סטנדרטים</w:t>
      </w:r>
      <w:r w:rsidRPr="00333AA7">
        <w:rPr>
          <w:rtl/>
        </w:rPr>
        <w:t xml:space="preserve"> אחידים בעניין ב-</w:t>
      </w:r>
      <w:r w:rsidRPr="00333AA7">
        <w:t>IFRS</w:t>
      </w:r>
      <w:r w:rsidRPr="00333AA7">
        <w:rPr>
          <w:rFonts w:hint="cs"/>
          <w:rtl/>
        </w:rPr>
        <w:t xml:space="preserve"> ביוני 2023</w:t>
      </w:r>
      <w:r>
        <w:rPr>
          <w:rtl/>
        </w:rPr>
        <w:t xml:space="preserve"> </w:t>
      </w:r>
      <w:r w:rsidRPr="00333AA7">
        <w:rPr>
          <w:rtl/>
        </w:rPr>
        <w:t>ו</w:t>
      </w:r>
      <w:r w:rsidRPr="00333AA7">
        <w:rPr>
          <w:rFonts w:hint="cs"/>
          <w:rtl/>
        </w:rPr>
        <w:t xml:space="preserve">השלמת סטנדרטים מוסכמים נוספים </w:t>
      </w:r>
      <w:r w:rsidRPr="00333AA7">
        <w:rPr>
          <w:rtl/>
        </w:rPr>
        <w:t>גם באירופה</w:t>
      </w:r>
      <w:r w:rsidRPr="00333AA7">
        <w:rPr>
          <w:rFonts w:hint="cs"/>
          <w:rtl/>
        </w:rPr>
        <w:t xml:space="preserve"> נכון למועד הביקורת</w:t>
      </w:r>
      <w:r w:rsidRPr="008E57FE">
        <w:rPr>
          <w:rFonts w:hint="cs"/>
          <w:rtl/>
        </w:rPr>
        <w:t>.</w:t>
      </w:r>
    </w:p>
    <w:p w:rsidR="00B54233" w:rsidP="00B54233" w14:paraId="3F6ACA42" w14:textId="53A26C1C">
      <w:pPr>
        <w:pStyle w:val="7316"/>
        <w:rPr>
          <w:rtl/>
        </w:rPr>
      </w:pPr>
      <w:r w:rsidRPr="0063556C">
        <w:rPr>
          <w:rStyle w:val="7372"/>
          <w:rFonts w:hint="cs"/>
          <w:noProof/>
          <w:rtl/>
        </w:rPr>
        <w:drawing>
          <wp:anchor distT="0" distB="1440180" distL="107950" distR="114300" simplePos="0" relativeHeight="251716608" behindDoc="1" locked="0" layoutInCell="1" allowOverlap="1">
            <wp:simplePos x="0" y="0"/>
            <wp:positionH relativeFrom="column">
              <wp:posOffset>4521200</wp:posOffset>
            </wp:positionH>
            <wp:positionV relativeFrom="paragraph">
              <wp:posOffset>36324</wp:posOffset>
            </wp:positionV>
            <wp:extent cx="144000" cy="162000"/>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790169432" name="תמונה 790169432">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9756637" name="תמונה 14886760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6"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333AA7">
        <w:rPr>
          <w:rtl/>
        </w:rPr>
        <w:t xml:space="preserve">מומלץ כי בנק ישראל ישקף לממשלה במסגרת תהליכי קבלת ההחלטות הנוגעות לחקיקה ולמדיניות </w:t>
      </w:r>
      <w:r w:rsidRPr="00333AA7">
        <w:rPr>
          <w:rFonts w:hint="cs"/>
          <w:rtl/>
        </w:rPr>
        <w:t>ה</w:t>
      </w:r>
      <w:r w:rsidRPr="00333AA7">
        <w:rPr>
          <w:rtl/>
        </w:rPr>
        <w:t>ממשלתית ב</w:t>
      </w:r>
      <w:r w:rsidRPr="00333AA7">
        <w:rPr>
          <w:rFonts w:hint="cs"/>
          <w:rtl/>
        </w:rPr>
        <w:t>נושא סיכוני</w:t>
      </w:r>
      <w:r w:rsidRPr="00333AA7">
        <w:rPr>
          <w:rtl/>
        </w:rPr>
        <w:t xml:space="preserve"> </w:t>
      </w:r>
      <w:r w:rsidRPr="00333AA7">
        <w:rPr>
          <w:rFonts w:hint="cs"/>
          <w:rtl/>
        </w:rPr>
        <w:t>ה</w:t>
      </w:r>
      <w:r w:rsidRPr="00333AA7">
        <w:rPr>
          <w:rtl/>
        </w:rPr>
        <w:t>אקלים את הש</w:t>
      </w:r>
      <w:r w:rsidRPr="00333AA7">
        <w:rPr>
          <w:rFonts w:hint="cs"/>
          <w:rtl/>
        </w:rPr>
        <w:t>פע</w:t>
      </w:r>
      <w:r w:rsidRPr="00333AA7">
        <w:rPr>
          <w:rtl/>
        </w:rPr>
        <w:t xml:space="preserve">ות חוסר הוודאות בנוגע למסגרת הרגולטורית והחוקית הכללית הנוגעת לתחום האקלים, אשר </w:t>
      </w:r>
      <w:r w:rsidRPr="00333AA7">
        <w:rPr>
          <w:rFonts w:hint="cs"/>
          <w:rtl/>
        </w:rPr>
        <w:t xml:space="preserve">לדבריו </w:t>
      </w:r>
      <w:r w:rsidRPr="00333AA7">
        <w:rPr>
          <w:rtl/>
        </w:rPr>
        <w:t>מגביל</w:t>
      </w:r>
      <w:r w:rsidRPr="00333AA7">
        <w:rPr>
          <w:rFonts w:hint="cs"/>
          <w:rtl/>
        </w:rPr>
        <w:t>ות</w:t>
      </w:r>
      <w:r w:rsidRPr="00333AA7">
        <w:rPr>
          <w:rtl/>
        </w:rPr>
        <w:t xml:space="preserve"> </w:t>
      </w:r>
      <w:r w:rsidRPr="00333AA7">
        <w:rPr>
          <w:rFonts w:hint="cs"/>
          <w:rtl/>
        </w:rPr>
        <w:t>"</w:t>
      </w:r>
      <w:r w:rsidRPr="00333AA7">
        <w:rPr>
          <w:rtl/>
        </w:rPr>
        <w:t>את היכולת של המערכת הבנקאית לנהל באופן מיטבי את סיכוני האקלים"</w:t>
      </w:r>
      <w:r w:rsidRPr="00333AA7">
        <w:rPr>
          <w:rFonts w:hint="cs"/>
          <w:rtl/>
        </w:rPr>
        <w:t>, ו</w:t>
      </w:r>
      <w:r w:rsidRPr="00333AA7">
        <w:rPr>
          <w:rtl/>
        </w:rPr>
        <w:t>הנובע</w:t>
      </w:r>
      <w:r w:rsidRPr="00333AA7">
        <w:rPr>
          <w:rFonts w:hint="cs"/>
          <w:rtl/>
        </w:rPr>
        <w:t>ות</w:t>
      </w:r>
      <w:r w:rsidRPr="00333AA7">
        <w:rPr>
          <w:rtl/>
        </w:rPr>
        <w:t xml:space="preserve"> בין היתר מאי</w:t>
      </w:r>
      <w:r w:rsidRPr="00333AA7">
        <w:rPr>
          <w:rFonts w:hint="cs"/>
          <w:rtl/>
        </w:rPr>
        <w:t>-</w:t>
      </w:r>
      <w:r w:rsidRPr="00333AA7">
        <w:rPr>
          <w:rtl/>
        </w:rPr>
        <w:t>מיצוי הליך החקיקה</w:t>
      </w:r>
      <w:r w:rsidRPr="00333AA7">
        <w:rPr>
          <w:rFonts w:hint="cs"/>
          <w:rtl/>
        </w:rPr>
        <w:t>,</w:t>
      </w:r>
      <w:r w:rsidRPr="00333AA7">
        <w:rPr>
          <w:rtl/>
        </w:rPr>
        <w:t xml:space="preserve"> </w:t>
      </w:r>
      <w:r w:rsidRPr="00333AA7">
        <w:rPr>
          <w:rFonts w:hint="cs"/>
          <w:rtl/>
        </w:rPr>
        <w:t>מ</w:t>
      </w:r>
      <w:r w:rsidRPr="00333AA7">
        <w:rPr>
          <w:rtl/>
        </w:rPr>
        <w:t>ה</w:t>
      </w:r>
      <w:r w:rsidRPr="00333AA7">
        <w:rPr>
          <w:rFonts w:hint="cs"/>
          <w:rtl/>
        </w:rPr>
        <w:t>י</w:t>
      </w:r>
      <w:r w:rsidRPr="00333AA7">
        <w:rPr>
          <w:rtl/>
        </w:rPr>
        <w:t xml:space="preserve">עדרה של </w:t>
      </w:r>
      <w:r w:rsidRPr="00333AA7">
        <w:rPr>
          <w:rFonts w:hint="cs"/>
          <w:rtl/>
        </w:rPr>
        <w:t xml:space="preserve">נקיטת </w:t>
      </w:r>
      <w:r w:rsidRPr="00333AA7">
        <w:rPr>
          <w:rtl/>
        </w:rPr>
        <w:t xml:space="preserve">פעולה ממשלתית כוללת </w:t>
      </w:r>
      <w:r w:rsidRPr="00333AA7">
        <w:rPr>
          <w:rtl/>
        </w:rPr>
        <w:t>ומתוכללת</w:t>
      </w:r>
      <w:r w:rsidRPr="00333AA7">
        <w:rPr>
          <w:rtl/>
        </w:rPr>
        <w:t xml:space="preserve"> </w:t>
      </w:r>
      <w:r w:rsidRPr="00333AA7">
        <w:rPr>
          <w:rFonts w:hint="cs"/>
          <w:rtl/>
        </w:rPr>
        <w:t>ומ</w:t>
      </w:r>
      <w:r w:rsidRPr="00333AA7">
        <w:rPr>
          <w:rtl/>
        </w:rPr>
        <w:t>היעדרה של תשתית לאומית הכרחית של מידע ודיווח. שיקוף ההש</w:t>
      </w:r>
      <w:r w:rsidRPr="00333AA7">
        <w:rPr>
          <w:rFonts w:hint="cs"/>
          <w:rtl/>
        </w:rPr>
        <w:t>פע</w:t>
      </w:r>
      <w:r w:rsidRPr="00333AA7">
        <w:rPr>
          <w:rtl/>
        </w:rPr>
        <w:t xml:space="preserve">ות נכון כי </w:t>
      </w:r>
      <w:r w:rsidRPr="00333AA7">
        <w:rPr>
          <w:rFonts w:hint="cs"/>
          <w:rtl/>
        </w:rPr>
        <w:t>י</w:t>
      </w:r>
      <w:r w:rsidRPr="00333AA7">
        <w:rPr>
          <w:rtl/>
        </w:rPr>
        <w:t xml:space="preserve">יעשה גם למול </w:t>
      </w:r>
      <w:r w:rsidRPr="00333AA7">
        <w:rPr>
          <w:rtl/>
        </w:rPr>
        <w:t xml:space="preserve">רשויות רגולטוריות פיננסיות מקבילות; כל זאת </w:t>
      </w:r>
      <w:r w:rsidRPr="00333AA7">
        <w:rPr>
          <w:rFonts w:hint="cs"/>
          <w:rtl/>
        </w:rPr>
        <w:t>כדי</w:t>
      </w:r>
      <w:r w:rsidRPr="00333AA7">
        <w:rPr>
          <w:rtl/>
        </w:rPr>
        <w:t xml:space="preserve"> שניתן יהיה לשפר עוד יותר את המוכנות של מערכת הבנקאות וגופים פיננסיים אחרים לסיכוני </w:t>
      </w:r>
      <w:r w:rsidRPr="00333AA7">
        <w:rPr>
          <w:rFonts w:hint="cs"/>
          <w:rtl/>
        </w:rPr>
        <w:t>ה</w:t>
      </w:r>
      <w:r w:rsidRPr="00333AA7">
        <w:rPr>
          <w:rtl/>
        </w:rPr>
        <w:t>אקלים</w:t>
      </w:r>
      <w:r w:rsidRPr="008E57FE">
        <w:rPr>
          <w:rFonts w:hint="cs"/>
          <w:rtl/>
        </w:rPr>
        <w:t>.</w:t>
      </w:r>
    </w:p>
    <w:p w:rsidR="00B54233" w:rsidP="00B54233" w14:paraId="5E76EA04" w14:textId="374CEC6B">
      <w:pPr>
        <w:pStyle w:val="7316"/>
        <w:rPr>
          <w:rtl/>
        </w:rPr>
      </w:pPr>
      <w:r w:rsidRPr="0063556C">
        <w:rPr>
          <w:rStyle w:val="7372"/>
          <w:rFonts w:hint="cs"/>
          <w:noProof/>
          <w:rtl/>
        </w:rPr>
        <w:drawing>
          <wp:anchor distT="0" distB="1440180" distL="107950" distR="114300" simplePos="0" relativeHeight="251717632" behindDoc="1" locked="0" layoutInCell="1" allowOverlap="1">
            <wp:simplePos x="0" y="0"/>
            <wp:positionH relativeFrom="column">
              <wp:posOffset>4521200</wp:posOffset>
            </wp:positionH>
            <wp:positionV relativeFrom="paragraph">
              <wp:posOffset>36324</wp:posOffset>
            </wp:positionV>
            <wp:extent cx="144000" cy="162000"/>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1748066147" name="תמונה 1748066147">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4242421" name="תמונה 14886760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6"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333AA7">
        <w:rPr>
          <w:rtl/>
        </w:rPr>
        <w:t xml:space="preserve">מומלץ כי בנק ישראל יאיץ את פעולותיו וישלים את בחינת הסיכונים הנובעים משינויי האקלים ואת הכללת שיקולי </w:t>
      </w:r>
      <w:r w:rsidRPr="00333AA7">
        <w:t>ESG</w:t>
      </w:r>
      <w:r w:rsidRPr="00333AA7">
        <w:rPr>
          <w:rtl/>
        </w:rPr>
        <w:t xml:space="preserve"> במדיניות ההשקעה שלו בתיק יתרות </w:t>
      </w:r>
      <w:r w:rsidRPr="00333AA7">
        <w:rPr>
          <w:rtl/>
        </w:rPr>
        <w:t>המט"ח</w:t>
      </w:r>
      <w:r w:rsidRPr="00333AA7">
        <w:rPr>
          <w:rtl/>
        </w:rPr>
        <w:t xml:space="preserve"> של מדינת ישראל, ויבחן האם ובאיזה אופן עליו לפעול להטמעת הסיכונים הנובעים משינויי האקלים בפעילות השוטפת שלו כמנהל תיק יתרות </w:t>
      </w:r>
      <w:r w:rsidRPr="00333AA7">
        <w:rPr>
          <w:rtl/>
        </w:rPr>
        <w:t>המט"ח</w:t>
      </w:r>
      <w:r w:rsidRPr="00333AA7">
        <w:rPr>
          <w:rtl/>
        </w:rPr>
        <w:t xml:space="preserve"> של המדינה, המסתכם בכ-202 מיליארד דולר ארה"ב, ולנוכח הסיכונים שעליהם הצביע לפני הבנקים המסחריים המפוקחים על ידו.</w:t>
      </w:r>
      <w:r w:rsidRPr="00333AA7">
        <w:rPr>
          <w:rFonts w:hint="cs"/>
          <w:rtl/>
        </w:rPr>
        <w:t xml:space="preserve"> </w:t>
      </w:r>
      <w:r w:rsidRPr="00333AA7">
        <w:rPr>
          <w:rtl/>
        </w:rPr>
        <w:t xml:space="preserve">עוד מומלץ כי אם בנק ישראל יחליט במסגרת סמכותו לכלול שיקולי </w:t>
      </w:r>
      <w:r w:rsidRPr="00333AA7">
        <w:t>ESG</w:t>
      </w:r>
      <w:r w:rsidRPr="00333AA7">
        <w:rPr>
          <w:rtl/>
        </w:rPr>
        <w:t xml:space="preserve"> בפעילות השוטפת שלו, הוא יפרסם לציבור, באופן שוטף, את אופן יישום הטמעת שיקולי ה-</w:t>
      </w:r>
      <w:r w:rsidRPr="00333AA7">
        <w:t>ESG</w:t>
      </w:r>
      <w:r w:rsidRPr="00333AA7">
        <w:rPr>
          <w:rtl/>
        </w:rPr>
        <w:t xml:space="preserve"> בפעילות השוטפת שלו כחלק מפרסומיו על אודות ניהול תיק יתרות </w:t>
      </w:r>
      <w:r w:rsidRPr="00333AA7">
        <w:rPr>
          <w:rtl/>
        </w:rPr>
        <w:t>המט"ח</w:t>
      </w:r>
      <w:r w:rsidRPr="00333AA7">
        <w:rPr>
          <w:rtl/>
        </w:rPr>
        <w:t xml:space="preserve"> של המדינה</w:t>
      </w:r>
      <w:r w:rsidRPr="008E57FE">
        <w:rPr>
          <w:rFonts w:hint="cs"/>
          <w:rtl/>
        </w:rPr>
        <w:t>.</w:t>
      </w:r>
    </w:p>
    <w:p w:rsidR="00B54233" w:rsidP="00B54233" w14:paraId="115B53B6" w14:textId="6B1928BC">
      <w:pPr>
        <w:pStyle w:val="7316"/>
        <w:rPr>
          <w:rtl/>
        </w:rPr>
      </w:pPr>
      <w:r w:rsidRPr="0063556C">
        <w:rPr>
          <w:rStyle w:val="7372"/>
          <w:rFonts w:hint="cs"/>
          <w:noProof/>
          <w:rtl/>
        </w:rPr>
        <w:drawing>
          <wp:anchor distT="0" distB="1440180" distL="107950" distR="114300" simplePos="0" relativeHeight="251718656" behindDoc="1" locked="0" layoutInCell="1" allowOverlap="1">
            <wp:simplePos x="0" y="0"/>
            <wp:positionH relativeFrom="column">
              <wp:posOffset>4521200</wp:posOffset>
            </wp:positionH>
            <wp:positionV relativeFrom="paragraph">
              <wp:posOffset>36324</wp:posOffset>
            </wp:positionV>
            <wp:extent cx="144000" cy="162000"/>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1506951567" name="תמונה 1506951567">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6262417" name="תמונה 14886760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6"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333AA7">
        <w:rPr>
          <w:rtl/>
        </w:rPr>
        <w:t>מוצע כי רשות ניירות ערך תבחן אם המלצות גילוי ה-</w:t>
      </w:r>
      <w:r w:rsidRPr="00333AA7">
        <w:t>ESG</w:t>
      </w:r>
      <w:r w:rsidRPr="00333AA7">
        <w:rPr>
          <w:rtl/>
        </w:rPr>
        <w:t xml:space="preserve"> לחברות ציבוריות </w:t>
      </w:r>
      <w:r w:rsidRPr="00333AA7">
        <w:rPr>
          <w:rFonts w:hint="cs"/>
          <w:rtl/>
        </w:rPr>
        <w:t>וכן</w:t>
      </w:r>
      <w:r w:rsidRPr="00333AA7">
        <w:rPr>
          <w:rtl/>
        </w:rPr>
        <w:t xml:space="preserve"> ההנחיה לבחון שיקולי </w:t>
      </w:r>
      <w:r w:rsidRPr="00333AA7">
        <w:t>ESG</w:t>
      </w:r>
      <w:r w:rsidRPr="00333AA7">
        <w:rPr>
          <w:rtl/>
        </w:rPr>
        <w:t xml:space="preserve"> ולדווח על כך למנהלי קרנות ולבעלי רישיון גדולים מספקות לצורך קידום אפקטיבי של מדיניות השקעות המביאה בחשבון סיכוני אקלים, בחינה של מעבר לחובת דיווח (במקום באופן וולונטרי), ובאיזה אופן ניתן לקבוע </w:t>
      </w:r>
      <w:r w:rsidRPr="00333AA7">
        <w:rPr>
          <w:rFonts w:hint="cs"/>
          <w:rtl/>
        </w:rPr>
        <w:t xml:space="preserve">למפוקחים שלה </w:t>
      </w:r>
      <w:r w:rsidRPr="00333AA7">
        <w:rPr>
          <w:rtl/>
        </w:rPr>
        <w:t>סטנדרטים לעניין זה - העומדים בשורה אחת עם הפרקטיקה הנוהגת בעניינים אלו במדינות אחרות ובהתבסס על התקינה הבי</w:t>
      </w:r>
      <w:r w:rsidRPr="00333AA7">
        <w:rPr>
          <w:rFonts w:hint="cs"/>
          <w:rtl/>
        </w:rPr>
        <w:t>ן-</w:t>
      </w:r>
      <w:r w:rsidRPr="00333AA7">
        <w:rPr>
          <w:rtl/>
        </w:rPr>
        <w:t xml:space="preserve">לאומית </w:t>
      </w:r>
      <w:r w:rsidRPr="00333AA7">
        <w:rPr>
          <w:rFonts w:hint="cs"/>
          <w:rtl/>
        </w:rPr>
        <w:t>החדשה</w:t>
      </w:r>
      <w:r w:rsidRPr="00333AA7">
        <w:rPr>
          <w:rtl/>
        </w:rPr>
        <w:t xml:space="preserve"> בעניין. לאור פרסום הסטנדרטים לדיווח בנושא קיימות ואקלים של ה-</w:t>
      </w:r>
      <w:r w:rsidRPr="00333AA7">
        <w:t>IFRS</w:t>
      </w:r>
      <w:r w:rsidRPr="00333AA7">
        <w:rPr>
          <w:rtl/>
        </w:rPr>
        <w:t xml:space="preserve"> ביוני 2023,</w:t>
      </w:r>
      <w:r w:rsidRPr="00333AA7">
        <w:rPr>
          <w:rFonts w:hint="cs"/>
          <w:rtl/>
        </w:rPr>
        <w:t xml:space="preserve"> </w:t>
      </w:r>
      <w:r w:rsidRPr="00333AA7">
        <w:rPr>
          <w:rtl/>
        </w:rPr>
        <w:t xml:space="preserve">מומלץ כי הרשות תפעל להטמעתם בקרב הגופים </w:t>
      </w:r>
      <w:r w:rsidRPr="00333AA7">
        <w:rPr>
          <w:rFonts w:hint="cs"/>
          <w:rtl/>
        </w:rPr>
        <w:t>שבאחריותה</w:t>
      </w:r>
      <w:r w:rsidRPr="008E57FE">
        <w:rPr>
          <w:rFonts w:hint="cs"/>
          <w:rtl/>
        </w:rPr>
        <w:t>.</w:t>
      </w:r>
    </w:p>
    <w:p w:rsidR="00B54233" w:rsidP="00B54233" w14:paraId="1D4F1EEE" w14:textId="4A1E0EA3">
      <w:pPr>
        <w:pStyle w:val="7316"/>
        <w:rPr>
          <w:rtl/>
        </w:rPr>
      </w:pPr>
      <w:r w:rsidRPr="0063556C">
        <w:rPr>
          <w:rStyle w:val="7372"/>
          <w:rFonts w:hint="cs"/>
          <w:noProof/>
          <w:rtl/>
        </w:rPr>
        <w:drawing>
          <wp:anchor distT="0" distB="1440180" distL="107950" distR="114300" simplePos="0" relativeHeight="251719680" behindDoc="1" locked="0" layoutInCell="1" allowOverlap="1">
            <wp:simplePos x="0" y="0"/>
            <wp:positionH relativeFrom="column">
              <wp:posOffset>4521200</wp:posOffset>
            </wp:positionH>
            <wp:positionV relativeFrom="paragraph">
              <wp:posOffset>36324</wp:posOffset>
            </wp:positionV>
            <wp:extent cx="144000" cy="162000"/>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1015253890" name="תמונה 1015253890">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01332" name="תמונה 14886760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6"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333AA7">
        <w:rPr>
          <w:rtl/>
        </w:rPr>
        <w:t>מוצע כי רשות שוק ההון תשקול להנחות את הגופים המוסדיים להוסיף לחובות הגילוי אינדיקטורים כמקובל למשל בחקיקת הגילוי של האיחוד האירופי ו</w:t>
      </w:r>
      <w:r w:rsidRPr="00333AA7">
        <w:rPr>
          <w:rFonts w:hint="cs"/>
          <w:rtl/>
        </w:rPr>
        <w:t>ל</w:t>
      </w:r>
      <w:r w:rsidRPr="00333AA7">
        <w:rPr>
          <w:rtl/>
        </w:rPr>
        <w:t xml:space="preserve">כלול </w:t>
      </w:r>
      <w:r w:rsidRPr="00333AA7">
        <w:rPr>
          <w:rFonts w:hint="cs"/>
          <w:rtl/>
        </w:rPr>
        <w:t xml:space="preserve">בהן </w:t>
      </w:r>
      <w:r w:rsidRPr="00333AA7">
        <w:rPr>
          <w:rtl/>
        </w:rPr>
        <w:t>גילוי של שיעור החשיפה לפעילויות ו</w:t>
      </w:r>
      <w:r w:rsidRPr="00333AA7">
        <w:rPr>
          <w:rFonts w:hint="cs"/>
          <w:rtl/>
        </w:rPr>
        <w:t>ל</w:t>
      </w:r>
      <w:r w:rsidRPr="00333AA7">
        <w:rPr>
          <w:rtl/>
        </w:rPr>
        <w:t xml:space="preserve">נכסים מסוכנים מבחינת </w:t>
      </w:r>
      <w:r w:rsidRPr="00333AA7">
        <w:rPr>
          <w:rFonts w:hint="cs"/>
          <w:rtl/>
        </w:rPr>
        <w:t>ה</w:t>
      </w:r>
      <w:r w:rsidRPr="00333AA7">
        <w:rPr>
          <w:rtl/>
        </w:rPr>
        <w:t xml:space="preserve">סיכונים </w:t>
      </w:r>
      <w:r w:rsidRPr="00333AA7">
        <w:rPr>
          <w:rFonts w:hint="cs"/>
          <w:rtl/>
        </w:rPr>
        <w:t>ה</w:t>
      </w:r>
      <w:r w:rsidRPr="00333AA7">
        <w:rPr>
          <w:rtl/>
        </w:rPr>
        <w:t>פיננסיים, ובהתאם לכללי הדיווח הבי</w:t>
      </w:r>
      <w:r w:rsidRPr="00333AA7">
        <w:rPr>
          <w:rFonts w:hint="cs"/>
          <w:rtl/>
        </w:rPr>
        <w:t>ן-</w:t>
      </w:r>
      <w:r w:rsidRPr="00333AA7">
        <w:rPr>
          <w:rtl/>
        </w:rPr>
        <w:t>לאומיים הצפויים להתפרסם ולסטנדרטים לדיווח בנושא קיימות ואקלים של ה-</w:t>
      </w:r>
      <w:r w:rsidRPr="00333AA7">
        <w:t>IFRS</w:t>
      </w:r>
      <w:r w:rsidRPr="00333AA7">
        <w:rPr>
          <w:rtl/>
        </w:rPr>
        <w:t xml:space="preserve"> שכבר פורסמו ביוני 2023. עוד מוצע כי רשות שוק ההון ת</w:t>
      </w:r>
      <w:r w:rsidRPr="00333AA7">
        <w:rPr>
          <w:rFonts w:hint="cs"/>
          <w:rtl/>
        </w:rPr>
        <w:t>בחן את</w:t>
      </w:r>
      <w:r w:rsidRPr="00333AA7">
        <w:rPr>
          <w:rtl/>
        </w:rPr>
        <w:t xml:space="preserve"> החשיפה של הגופים המוסדיים לסיכוני סביבה ו</w:t>
      </w:r>
      <w:r w:rsidRPr="00333AA7">
        <w:rPr>
          <w:rFonts w:hint="cs"/>
          <w:rtl/>
        </w:rPr>
        <w:t xml:space="preserve">את </w:t>
      </w:r>
      <w:r w:rsidRPr="00333AA7">
        <w:rPr>
          <w:rtl/>
        </w:rPr>
        <w:t xml:space="preserve">מידת הכיסוי </w:t>
      </w:r>
      <w:r w:rsidRPr="00333AA7">
        <w:rPr>
          <w:rtl/>
        </w:rPr>
        <w:t>הביטוח</w:t>
      </w:r>
      <w:r w:rsidRPr="00333AA7">
        <w:rPr>
          <w:rFonts w:hint="cs"/>
          <w:rtl/>
        </w:rPr>
        <w:t>י</w:t>
      </w:r>
      <w:r w:rsidRPr="00333AA7">
        <w:rPr>
          <w:rtl/>
        </w:rPr>
        <w:t xml:space="preserve"> הקיים ותקדם ביצוע של מבחני קיצון אקלימיים בקרב הגופים המפוקחים.</w:t>
      </w:r>
      <w:r w:rsidRPr="00333AA7">
        <w:rPr>
          <w:rFonts w:hint="cs"/>
          <w:rtl/>
        </w:rPr>
        <w:t xml:space="preserve"> כל זאת, </w:t>
      </w:r>
      <w:r w:rsidRPr="00333AA7">
        <w:rPr>
          <w:rtl/>
        </w:rPr>
        <w:t xml:space="preserve">לצורך הגברת הטמעת סיכוני </w:t>
      </w:r>
      <w:r w:rsidRPr="00333AA7">
        <w:rPr>
          <w:rFonts w:hint="cs"/>
          <w:rtl/>
        </w:rPr>
        <w:t>ה</w:t>
      </w:r>
      <w:r w:rsidRPr="00333AA7">
        <w:rPr>
          <w:rtl/>
        </w:rPr>
        <w:t>אקלים ומתן אפשרות למשקיעים לבחון את החשיפות לסיכונים סביבתיים הקיימים בגופים מוסדיים</w:t>
      </w:r>
      <w:r w:rsidRPr="008E57FE">
        <w:rPr>
          <w:rFonts w:hint="cs"/>
          <w:rtl/>
        </w:rPr>
        <w:t>.</w:t>
      </w:r>
    </w:p>
    <w:p w:rsidR="00B54233" w:rsidP="00B54233" w14:paraId="1CB3A2DE" w14:textId="63908EB7">
      <w:pPr>
        <w:pStyle w:val="7316"/>
        <w:rPr>
          <w:rtl/>
        </w:rPr>
      </w:pPr>
      <w:r w:rsidRPr="0063556C">
        <w:rPr>
          <w:rStyle w:val="7372"/>
          <w:rFonts w:hint="cs"/>
          <w:noProof/>
          <w:rtl/>
        </w:rPr>
        <w:drawing>
          <wp:anchor distT="0" distB="1440180" distL="107950" distR="114300" simplePos="0" relativeHeight="251720704" behindDoc="1" locked="0" layoutInCell="1" allowOverlap="1">
            <wp:simplePos x="0" y="0"/>
            <wp:positionH relativeFrom="column">
              <wp:posOffset>4521200</wp:posOffset>
            </wp:positionH>
            <wp:positionV relativeFrom="paragraph">
              <wp:posOffset>36324</wp:posOffset>
            </wp:positionV>
            <wp:extent cx="144000" cy="162000"/>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1835859346" name="תמונה 1835859346">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170463" name="תמונה 14886760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6"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333AA7">
        <w:rPr>
          <w:rtl/>
        </w:rPr>
        <w:t>מוצע כי הרגולטורים הפיננס</w:t>
      </w:r>
      <w:r w:rsidRPr="00333AA7">
        <w:rPr>
          <w:rFonts w:hint="cs"/>
          <w:rtl/>
        </w:rPr>
        <w:t>י</w:t>
      </w:r>
      <w:r w:rsidRPr="00333AA7">
        <w:rPr>
          <w:rtl/>
        </w:rPr>
        <w:t>ים</w:t>
      </w:r>
      <w:r w:rsidRPr="00333AA7">
        <w:rPr>
          <w:rFonts w:hint="cs"/>
          <w:rtl/>
        </w:rPr>
        <w:t>,</w:t>
      </w:r>
      <w:r w:rsidRPr="00333AA7">
        <w:rPr>
          <w:rtl/>
        </w:rPr>
        <w:t xml:space="preserve"> לצד פעילותם להיערכות לסיכונים (</w:t>
      </w:r>
      <w:r w:rsidRPr="00333AA7">
        <w:rPr>
          <w:rFonts w:hint="cs"/>
          <w:rtl/>
        </w:rPr>
        <w:t xml:space="preserve">סיכונים </w:t>
      </w:r>
      <w:r w:rsidRPr="00333AA7">
        <w:rPr>
          <w:rtl/>
        </w:rPr>
        <w:t xml:space="preserve">פיזיים וסיכוני מעבר) של הגופים הפיננסיים </w:t>
      </w:r>
      <w:r w:rsidRPr="00333AA7">
        <w:rPr>
          <w:rFonts w:hint="cs"/>
          <w:rtl/>
        </w:rPr>
        <w:t>ש</w:t>
      </w:r>
      <w:r w:rsidRPr="00333AA7">
        <w:rPr>
          <w:rtl/>
        </w:rPr>
        <w:t>עליהם הם מפקחים, יתייחסו גם להשפעות של פעילותם של גופים אלה לסביבה ולאקלים, לרבות בשיתופי פעולה בין הגופים עצמם ומול משרד המשפטים</w:t>
      </w:r>
      <w:r w:rsidRPr="008E57FE">
        <w:rPr>
          <w:rFonts w:hint="cs"/>
          <w:rtl/>
        </w:rPr>
        <w:t>.</w:t>
      </w:r>
    </w:p>
    <w:p w:rsidR="00B54233" w14:paraId="047DB14A" w14:textId="4A64564C">
      <w:pPr>
        <w:bidi w:val="0"/>
        <w:spacing w:after="200" w:line="276" w:lineRule="auto"/>
        <w:rPr>
          <w:rStyle w:val="7372"/>
          <w:rtl/>
        </w:rPr>
      </w:pPr>
      <w:r>
        <w:rPr>
          <w:rStyle w:val="7372"/>
          <w:rtl/>
        </w:rPr>
        <w:br w:type="page"/>
      </w:r>
    </w:p>
    <w:p w:rsidR="00B54233" w:rsidP="00362505" w14:paraId="064F90BB" w14:textId="77777777">
      <w:pPr>
        <w:pStyle w:val="7316"/>
        <w:rPr>
          <w:rtl/>
        </w:rPr>
      </w:pPr>
    </w:p>
    <w:p w:rsidR="005D0F8C" w:rsidP="00EB672B" w14:paraId="6DC28C4F" w14:textId="79C7EED7">
      <w:pPr>
        <w:pStyle w:val="7316"/>
        <w:rPr>
          <w:rtl/>
        </w:rPr>
      </w:pPr>
      <w:r w:rsidRPr="00D527BD">
        <w:rPr>
          <w:noProof/>
          <w:szCs w:val="20"/>
          <w:rtl/>
        </w:rPr>
        <w:drawing>
          <wp:anchor distT="0" distB="0" distL="114300" distR="114300" simplePos="0" relativeHeight="251668480" behindDoc="0" locked="0" layoutInCell="1" allowOverlap="1">
            <wp:simplePos x="0" y="0"/>
            <wp:positionH relativeFrom="column">
              <wp:posOffset>-58420</wp:posOffset>
            </wp:positionH>
            <wp:positionV relativeFrom="paragraph">
              <wp:posOffset>-33655</wp:posOffset>
            </wp:positionV>
            <wp:extent cx="4775102" cy="762619"/>
            <wp:effectExtent l="0" t="0" r="0" b="0"/>
            <wp:wrapNone/>
            <wp:docPr id="1451066646" name="Picture 54">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727001" name="Picture 54">
                      <a:extLst>
                        <a:ext xmlns:a="http://schemas.openxmlformats.org/drawingml/2006/main" uri="{C183D7F6-B498-43B3-948B-1728B52AA6E4}">
                          <adec:decorative xmlns:adec="http://schemas.microsoft.com/office/drawing/2017/decorative" val="1"/>
                        </a:ext>
                      </a:extLst>
                    </pic:cNvPr>
                    <pic:cNvPicPr>
                      <a:picLocks noChangeAspect="1"/>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a:xfrm>
                      <a:off x="0" y="0"/>
                      <a:ext cx="4775102" cy="762619"/>
                    </a:xfrm>
                    <a:prstGeom prst="rect">
                      <a:avLst/>
                    </a:prstGeom>
                  </pic:spPr>
                </pic:pic>
              </a:graphicData>
            </a:graphic>
            <wp14:sizeRelH relativeFrom="margin">
              <wp14:pctWidth>0</wp14:pctWidth>
            </wp14:sizeRelH>
            <wp14:sizeRelV relativeFrom="margin">
              <wp14:pctHeight>0</wp14:pctHeight>
            </wp14:sizeRelV>
          </wp:anchor>
        </w:drawing>
      </w:r>
      <w:r w:rsidRPr="00D527BD" w:rsidR="004E71DD">
        <w:rPr>
          <w:noProof/>
          <w:szCs w:val="20"/>
          <w:rtl/>
        </w:rPr>
        <mc:AlternateContent>
          <mc:Choice Requires="wps">
            <w:drawing>
              <wp:anchor distT="0" distB="0" distL="114300" distR="114300" simplePos="0" relativeHeight="251669504" behindDoc="0" locked="0" layoutInCell="1" allowOverlap="1">
                <wp:simplePos x="0" y="0"/>
                <wp:positionH relativeFrom="column">
                  <wp:posOffset>86976</wp:posOffset>
                </wp:positionH>
                <wp:positionV relativeFrom="paragraph">
                  <wp:posOffset>44978</wp:posOffset>
                </wp:positionV>
                <wp:extent cx="4436745" cy="435128"/>
                <wp:effectExtent l="0" t="0" r="0" b="0"/>
                <wp:wrapNone/>
                <wp:docPr id="1451066629"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436745" cy="435128"/>
                        </a:xfrm>
                        <a:prstGeom prst="rect">
                          <a:avLst/>
                        </a:prstGeom>
                        <a:solidFill>
                          <a:srgbClr val="F05260"/>
                        </a:solidFill>
                        <a:ln w="9525">
                          <a:noFill/>
                          <a:miter lim="800000"/>
                          <a:headEnd/>
                          <a:tailEnd/>
                        </a:ln>
                      </wps:spPr>
                      <wps:txbx>
                        <w:txbxContent>
                          <w:p w:rsidR="005D0F8C" w:rsidRPr="005C7ABF" w:rsidP="00524400" w14:textId="3460157E">
                            <w:pPr>
                              <w:pStyle w:val="7331"/>
                              <w:rPr>
                                <w:rtl/>
                              </w:rPr>
                            </w:pPr>
                            <w:r w:rsidRPr="00B54233">
                              <w:rPr>
                                <w:rtl/>
                              </w:rPr>
                              <w:t>נתוני ארגון ה-</w:t>
                            </w:r>
                            <w:r w:rsidRPr="00B54233">
                              <w:t>OECD</w:t>
                            </w:r>
                            <w:r w:rsidRPr="00B54233">
                              <w:rPr>
                                <w:rtl/>
                              </w:rPr>
                              <w:t xml:space="preserve"> על התמיכה הממשלתית בדלקים, לפי סוג התמיכה (במיליארדי ש"ח)</w:t>
                            </w:r>
                            <w:r>
                              <w:rPr>
                                <w:rFonts w:hint="cs"/>
                                <w:rtl/>
                              </w:rPr>
                              <w:t xml:space="preserve"> </w:t>
                            </w:r>
                          </w:p>
                        </w:txbxContent>
                      </wps:txbx>
                      <wps:bodyPr rot="0" vert="horz" wrap="square" anchor="ctr" anchorCtr="0"/>
                    </wps:wsp>
                  </a:graphicData>
                </a:graphic>
                <wp14:sizeRelH relativeFrom="margin">
                  <wp14:pctWidth>0</wp14:pctWidth>
                </wp14:sizeRelH>
                <wp14:sizeRelV relativeFrom="margin">
                  <wp14:pctHeight>0</wp14:pctHeight>
                </wp14:sizeRelV>
              </wp:anchor>
            </w:drawing>
          </mc:Choice>
          <mc:Fallback>
            <w:pict>
              <v:shape id="_x0000_s1032" type="#_x0000_t202" style="width:349.35pt;height:34.25pt;margin-top:3.55pt;margin-left:6.85pt;mso-height-percent:0;mso-height-relative:margin;mso-width-percent:0;mso-width-relative:margin;mso-wrap-distance-bottom:0;mso-wrap-distance-left:9pt;mso-wrap-distance-right:9pt;mso-wrap-distance-top:0;mso-wrap-style:square;position:absolute;visibility:visible;v-text-anchor:middle;z-index:251670528" fillcolor="#f05260" stroked="f">
                <v:textbox>
                  <w:txbxContent>
                    <w:p w:rsidR="005D0F8C" w:rsidRPr="005C7ABF" w:rsidP="00524400" w14:paraId="1D5D7976" w14:textId="3460157E">
                      <w:pPr>
                        <w:pStyle w:val="7331"/>
                        <w:rPr>
                          <w:rtl/>
                        </w:rPr>
                      </w:pPr>
                      <w:r w:rsidRPr="00B54233">
                        <w:rPr>
                          <w:rtl/>
                        </w:rPr>
                        <w:t>נתוני ארגון ה-</w:t>
                      </w:r>
                      <w:r w:rsidRPr="00B54233">
                        <w:t>OECD</w:t>
                      </w:r>
                      <w:r w:rsidRPr="00B54233">
                        <w:rPr>
                          <w:rtl/>
                        </w:rPr>
                        <w:t xml:space="preserve"> על התמיכה הממשלתית בדלקים, לפי סוג התמיכה (במיליארדי ש"ח)</w:t>
                      </w:r>
                      <w:r>
                        <w:rPr>
                          <w:rFonts w:hint="cs"/>
                          <w:rtl/>
                        </w:rPr>
                        <w:t xml:space="preserve"> </w:t>
                      </w:r>
                    </w:p>
                  </w:txbxContent>
                </v:textbox>
              </v:shape>
            </w:pict>
          </mc:Fallback>
        </mc:AlternateContent>
      </w:r>
      <w:r>
        <w:rPr>
          <w:rtl/>
        </w:rPr>
        <w:t xml:space="preserve"> </w:t>
      </w:r>
    </w:p>
    <w:p w:rsidR="005D0F8C" w:rsidP="005D0F8C" w14:paraId="5B8DB107" w14:textId="20FFFE4E">
      <w:pPr>
        <w:pStyle w:val="7316"/>
        <w:rPr>
          <w:rtl/>
        </w:rPr>
      </w:pPr>
    </w:p>
    <w:p w:rsidR="005D0F8C" w:rsidRPr="00D57BE9" w:rsidP="00D57BE9" w14:paraId="65CD3CF9" w14:textId="09F08590">
      <w:pPr>
        <w:rPr>
          <w:rtl/>
        </w:rPr>
      </w:pPr>
    </w:p>
    <w:p w:rsidR="00D57BE9" w:rsidRPr="00D57BE9" w:rsidP="00D57BE9" w14:paraId="29744092" w14:textId="06EF01F3">
      <w:pPr>
        <w:rPr>
          <w:rtl/>
        </w:rPr>
      </w:pPr>
      <w:r>
        <w:rPr>
          <w:noProof/>
          <w:rtl/>
          <w:lang w:val="he-IL"/>
        </w:rPr>
        <w:drawing>
          <wp:inline distT="0" distB="0" distL="0" distR="0">
            <wp:extent cx="4712928" cy="2422187"/>
            <wp:effectExtent l="0" t="0" r="0" b="0"/>
            <wp:docPr id="252592013"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638145" name="תמונה 4"/>
                    <pic:cNvPicPr/>
                  </pic:nvPicPr>
                  <pic:blipFill>
                    <a:blip xmlns:r="http://schemas.openxmlformats.org/officeDocument/2006/relationships" r:embed="rId27">
                      <a:extLst>
                        <a:ext xmlns:a="http://schemas.openxmlformats.org/drawingml/2006/main" uri="{28A0092B-C50C-407E-A947-70E740481C1C}">
                          <a14:useLocalDpi xmlns:a14="http://schemas.microsoft.com/office/drawing/2010/main" val="0"/>
                        </a:ext>
                      </a:extLst>
                    </a:blip>
                    <a:stretch>
                      <a:fillRect/>
                    </a:stretch>
                  </pic:blipFill>
                  <pic:spPr>
                    <a:xfrm>
                      <a:off x="0" y="0"/>
                      <a:ext cx="4722983" cy="2427355"/>
                    </a:xfrm>
                    <a:prstGeom prst="rect">
                      <a:avLst/>
                    </a:prstGeom>
                  </pic:spPr>
                </pic:pic>
              </a:graphicData>
            </a:graphic>
          </wp:inline>
        </w:drawing>
      </w:r>
    </w:p>
    <w:p w:rsidR="00B54233" w:rsidP="00B54233" w14:paraId="5E624989" w14:textId="77777777">
      <w:pPr>
        <w:pStyle w:val="737"/>
        <w:spacing w:after="0"/>
        <w:rPr>
          <w:rtl/>
        </w:rPr>
      </w:pPr>
      <w:r>
        <w:rPr>
          <w:rFonts w:hint="cs"/>
          <w:rtl/>
        </w:rPr>
        <w:t>המקור: ארגון ה-</w:t>
      </w:r>
      <w:r>
        <w:rPr>
          <w:rFonts w:hint="cs"/>
        </w:rPr>
        <w:t>OECD</w:t>
      </w:r>
      <w:r>
        <w:rPr>
          <w:rFonts w:hint="cs"/>
          <w:rtl/>
        </w:rPr>
        <w:t>.</w:t>
      </w:r>
    </w:p>
    <w:p w:rsidR="00B54233" w:rsidRPr="00950F0C" w:rsidP="00B54233" w14:paraId="7BABF1B2" w14:textId="6C4259CB">
      <w:pPr>
        <w:pStyle w:val="737"/>
        <w:spacing w:before="0" w:after="0"/>
        <w:ind w:left="424" w:hanging="424"/>
        <w:rPr>
          <w:rtl/>
        </w:rPr>
      </w:pPr>
      <w:r w:rsidRPr="00950F0C">
        <w:rPr>
          <w:rtl/>
        </w:rPr>
        <w:t>*</w:t>
      </w:r>
      <w:r>
        <w:rPr>
          <w:rtl/>
        </w:rPr>
        <w:tab/>
      </w:r>
      <w:r w:rsidRPr="00E866B5" w:rsidR="00E866B5">
        <w:rPr>
          <w:rtl/>
        </w:rPr>
        <w:t>נתוני שנת 2020 הושפעו ממגפת הקורונה</w:t>
      </w:r>
      <w:r>
        <w:rPr>
          <w:rFonts w:hint="cs"/>
          <w:rtl/>
        </w:rPr>
        <w:t>.</w:t>
      </w:r>
      <w:r w:rsidRPr="00950F0C">
        <w:rPr>
          <w:rtl/>
        </w:rPr>
        <w:t xml:space="preserve"> </w:t>
      </w:r>
    </w:p>
    <w:p w:rsidR="00B54233" w:rsidRPr="00950F0C" w:rsidP="00B54233" w14:paraId="0E642D35" w14:textId="55D5D1F8">
      <w:pPr>
        <w:pStyle w:val="737"/>
        <w:spacing w:before="0" w:after="0"/>
        <w:ind w:left="424" w:hanging="424"/>
        <w:rPr>
          <w:rtl/>
        </w:rPr>
      </w:pPr>
      <w:r>
        <w:rPr>
          <w:rFonts w:hint="cs"/>
          <w:rtl/>
        </w:rPr>
        <w:t>*</w:t>
      </w:r>
      <w:r w:rsidRPr="00950F0C">
        <w:rPr>
          <w:rtl/>
        </w:rPr>
        <w:t xml:space="preserve">* </w:t>
      </w:r>
      <w:r>
        <w:rPr>
          <w:rtl/>
        </w:rPr>
        <w:tab/>
      </w:r>
      <w:r w:rsidRPr="00950F0C">
        <w:rPr>
          <w:rtl/>
        </w:rPr>
        <w:t xml:space="preserve">העברות ישירות הן סכום שניתן </w:t>
      </w:r>
      <w:r w:rsidRPr="00950F0C">
        <w:rPr>
          <w:rtl/>
        </w:rPr>
        <w:t>לחח"י</w:t>
      </w:r>
      <w:r w:rsidRPr="00950F0C">
        <w:rPr>
          <w:rtl/>
        </w:rPr>
        <w:t xml:space="preserve"> להתאמת המפעלים לשימוש בגז טבעי כמקור </w:t>
      </w:r>
      <w:r w:rsidRPr="00950F0C">
        <w:rPr>
          <w:rtl/>
        </w:rPr>
        <w:t>אנרגייה</w:t>
      </w:r>
      <w:r w:rsidRPr="00950F0C">
        <w:rPr>
          <w:rtl/>
        </w:rPr>
        <w:t xml:space="preserve"> וגם דרך הסכמי הגז משנת 2012 עם שדה גז תמר (תמר)</w:t>
      </w:r>
      <w:r>
        <w:rPr>
          <w:rFonts w:hint="cs"/>
          <w:rtl/>
        </w:rPr>
        <w:t>,</w:t>
      </w:r>
      <w:r w:rsidRPr="00950F0C">
        <w:rPr>
          <w:rtl/>
        </w:rPr>
        <w:t xml:space="preserve"> </w:t>
      </w:r>
      <w:r>
        <w:rPr>
          <w:rFonts w:hint="cs"/>
          <w:rtl/>
        </w:rPr>
        <w:t>ו</w:t>
      </w:r>
      <w:r w:rsidRPr="00950F0C">
        <w:rPr>
          <w:rtl/>
        </w:rPr>
        <w:t>לפי</w:t>
      </w:r>
      <w:r>
        <w:rPr>
          <w:rFonts w:hint="cs"/>
          <w:rtl/>
        </w:rPr>
        <w:t>הם</w:t>
      </w:r>
      <w:r w:rsidRPr="00950F0C">
        <w:rPr>
          <w:rtl/>
        </w:rPr>
        <w:t xml:space="preserve"> </w:t>
      </w:r>
      <w:r w:rsidRPr="00950F0C">
        <w:rPr>
          <w:rtl/>
        </w:rPr>
        <w:t>חח"י</w:t>
      </w:r>
      <w:r w:rsidRPr="00950F0C">
        <w:rPr>
          <w:rtl/>
        </w:rPr>
        <w:t xml:space="preserve"> תרכוש גז טבעי מפרויקט תמר על פני 15 שנה מתחילת יצוא גז מפרויקט תמר, או עד </w:t>
      </w:r>
      <w:r w:rsidRPr="00950F0C">
        <w:rPr>
          <w:rtl/>
        </w:rPr>
        <w:t>שחח"י</w:t>
      </w:r>
      <w:r w:rsidRPr="00950F0C">
        <w:rPr>
          <w:rtl/>
        </w:rPr>
        <w:t xml:space="preserve"> תרכוש את הסכום החוזי הכולל, המוקדם ביותר.</w:t>
      </w:r>
    </w:p>
    <w:p w:rsidR="00B54233" w:rsidRPr="00333AA7" w:rsidP="00B54233" w14:paraId="34270154" w14:textId="06E4E972">
      <w:pPr>
        <w:pStyle w:val="737"/>
        <w:spacing w:before="0"/>
        <w:ind w:left="424" w:hanging="424"/>
        <w:rPr>
          <w:rtl/>
        </w:rPr>
      </w:pPr>
      <w:r>
        <w:rPr>
          <w:rFonts w:hint="cs"/>
          <w:rtl/>
        </w:rPr>
        <w:t>**</w:t>
      </w:r>
      <w:r w:rsidRPr="00950F0C">
        <w:rPr>
          <w:rtl/>
        </w:rPr>
        <w:t xml:space="preserve">* </w:t>
      </w:r>
      <w:r>
        <w:rPr>
          <w:rtl/>
        </w:rPr>
        <w:tab/>
      </w:r>
      <w:r w:rsidRPr="00950F0C">
        <w:rPr>
          <w:rtl/>
        </w:rPr>
        <w:t>הטבות המס הן בעיקר פטור מס הבלו על הסולר (</w:t>
      </w:r>
      <w:r w:rsidRPr="00950F0C">
        <w:rPr>
          <w:rtl/>
        </w:rPr>
        <w:t>הישבונים</w:t>
      </w:r>
      <w:r w:rsidRPr="00950F0C">
        <w:rPr>
          <w:rtl/>
        </w:rPr>
        <w:t>) והפחתה בתשלומי תמלוגים ובמיסוי לפי חוק הנפט.</w:t>
      </w:r>
    </w:p>
    <w:p w:rsidR="00362505" w14:paraId="3DE42211" w14:textId="77777777">
      <w:pPr>
        <w:bidi w:val="0"/>
        <w:spacing w:after="200" w:line="276" w:lineRule="auto"/>
        <w:rPr>
          <w:rFonts w:ascii="Tahoma" w:hAnsi="Tahoma" w:cs="Tahoma"/>
          <w:color w:val="0D0D0D" w:themeColor="text1" w:themeTint="F2"/>
          <w:sz w:val="16"/>
          <w:szCs w:val="16"/>
          <w:rtl/>
        </w:rPr>
      </w:pPr>
      <w:r>
        <w:rPr>
          <w:rtl/>
        </w:rPr>
        <w:br w:type="page"/>
      </w:r>
    </w:p>
    <w:p w:rsidR="000B31AA" w:rsidRPr="000B31AA" w:rsidP="00662020" w14:paraId="1001632A" w14:textId="069F16B8">
      <w:pPr>
        <w:pStyle w:val="737"/>
        <w:spacing w:before="0" w:after="0"/>
        <w:rPr>
          <w:rtl/>
        </w:rPr>
      </w:pPr>
      <w:r w:rsidRPr="00DC1D24">
        <w:rPr>
          <w:noProof/>
          <w:rtl/>
        </w:rPr>
        <mc:AlternateContent>
          <mc:Choice Requires="wpg">
            <w:drawing>
              <wp:anchor distT="0" distB="0" distL="114300" distR="114300" simplePos="0" relativeHeight="251671552" behindDoc="0" locked="0" layoutInCell="1" allowOverlap="1">
                <wp:simplePos x="0" y="0"/>
                <wp:positionH relativeFrom="margin">
                  <wp:posOffset>-106680</wp:posOffset>
                </wp:positionH>
                <wp:positionV relativeFrom="paragraph">
                  <wp:posOffset>634</wp:posOffset>
                </wp:positionV>
                <wp:extent cx="4787900" cy="767080"/>
                <wp:effectExtent l="0" t="0" r="0" b="0"/>
                <wp:wrapSquare wrapText="bothSides"/>
                <wp:docPr id="1113575890" name="Group 20527709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xmlns:wpg="http://schemas.microsoft.com/office/word/2010/wordprocessingGroup">
                      <wpg:cNvGrpSpPr/>
                      <wpg:grpSpPr>
                        <a:xfrm>
                          <a:off x="0" y="0"/>
                          <a:ext cx="4787900" cy="767080"/>
                          <a:chOff x="0" y="181533"/>
                          <a:chExt cx="4787900" cy="614829"/>
                        </a:xfrm>
                      </wpg:grpSpPr>
                      <pic:pic xmlns:pic="http://schemas.openxmlformats.org/drawingml/2006/picture">
                        <pic:nvPicPr>
                          <pic:cNvPr id="1113575891" name="Picture 23"/>
                          <pic:cNvPicPr>
                            <a:picLocks noChangeAspect="1"/>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a:xfrm>
                            <a:off x="0" y="181533"/>
                            <a:ext cx="4787900" cy="614829"/>
                          </a:xfrm>
                          <a:prstGeom prst="rect">
                            <a:avLst/>
                          </a:prstGeom>
                        </pic:spPr>
                      </pic:pic>
                      <wps:wsp xmlns:wps="http://schemas.microsoft.com/office/word/2010/wordprocessingShape">
                        <wps:cNvPr id="1113575892" name="Text Box 2"/>
                        <wps:cNvSpPr txBox="1">
                          <a:spLocks noChangeArrowheads="1"/>
                        </wps:cNvSpPr>
                        <wps:spPr bwMode="auto">
                          <a:xfrm>
                            <a:off x="202806" y="266506"/>
                            <a:ext cx="4428490" cy="347646"/>
                          </a:xfrm>
                          <a:prstGeom prst="rect">
                            <a:avLst/>
                          </a:prstGeom>
                          <a:solidFill>
                            <a:srgbClr val="F05260"/>
                          </a:solidFill>
                          <a:ln w="9525">
                            <a:noFill/>
                            <a:miter lim="800000"/>
                            <a:headEnd/>
                            <a:tailEnd/>
                          </a:ln>
                        </wps:spPr>
                        <wps:txbx>
                          <w:txbxContent>
                            <w:p w:rsidR="000B31AA" w:rsidRPr="00524400" w:rsidP="00524400" w14:textId="4ED6E2D4">
                              <w:pPr>
                                <w:pStyle w:val="7331"/>
                              </w:pPr>
                              <w:r w:rsidRPr="00C035DE">
                                <w:rPr>
                                  <w:rtl/>
                                </w:rPr>
                                <w:t>מידת תיקון עיקרי הליקויים שעלו בדוח הקודם</w:t>
                              </w:r>
                            </w:p>
                          </w:txbxContent>
                        </wps:txbx>
                        <wps:bodyPr rot="0" vert="horz" wrap="square" anchor="ctr" anchorCtr="0"/>
                      </wps:wsp>
                    </wpg:wgp>
                  </a:graphicData>
                </a:graphic>
                <wp14:sizeRelH relativeFrom="margin">
                  <wp14:pctWidth>0</wp14:pctWidth>
                </wp14:sizeRelH>
                <wp14:sizeRelV relativeFrom="margin">
                  <wp14:pctHeight>0</wp14:pctHeight>
                </wp14:sizeRelV>
              </wp:anchor>
            </w:drawing>
          </mc:Choice>
          <mc:Fallback>
            <w:pict>
              <v:group id="Group 2052770959" o:spid="_x0000_s1033" alt="&quot;&quot;" style="width:377pt;height:60.4pt;margin-top:0.05pt;margin-left:-8.4pt;mso-height-relative:margin;mso-position-horizontal-relative:margin;mso-width-relative:margin;position:absolute;z-index:251672576" coordorigin="0,1815" coordsize="47879,61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34" type="#_x0000_t75" style="width:47879;height:6148;mso-wrap-style:square;position:absolute;top:1815;visibility:visible">
                  <v:imagedata r:id="rId28" o:title=""/>
                </v:shape>
                <v:shape id="_x0000_s1035" type="#_x0000_t202" style="width:44284;height:3476;left:2028;mso-wrap-style:square;position:absolute;top:2665;visibility:visible;v-text-anchor:middle" fillcolor="#f05260" stroked="f">
                  <v:textbox>
                    <w:txbxContent>
                      <w:p w:rsidR="000B31AA" w:rsidRPr="00524400" w:rsidP="00524400" w14:paraId="64B50804" w14:textId="4ED6E2D4">
                        <w:pPr>
                          <w:pStyle w:val="7331"/>
                        </w:pPr>
                        <w:r w:rsidRPr="00C035DE">
                          <w:rPr>
                            <w:rtl/>
                          </w:rPr>
                          <w:t>מידת תיקון עיקרי הליקויים שעלו בדוח הקודם</w:t>
                        </w:r>
                      </w:p>
                    </w:txbxContent>
                  </v:textbox>
                </v:shape>
                <w10:wrap type="square"/>
              </v:group>
            </w:pict>
          </mc:Fallback>
        </mc:AlternateContent>
      </w:r>
    </w:p>
    <w:tbl>
      <w:tblPr>
        <w:tblStyle w:val="TableGrid"/>
        <w:bidiVisual/>
        <w:tblW w:w="7216" w:type="dxa"/>
        <w:tblInd w:w="397" w:type="dxa"/>
        <w:tblBorders>
          <w:top w:val="none" w:sz="0" w:space="0" w:color="auto"/>
          <w:left w:val="single" w:sz="2" w:space="0" w:color="auto"/>
          <w:bottom w:val="none" w:sz="0" w:space="0" w:color="auto"/>
          <w:right w:val="single" w:sz="2" w:space="0" w:color="auto"/>
          <w:insideH w:val="none" w:sz="0" w:space="0" w:color="auto"/>
          <w:insideV w:val="single" w:sz="2" w:space="0" w:color="auto"/>
        </w:tblBorders>
        <w:shd w:val="clear" w:color="auto" w:fill="DFECEF"/>
        <w:tblLook w:val="04A0"/>
      </w:tblPr>
      <w:tblGrid>
        <w:gridCol w:w="1474"/>
        <w:gridCol w:w="1354"/>
        <w:gridCol w:w="1628"/>
        <w:gridCol w:w="584"/>
        <w:gridCol w:w="758"/>
        <w:gridCol w:w="733"/>
        <w:gridCol w:w="685"/>
      </w:tblGrid>
      <w:tr w14:paraId="6C5BC994" w14:textId="77777777" w:rsidTr="00F600A6">
        <w:tblPrEx>
          <w:tblW w:w="7216" w:type="dxa"/>
          <w:tblInd w:w="397" w:type="dxa"/>
          <w:tblBorders>
            <w:top w:val="none" w:sz="0" w:space="0" w:color="auto"/>
            <w:left w:val="single" w:sz="2" w:space="0" w:color="auto"/>
            <w:bottom w:val="none" w:sz="0" w:space="0" w:color="auto"/>
            <w:right w:val="single" w:sz="2" w:space="0" w:color="auto"/>
            <w:insideH w:val="none" w:sz="0" w:space="0" w:color="auto"/>
            <w:insideV w:val="single" w:sz="2" w:space="0" w:color="auto"/>
          </w:tblBorders>
          <w:shd w:val="clear" w:color="auto" w:fill="DFECEF"/>
          <w:tblLook w:val="04A0"/>
        </w:tblPrEx>
        <w:trPr>
          <w:tblHeader/>
        </w:trPr>
        <w:tc>
          <w:tcPr>
            <w:tcW w:w="1474" w:type="dxa"/>
            <w:vMerge w:val="restart"/>
            <w:shd w:val="clear" w:color="auto" w:fill="C8DCE4"/>
            <w:vAlign w:val="bottom"/>
          </w:tcPr>
          <w:p w:rsidR="00F6117F" w14:paraId="76B971AE" w14:textId="77777777">
            <w:pPr>
              <w:pStyle w:val="73R"/>
            </w:pPr>
            <w:r w:rsidRPr="007E204E">
              <w:rPr>
                <w:b/>
                <w:bCs/>
                <w:rtl/>
              </w:rPr>
              <w:t>פרק הביקורת</w:t>
            </w:r>
          </w:p>
        </w:tc>
        <w:tc>
          <w:tcPr>
            <w:tcW w:w="1354" w:type="dxa"/>
            <w:vMerge w:val="restart"/>
            <w:shd w:val="clear" w:color="auto" w:fill="C8DCE4"/>
            <w:vAlign w:val="bottom"/>
          </w:tcPr>
          <w:p w:rsidR="00F6117F" w14:paraId="434B2954" w14:textId="77777777">
            <w:pPr>
              <w:pStyle w:val="73R"/>
              <w:rPr>
                <w:rtl/>
              </w:rPr>
            </w:pPr>
            <w:r w:rsidRPr="007E204E">
              <w:rPr>
                <w:rFonts w:hint="cs"/>
                <w:b/>
                <w:bCs/>
                <w:rtl/>
              </w:rPr>
              <w:t>הגוף המבוקר</w:t>
            </w:r>
          </w:p>
        </w:tc>
        <w:tc>
          <w:tcPr>
            <w:tcW w:w="1628" w:type="dxa"/>
            <w:vMerge w:val="restart"/>
            <w:shd w:val="clear" w:color="auto" w:fill="C8DCE4"/>
            <w:vAlign w:val="bottom"/>
          </w:tcPr>
          <w:p w:rsidR="00F6117F" w14:paraId="357D64F1" w14:textId="77777777">
            <w:pPr>
              <w:pStyle w:val="73R"/>
              <w:rPr>
                <w:rtl/>
              </w:rPr>
            </w:pPr>
            <w:r w:rsidRPr="007E204E">
              <w:rPr>
                <w:b/>
                <w:bCs/>
                <w:rtl/>
              </w:rPr>
              <w:t>הליקוי בדוח הביקורת</w:t>
            </w:r>
            <w:r w:rsidRPr="007E204E">
              <w:rPr>
                <w:rFonts w:hint="cs"/>
                <w:b/>
                <w:bCs/>
                <w:rtl/>
              </w:rPr>
              <w:t xml:space="preserve"> הקודם</w:t>
            </w:r>
          </w:p>
        </w:tc>
        <w:tc>
          <w:tcPr>
            <w:tcW w:w="2760" w:type="dxa"/>
            <w:gridSpan w:val="4"/>
            <w:shd w:val="clear" w:color="auto" w:fill="C8DCE4"/>
            <w:vAlign w:val="center"/>
          </w:tcPr>
          <w:p w:rsidR="00F6117F" w:rsidRPr="00FA2D84" w14:paraId="26963AD5" w14:textId="77777777">
            <w:pPr>
              <w:pStyle w:val="73R"/>
              <w:bidi w:val="0"/>
              <w:jc w:val="center"/>
              <w:rPr>
                <w:b/>
                <w:bCs/>
                <w:rtl/>
              </w:rPr>
            </w:pPr>
            <w:r w:rsidRPr="00FA2D84">
              <w:rPr>
                <w:b/>
                <w:bCs/>
                <w:rtl/>
              </w:rPr>
              <w:t>מידת תיקון הליקוי</w:t>
            </w:r>
            <w:r w:rsidRPr="00FA2D84">
              <w:rPr>
                <w:rFonts w:hint="cs"/>
                <w:b/>
                <w:bCs/>
                <w:rtl/>
              </w:rPr>
              <w:t xml:space="preserve"> </w:t>
            </w:r>
            <w:r w:rsidRPr="00FA2D84">
              <w:rPr>
                <w:b/>
                <w:bCs/>
                <w:rtl/>
              </w:rPr>
              <w:br/>
            </w:r>
            <w:r w:rsidRPr="00FA2D84">
              <w:rPr>
                <w:rFonts w:hint="cs"/>
                <w:b/>
                <w:bCs/>
                <w:rtl/>
              </w:rPr>
              <w:t>כפי שעלה בביקורת המעקב</w:t>
            </w:r>
          </w:p>
        </w:tc>
      </w:tr>
      <w:tr w14:paraId="6712AE2D" w14:textId="77777777" w:rsidTr="00F600A6">
        <w:tblPrEx>
          <w:tblW w:w="7216" w:type="dxa"/>
          <w:tblInd w:w="397" w:type="dxa"/>
          <w:shd w:val="clear" w:color="auto" w:fill="DFECEF"/>
          <w:tblLook w:val="04A0"/>
        </w:tblPrEx>
        <w:trPr>
          <w:tblHeader/>
        </w:trPr>
        <w:tc>
          <w:tcPr>
            <w:tcW w:w="1474" w:type="dxa"/>
            <w:vMerge/>
            <w:shd w:val="clear" w:color="auto" w:fill="C8DCE4"/>
            <w:vAlign w:val="bottom"/>
          </w:tcPr>
          <w:p w:rsidR="00F6117F" w:rsidRPr="007E204E" w14:paraId="1851288E" w14:textId="77777777">
            <w:pPr>
              <w:pStyle w:val="73R"/>
              <w:rPr>
                <w:b/>
                <w:bCs/>
                <w:rtl/>
              </w:rPr>
            </w:pPr>
          </w:p>
        </w:tc>
        <w:tc>
          <w:tcPr>
            <w:tcW w:w="1354" w:type="dxa"/>
            <w:vMerge/>
            <w:shd w:val="clear" w:color="auto" w:fill="C8DCE4"/>
            <w:vAlign w:val="bottom"/>
          </w:tcPr>
          <w:p w:rsidR="00F6117F" w:rsidRPr="007E204E" w14:paraId="7C8D97BD" w14:textId="77777777">
            <w:pPr>
              <w:pStyle w:val="73R"/>
              <w:rPr>
                <w:b/>
                <w:bCs/>
                <w:rtl/>
              </w:rPr>
            </w:pPr>
          </w:p>
        </w:tc>
        <w:tc>
          <w:tcPr>
            <w:tcW w:w="1628" w:type="dxa"/>
            <w:vMerge/>
            <w:shd w:val="clear" w:color="auto" w:fill="C8DCE4"/>
            <w:vAlign w:val="bottom"/>
          </w:tcPr>
          <w:p w:rsidR="00F6117F" w:rsidRPr="007E204E" w14:paraId="5F032ACA" w14:textId="77777777">
            <w:pPr>
              <w:pStyle w:val="73R"/>
              <w:rPr>
                <w:b/>
                <w:bCs/>
                <w:rtl/>
              </w:rPr>
            </w:pPr>
          </w:p>
        </w:tc>
        <w:tc>
          <w:tcPr>
            <w:tcW w:w="584" w:type="dxa"/>
            <w:shd w:val="clear" w:color="auto" w:fill="FF0100"/>
            <w:vAlign w:val="bottom"/>
          </w:tcPr>
          <w:p w:rsidR="00F6117F" w:rsidRPr="007E204E" w14:paraId="178D6E69" w14:textId="77777777">
            <w:pPr>
              <w:pStyle w:val="73R"/>
              <w:rPr>
                <w:b/>
                <w:bCs/>
                <w:rtl/>
              </w:rPr>
            </w:pPr>
            <w:r w:rsidRPr="007E204E">
              <w:rPr>
                <w:rFonts w:hint="eastAsia"/>
                <w:b/>
                <w:bCs/>
                <w:rtl/>
              </w:rPr>
              <w:t>לא</w:t>
            </w:r>
            <w:r w:rsidRPr="007E204E">
              <w:rPr>
                <w:b/>
                <w:bCs/>
                <w:rtl/>
              </w:rPr>
              <w:t xml:space="preserve"> </w:t>
            </w:r>
            <w:r w:rsidRPr="007E204E">
              <w:rPr>
                <w:rFonts w:hint="eastAsia"/>
                <w:b/>
                <w:bCs/>
                <w:rtl/>
              </w:rPr>
              <w:t>תוקן</w:t>
            </w:r>
          </w:p>
        </w:tc>
        <w:tc>
          <w:tcPr>
            <w:tcW w:w="758" w:type="dxa"/>
            <w:shd w:val="clear" w:color="auto" w:fill="FFC002"/>
            <w:vAlign w:val="bottom"/>
          </w:tcPr>
          <w:p w:rsidR="00F6117F" w:rsidRPr="007E204E" w14:paraId="27D1829F" w14:textId="77777777">
            <w:pPr>
              <w:pStyle w:val="73R"/>
              <w:rPr>
                <w:b/>
                <w:bCs/>
                <w:rtl/>
              </w:rPr>
            </w:pPr>
            <w:r w:rsidRPr="007E204E">
              <w:rPr>
                <w:rFonts w:hint="eastAsia"/>
                <w:b/>
                <w:bCs/>
                <w:rtl/>
              </w:rPr>
              <w:t>תוקן</w:t>
            </w:r>
            <w:r w:rsidRPr="007E204E">
              <w:rPr>
                <w:b/>
                <w:bCs/>
                <w:rtl/>
              </w:rPr>
              <w:t xml:space="preserve"> </w:t>
            </w:r>
            <w:r w:rsidRPr="007E204E">
              <w:rPr>
                <w:rFonts w:hint="eastAsia"/>
                <w:b/>
                <w:bCs/>
                <w:rtl/>
              </w:rPr>
              <w:t>במידה</w:t>
            </w:r>
            <w:r w:rsidRPr="007E204E">
              <w:rPr>
                <w:b/>
                <w:bCs/>
                <w:rtl/>
              </w:rPr>
              <w:t xml:space="preserve"> </w:t>
            </w:r>
            <w:r w:rsidRPr="007E204E">
              <w:rPr>
                <w:rFonts w:hint="eastAsia"/>
                <w:b/>
                <w:bCs/>
                <w:rtl/>
              </w:rPr>
              <w:t>מועטה</w:t>
            </w:r>
          </w:p>
        </w:tc>
        <w:tc>
          <w:tcPr>
            <w:tcW w:w="733" w:type="dxa"/>
            <w:shd w:val="clear" w:color="auto" w:fill="FFFF00"/>
            <w:vAlign w:val="bottom"/>
          </w:tcPr>
          <w:p w:rsidR="00F6117F" w:rsidRPr="007E204E" w14:paraId="2B8CC463" w14:textId="77777777">
            <w:pPr>
              <w:pStyle w:val="73R"/>
              <w:rPr>
                <w:b/>
                <w:bCs/>
                <w:rtl/>
              </w:rPr>
            </w:pPr>
            <w:r w:rsidRPr="007E204E">
              <w:rPr>
                <w:rFonts w:hint="eastAsia"/>
                <w:b/>
                <w:bCs/>
                <w:rtl/>
              </w:rPr>
              <w:t>תוקן</w:t>
            </w:r>
            <w:r w:rsidRPr="007E204E">
              <w:rPr>
                <w:b/>
                <w:bCs/>
                <w:rtl/>
              </w:rPr>
              <w:t xml:space="preserve"> </w:t>
            </w:r>
            <w:r w:rsidRPr="007E204E">
              <w:rPr>
                <w:rFonts w:hint="eastAsia"/>
                <w:b/>
                <w:bCs/>
                <w:rtl/>
              </w:rPr>
              <w:t>במידה</w:t>
            </w:r>
            <w:r w:rsidRPr="007E204E">
              <w:rPr>
                <w:b/>
                <w:bCs/>
                <w:rtl/>
              </w:rPr>
              <w:t xml:space="preserve"> </w:t>
            </w:r>
            <w:r w:rsidRPr="007E204E">
              <w:rPr>
                <w:rFonts w:hint="eastAsia"/>
                <w:b/>
                <w:bCs/>
                <w:rtl/>
              </w:rPr>
              <w:t>רבה</w:t>
            </w:r>
          </w:p>
        </w:tc>
        <w:tc>
          <w:tcPr>
            <w:tcW w:w="685" w:type="dxa"/>
            <w:shd w:val="clear" w:color="auto" w:fill="91CE50"/>
            <w:vAlign w:val="bottom"/>
          </w:tcPr>
          <w:p w:rsidR="00F6117F" w:rsidRPr="007E204E" w14:paraId="5256CD66" w14:textId="77777777">
            <w:pPr>
              <w:pStyle w:val="73R"/>
              <w:rPr>
                <w:b/>
                <w:bCs/>
                <w:rtl/>
              </w:rPr>
            </w:pPr>
            <w:r w:rsidRPr="007E204E">
              <w:rPr>
                <w:rFonts w:hint="eastAsia"/>
                <w:b/>
                <w:bCs/>
                <w:rtl/>
              </w:rPr>
              <w:t>תוקן</w:t>
            </w:r>
            <w:r w:rsidRPr="007E204E">
              <w:rPr>
                <w:b/>
                <w:bCs/>
                <w:rtl/>
              </w:rPr>
              <w:t xml:space="preserve"> </w:t>
            </w:r>
            <w:r w:rsidRPr="007E204E">
              <w:rPr>
                <w:rFonts w:hint="eastAsia"/>
                <w:b/>
                <w:bCs/>
                <w:rtl/>
              </w:rPr>
              <w:t>באופן</w:t>
            </w:r>
            <w:r w:rsidRPr="007E204E">
              <w:rPr>
                <w:b/>
                <w:bCs/>
                <w:rtl/>
              </w:rPr>
              <w:t xml:space="preserve"> </w:t>
            </w:r>
            <w:r w:rsidRPr="007E204E">
              <w:rPr>
                <w:rFonts w:hint="eastAsia"/>
                <w:b/>
                <w:bCs/>
                <w:rtl/>
              </w:rPr>
              <w:t>מלא</w:t>
            </w:r>
          </w:p>
        </w:tc>
      </w:tr>
      <w:tr w14:paraId="76FCE1E4" w14:textId="77777777" w:rsidTr="00F600A6">
        <w:tblPrEx>
          <w:tblW w:w="7216" w:type="dxa"/>
          <w:tblInd w:w="397" w:type="dxa"/>
          <w:shd w:val="clear" w:color="auto" w:fill="DFECEF"/>
          <w:tblLook w:val="04A0"/>
        </w:tblPrEx>
        <w:tc>
          <w:tcPr>
            <w:tcW w:w="1474" w:type="dxa"/>
            <w:shd w:val="clear" w:color="auto" w:fill="DFECEF"/>
          </w:tcPr>
          <w:p w:rsidR="00F600A6" w:rsidP="00F600A6" w14:paraId="52B0D24F" w14:textId="7722C00C">
            <w:pPr>
              <w:pStyle w:val="73R"/>
              <w:rPr>
                <w:rtl/>
              </w:rPr>
            </w:pPr>
            <w:r w:rsidRPr="003F60D2">
              <w:rPr>
                <w:rtl/>
              </w:rPr>
              <w:t xml:space="preserve">הערכות בדבר ההשפעות הכלכליות של שינויי </w:t>
            </w:r>
            <w:r w:rsidRPr="003F60D2">
              <w:rPr>
                <w:rFonts w:hint="cs"/>
                <w:rtl/>
              </w:rPr>
              <w:t>ה</w:t>
            </w:r>
            <w:r w:rsidRPr="003F60D2">
              <w:rPr>
                <w:rtl/>
              </w:rPr>
              <w:t>אקלים</w:t>
            </w:r>
          </w:p>
        </w:tc>
        <w:tc>
          <w:tcPr>
            <w:tcW w:w="1354" w:type="dxa"/>
            <w:shd w:val="clear" w:color="auto" w:fill="DFECEF"/>
          </w:tcPr>
          <w:p w:rsidR="00F600A6" w:rsidP="00F600A6" w14:paraId="6480F1FF" w14:textId="129FAFD3">
            <w:pPr>
              <w:pStyle w:val="73R"/>
              <w:rPr>
                <w:rtl/>
              </w:rPr>
            </w:pPr>
            <w:r w:rsidRPr="003F60D2">
              <w:rPr>
                <w:rtl/>
              </w:rPr>
              <w:t>משרד האוצר</w:t>
            </w:r>
            <w:r w:rsidRPr="003F60D2">
              <w:rPr>
                <w:rFonts w:hint="cs"/>
                <w:rtl/>
              </w:rPr>
              <w:t xml:space="preserve">, </w:t>
            </w:r>
            <w:r w:rsidRPr="003F60D2">
              <w:rPr>
                <w:rtl/>
              </w:rPr>
              <w:t xml:space="preserve">המועצה הלאומית לכלכלה, המשרד </w:t>
            </w:r>
            <w:r w:rsidRPr="003F60D2">
              <w:rPr>
                <w:rtl/>
              </w:rPr>
              <w:t>להג"ס</w:t>
            </w:r>
            <w:r w:rsidRPr="003F60D2">
              <w:rPr>
                <w:rtl/>
              </w:rPr>
              <w:t xml:space="preserve"> ובנק ישראל</w:t>
            </w:r>
          </w:p>
        </w:tc>
        <w:tc>
          <w:tcPr>
            <w:tcW w:w="1628" w:type="dxa"/>
            <w:shd w:val="clear" w:color="auto" w:fill="DFECEF"/>
          </w:tcPr>
          <w:p w:rsidR="00F600A6" w:rsidP="00F600A6" w14:paraId="41D0A08C" w14:textId="25B0F4B8">
            <w:pPr>
              <w:pStyle w:val="73R"/>
              <w:rPr>
                <w:rtl/>
              </w:rPr>
            </w:pPr>
            <w:r w:rsidRPr="003F60D2">
              <w:rPr>
                <w:rFonts w:hint="cs"/>
                <w:rtl/>
              </w:rPr>
              <w:t>א</w:t>
            </w:r>
            <w:r w:rsidRPr="003F60D2">
              <w:rPr>
                <w:rtl/>
              </w:rPr>
              <w:t xml:space="preserve">ף גוף ממשלתי כלכלי לא ביצע הערכה לאומית בנוגע להשפעות </w:t>
            </w:r>
            <w:r w:rsidRPr="003F60D2">
              <w:rPr>
                <w:rFonts w:hint="cs"/>
                <w:rtl/>
              </w:rPr>
              <w:t>ה</w:t>
            </w:r>
            <w:r w:rsidRPr="003F60D2">
              <w:rPr>
                <w:rtl/>
              </w:rPr>
              <w:t>כלכליות של שינויי האקלים על ישראל לטווח הארוך</w:t>
            </w:r>
          </w:p>
        </w:tc>
        <w:tc>
          <w:tcPr>
            <w:tcW w:w="584" w:type="dxa"/>
            <w:shd w:val="clear" w:color="auto" w:fill="DFECEF"/>
          </w:tcPr>
          <w:p w:rsidR="00F600A6" w:rsidP="00F600A6" w14:paraId="7BABFDB0" w14:textId="0B3B0CE5">
            <w:pPr>
              <w:pStyle w:val="73R"/>
              <w:rPr>
                <w:rtl/>
              </w:rPr>
            </w:pPr>
            <w:r w:rsidRPr="00973C85">
              <w:rPr>
                <w:noProof/>
                <w:rtl/>
              </w:rPr>
              <mc:AlternateContent>
                <mc:Choice Requires="wps">
                  <w:drawing>
                    <wp:anchor distT="0" distB="0" distL="114300" distR="114300" simplePos="0" relativeHeight="251727872" behindDoc="0" locked="0" layoutInCell="1" allowOverlap="1">
                      <wp:simplePos x="0" y="0"/>
                      <wp:positionH relativeFrom="column">
                        <wp:posOffset>-59690</wp:posOffset>
                      </wp:positionH>
                      <wp:positionV relativeFrom="paragraph">
                        <wp:posOffset>332943</wp:posOffset>
                      </wp:positionV>
                      <wp:extent cx="357505" cy="223520"/>
                      <wp:effectExtent l="12700" t="12700" r="10795" b="17780"/>
                      <wp:wrapNone/>
                      <wp:docPr id="1419535357" name="חץ שמאלה 1419535357" descr="לא תוקן"/>
                      <wp:cNvGraphicFramePr/>
                      <a:graphic xmlns:a="http://schemas.openxmlformats.org/drawingml/2006/main">
                        <a:graphicData uri="http://schemas.microsoft.com/office/word/2010/wordprocessingShape">
                          <wps:wsp xmlns:wps="http://schemas.microsoft.com/office/word/2010/wordprocessingShape">
                            <wps:cNvSpPr/>
                            <wps:spPr>
                              <a:xfrm>
                                <a:off x="0" y="0"/>
                                <a:ext cx="357505" cy="223520"/>
                              </a:xfrm>
                              <a:prstGeom prst="leftArrow">
                                <a:avLst/>
                              </a:prstGeom>
                              <a:solidFill>
                                <a:srgbClr val="FF0100"/>
                              </a:solidFill>
                              <a:ln w="25400">
                                <a:solidFill>
                                  <a:srgbClr val="FF01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חץ שמאלה 1419535357" o:spid="_x0000_s1036" type="#_x0000_t66" alt="לא תוקן" style="width:28.15pt;height:17.6pt;margin-top:26.2pt;margin-left:-4.7pt;mso-height-percent:0;mso-height-relative:margin;mso-width-percent:0;mso-width-relative:margin;mso-wrap-distance-bottom:0;mso-wrap-distance-left:9pt;mso-wrap-distance-right:9pt;mso-wrap-distance-top:0;mso-wrap-style:square;position:absolute;visibility:visible;v-text-anchor:middle;z-index:251728896" adj="6752" fillcolor="#ff0100" strokecolor="#ff0100" strokeweight="2pt"/>
                  </w:pict>
                </mc:Fallback>
              </mc:AlternateContent>
            </w:r>
          </w:p>
        </w:tc>
        <w:tc>
          <w:tcPr>
            <w:tcW w:w="758" w:type="dxa"/>
            <w:shd w:val="clear" w:color="auto" w:fill="DFECEF"/>
          </w:tcPr>
          <w:p w:rsidR="00F600A6" w:rsidP="00F600A6" w14:paraId="1030392F" w14:textId="7F9B65EA">
            <w:pPr>
              <w:pStyle w:val="73R"/>
              <w:rPr>
                <w:rtl/>
              </w:rPr>
            </w:pPr>
          </w:p>
        </w:tc>
        <w:tc>
          <w:tcPr>
            <w:tcW w:w="733" w:type="dxa"/>
            <w:shd w:val="clear" w:color="auto" w:fill="DFECEF"/>
          </w:tcPr>
          <w:p w:rsidR="00F600A6" w:rsidP="00F600A6" w14:paraId="250E7773" w14:textId="77777777">
            <w:pPr>
              <w:pStyle w:val="73R"/>
              <w:rPr>
                <w:rtl/>
              </w:rPr>
            </w:pPr>
          </w:p>
        </w:tc>
        <w:tc>
          <w:tcPr>
            <w:tcW w:w="685" w:type="dxa"/>
            <w:shd w:val="clear" w:color="auto" w:fill="DFECEF"/>
          </w:tcPr>
          <w:p w:rsidR="00F600A6" w:rsidP="00F600A6" w14:paraId="3709332C" w14:textId="0293F644">
            <w:pPr>
              <w:pStyle w:val="73R"/>
              <w:rPr>
                <w:rtl/>
              </w:rPr>
            </w:pPr>
          </w:p>
        </w:tc>
      </w:tr>
      <w:tr w14:paraId="0E36FD75" w14:textId="77777777" w:rsidTr="00F600A6">
        <w:tblPrEx>
          <w:tblW w:w="7216" w:type="dxa"/>
          <w:tblInd w:w="397" w:type="dxa"/>
          <w:shd w:val="clear" w:color="auto" w:fill="DFECEF"/>
          <w:tblLook w:val="04A0"/>
        </w:tblPrEx>
        <w:tc>
          <w:tcPr>
            <w:tcW w:w="1474" w:type="dxa"/>
            <w:shd w:val="clear" w:color="auto" w:fill="F0F8F9"/>
          </w:tcPr>
          <w:p w:rsidR="00F600A6" w:rsidP="00F600A6" w14:paraId="5E72EFE5" w14:textId="2602874B">
            <w:pPr>
              <w:pStyle w:val="73R"/>
              <w:rPr>
                <w:rtl/>
              </w:rPr>
            </w:pPr>
            <w:r w:rsidRPr="003F60D2">
              <w:rPr>
                <w:rtl/>
              </w:rPr>
              <w:t xml:space="preserve">תמחור פחמן </w:t>
            </w:r>
            <w:r w:rsidRPr="00521693" w:rsidR="00521693">
              <w:rPr>
                <w:rtl/>
              </w:rPr>
              <w:t>והיבטי מיסוי</w:t>
            </w:r>
            <w:r w:rsidR="00521693">
              <w:rPr>
                <w:rFonts w:hint="cs"/>
                <w:rtl/>
              </w:rPr>
              <w:t xml:space="preserve"> </w:t>
            </w:r>
            <w:r w:rsidRPr="003F60D2">
              <w:rPr>
                <w:rtl/>
              </w:rPr>
              <w:t>נוספים</w:t>
            </w:r>
          </w:p>
        </w:tc>
        <w:tc>
          <w:tcPr>
            <w:tcW w:w="1354" w:type="dxa"/>
            <w:shd w:val="clear" w:color="auto" w:fill="F0F8F9"/>
          </w:tcPr>
          <w:p w:rsidR="00F600A6" w:rsidP="00F600A6" w14:paraId="7A6A1EFF" w14:textId="1A94DE73">
            <w:pPr>
              <w:pStyle w:val="73R"/>
              <w:rPr>
                <w:rtl/>
              </w:rPr>
            </w:pPr>
            <w:r w:rsidRPr="003F60D2">
              <w:rPr>
                <w:rtl/>
              </w:rPr>
              <w:t>משרד</w:t>
            </w:r>
            <w:r w:rsidRPr="003F60D2">
              <w:rPr>
                <w:rFonts w:hint="cs"/>
                <w:rtl/>
              </w:rPr>
              <w:t xml:space="preserve">י </w:t>
            </w:r>
            <w:r w:rsidRPr="003F60D2">
              <w:rPr>
                <w:rtl/>
              </w:rPr>
              <w:t xml:space="preserve">האוצר, </w:t>
            </w:r>
            <w:r w:rsidRPr="003F60D2">
              <w:rPr>
                <w:rtl/>
              </w:rPr>
              <w:t>הג"ס</w:t>
            </w:r>
            <w:r w:rsidRPr="003F60D2">
              <w:rPr>
                <w:rtl/>
              </w:rPr>
              <w:t xml:space="preserve">, </w:t>
            </w:r>
            <w:r w:rsidRPr="003F60D2">
              <w:rPr>
                <w:rtl/>
              </w:rPr>
              <w:t>האנרגי</w:t>
            </w:r>
            <w:r w:rsidRPr="003F60D2">
              <w:rPr>
                <w:rFonts w:hint="cs"/>
                <w:rtl/>
              </w:rPr>
              <w:t>י</w:t>
            </w:r>
            <w:r w:rsidRPr="003F60D2">
              <w:rPr>
                <w:rtl/>
              </w:rPr>
              <w:t>ה</w:t>
            </w:r>
            <w:r w:rsidRPr="003F60D2">
              <w:rPr>
                <w:rtl/>
              </w:rPr>
              <w:t>, התחבורה</w:t>
            </w:r>
            <w:r w:rsidRPr="003F60D2">
              <w:rPr>
                <w:rFonts w:hint="cs"/>
                <w:rtl/>
              </w:rPr>
              <w:t>,</w:t>
            </w:r>
            <w:r w:rsidRPr="003F60D2">
              <w:rPr>
                <w:rtl/>
              </w:rPr>
              <w:t xml:space="preserve"> החוץ, רשות המיסים</w:t>
            </w:r>
            <w:r w:rsidRPr="003F60D2">
              <w:rPr>
                <w:rFonts w:hint="cs"/>
                <w:rtl/>
              </w:rPr>
              <w:t xml:space="preserve"> ו</w:t>
            </w:r>
            <w:r w:rsidRPr="003F60D2">
              <w:rPr>
                <w:rtl/>
              </w:rPr>
              <w:t>רשות החשמל</w:t>
            </w:r>
          </w:p>
        </w:tc>
        <w:tc>
          <w:tcPr>
            <w:tcW w:w="1628" w:type="dxa"/>
            <w:shd w:val="clear" w:color="auto" w:fill="F0F8F9"/>
          </w:tcPr>
          <w:p w:rsidR="00F600A6" w:rsidP="00F600A6" w14:paraId="543411AC" w14:textId="50A0001E">
            <w:pPr>
              <w:pStyle w:val="73R"/>
              <w:rPr>
                <w:rtl/>
              </w:rPr>
            </w:pPr>
            <w:r w:rsidRPr="003F60D2">
              <w:rPr>
                <w:rFonts w:hint="cs"/>
                <w:rtl/>
              </w:rPr>
              <w:t xml:space="preserve">לא קיים מיסוי על פחמן בישראל; </w:t>
            </w:r>
          </w:p>
        </w:tc>
        <w:tc>
          <w:tcPr>
            <w:tcW w:w="584" w:type="dxa"/>
            <w:shd w:val="clear" w:color="auto" w:fill="F0F8F9"/>
          </w:tcPr>
          <w:p w:rsidR="00F600A6" w:rsidP="00F600A6" w14:paraId="6C96E932" w14:textId="52E09C12">
            <w:pPr>
              <w:pStyle w:val="73R"/>
              <w:rPr>
                <w:rtl/>
              </w:rPr>
            </w:pPr>
            <w:r w:rsidRPr="00973C85">
              <w:rPr>
                <w:noProof/>
                <w:rtl/>
              </w:rPr>
              <mc:AlternateContent>
                <mc:Choice Requires="wps">
                  <w:drawing>
                    <wp:anchor distT="0" distB="0" distL="114300" distR="114300" simplePos="0" relativeHeight="251729920" behindDoc="0" locked="0" layoutInCell="1" allowOverlap="1">
                      <wp:simplePos x="0" y="0"/>
                      <wp:positionH relativeFrom="column">
                        <wp:posOffset>-59690</wp:posOffset>
                      </wp:positionH>
                      <wp:positionV relativeFrom="paragraph">
                        <wp:posOffset>333578</wp:posOffset>
                      </wp:positionV>
                      <wp:extent cx="357505" cy="223520"/>
                      <wp:effectExtent l="12700" t="12700" r="10795" b="17780"/>
                      <wp:wrapNone/>
                      <wp:docPr id="735390333" name="חץ שמאלה 735390333" descr="לא תוקן"/>
                      <wp:cNvGraphicFramePr/>
                      <a:graphic xmlns:a="http://schemas.openxmlformats.org/drawingml/2006/main">
                        <a:graphicData uri="http://schemas.microsoft.com/office/word/2010/wordprocessingShape">
                          <wps:wsp xmlns:wps="http://schemas.microsoft.com/office/word/2010/wordprocessingShape">
                            <wps:cNvSpPr/>
                            <wps:spPr>
                              <a:xfrm>
                                <a:off x="0" y="0"/>
                                <a:ext cx="357505" cy="223520"/>
                              </a:xfrm>
                              <a:prstGeom prst="leftArrow">
                                <a:avLst/>
                              </a:prstGeom>
                              <a:solidFill>
                                <a:srgbClr val="FF0100"/>
                              </a:solidFill>
                              <a:ln w="25400">
                                <a:solidFill>
                                  <a:srgbClr val="FF01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חץ שמאלה 735390333" o:spid="_x0000_s1037" type="#_x0000_t66" alt="לא תוקן" style="width:28.15pt;height:17.6pt;margin-top:26.25pt;margin-left:-4.7pt;mso-height-percent:0;mso-height-relative:margin;mso-width-percent:0;mso-width-relative:margin;mso-wrap-distance-bottom:0;mso-wrap-distance-left:9pt;mso-wrap-distance-right:9pt;mso-wrap-distance-top:0;mso-wrap-style:square;position:absolute;visibility:visible;v-text-anchor:middle;z-index:251730944" adj="6752" fillcolor="#ff0100" strokecolor="#ff0100" strokeweight="2pt"/>
                  </w:pict>
                </mc:Fallback>
              </mc:AlternateContent>
            </w:r>
          </w:p>
        </w:tc>
        <w:tc>
          <w:tcPr>
            <w:tcW w:w="758" w:type="dxa"/>
            <w:shd w:val="clear" w:color="auto" w:fill="F0F8F9"/>
          </w:tcPr>
          <w:p w:rsidR="00F600A6" w:rsidP="00F600A6" w14:paraId="747D0AB6" w14:textId="52D154DB">
            <w:pPr>
              <w:pStyle w:val="73R"/>
              <w:rPr>
                <w:rtl/>
              </w:rPr>
            </w:pPr>
          </w:p>
        </w:tc>
        <w:tc>
          <w:tcPr>
            <w:tcW w:w="733" w:type="dxa"/>
            <w:shd w:val="clear" w:color="auto" w:fill="F0F8F9"/>
          </w:tcPr>
          <w:p w:rsidR="00F600A6" w:rsidP="00F600A6" w14:paraId="7C10E984" w14:textId="77777777">
            <w:pPr>
              <w:pStyle w:val="73R"/>
              <w:rPr>
                <w:rtl/>
              </w:rPr>
            </w:pPr>
          </w:p>
        </w:tc>
        <w:tc>
          <w:tcPr>
            <w:tcW w:w="685" w:type="dxa"/>
            <w:shd w:val="clear" w:color="auto" w:fill="F0F8F9"/>
          </w:tcPr>
          <w:p w:rsidR="00F600A6" w:rsidP="00F600A6" w14:paraId="2FDB6178" w14:textId="77777777">
            <w:pPr>
              <w:pStyle w:val="73R"/>
              <w:rPr>
                <w:rtl/>
              </w:rPr>
            </w:pPr>
          </w:p>
        </w:tc>
      </w:tr>
      <w:tr w14:paraId="5C8A1751" w14:textId="77777777" w:rsidTr="00F600A6">
        <w:tblPrEx>
          <w:tblW w:w="7216" w:type="dxa"/>
          <w:tblInd w:w="397" w:type="dxa"/>
          <w:shd w:val="clear" w:color="auto" w:fill="DFECEF"/>
          <w:tblLook w:val="04A0"/>
        </w:tblPrEx>
        <w:tc>
          <w:tcPr>
            <w:tcW w:w="1474" w:type="dxa"/>
            <w:shd w:val="clear" w:color="auto" w:fill="DFECEF"/>
          </w:tcPr>
          <w:p w:rsidR="00F600A6" w:rsidP="00F600A6" w14:paraId="6EA62234" w14:textId="31839EF8">
            <w:pPr>
              <w:pStyle w:val="73R"/>
              <w:rPr>
                <w:rtl/>
              </w:rPr>
            </w:pPr>
            <w:r w:rsidRPr="003F60D2">
              <w:rPr>
                <w:rtl/>
              </w:rPr>
              <w:t xml:space="preserve">תמחור פחמן </w:t>
            </w:r>
            <w:r w:rsidRPr="00521693" w:rsidR="00521693">
              <w:rPr>
                <w:rtl/>
              </w:rPr>
              <w:t>והיבטי מיסוי</w:t>
            </w:r>
            <w:r w:rsidR="00521693">
              <w:rPr>
                <w:rFonts w:hint="cs"/>
                <w:rtl/>
              </w:rPr>
              <w:t xml:space="preserve"> </w:t>
            </w:r>
            <w:r w:rsidRPr="003F60D2">
              <w:rPr>
                <w:rtl/>
              </w:rPr>
              <w:t>נוספים</w:t>
            </w:r>
          </w:p>
        </w:tc>
        <w:tc>
          <w:tcPr>
            <w:tcW w:w="1354" w:type="dxa"/>
            <w:shd w:val="clear" w:color="auto" w:fill="DFECEF"/>
          </w:tcPr>
          <w:p w:rsidR="00F600A6" w:rsidP="00F600A6" w14:paraId="767B27A3" w14:textId="4FCC897C">
            <w:pPr>
              <w:pStyle w:val="73R"/>
              <w:rPr>
                <w:rtl/>
              </w:rPr>
            </w:pPr>
            <w:r w:rsidRPr="003F60D2">
              <w:rPr>
                <w:rtl/>
              </w:rPr>
              <w:t>משרד</w:t>
            </w:r>
            <w:r w:rsidRPr="003F60D2">
              <w:rPr>
                <w:rFonts w:hint="cs"/>
                <w:rtl/>
              </w:rPr>
              <w:t xml:space="preserve">י </w:t>
            </w:r>
            <w:r w:rsidRPr="003F60D2">
              <w:rPr>
                <w:rtl/>
              </w:rPr>
              <w:t xml:space="preserve">האוצר, </w:t>
            </w:r>
            <w:r w:rsidRPr="003F60D2">
              <w:rPr>
                <w:rtl/>
              </w:rPr>
              <w:t>הג"ס</w:t>
            </w:r>
            <w:r w:rsidRPr="003F60D2">
              <w:rPr>
                <w:rtl/>
              </w:rPr>
              <w:t xml:space="preserve">, </w:t>
            </w:r>
            <w:r w:rsidRPr="003F60D2">
              <w:rPr>
                <w:rtl/>
              </w:rPr>
              <w:t>האנרגי</w:t>
            </w:r>
            <w:r w:rsidRPr="003F60D2">
              <w:rPr>
                <w:rFonts w:hint="cs"/>
                <w:rtl/>
              </w:rPr>
              <w:t>י</w:t>
            </w:r>
            <w:r w:rsidRPr="003F60D2">
              <w:rPr>
                <w:rtl/>
              </w:rPr>
              <w:t>ה</w:t>
            </w:r>
            <w:r w:rsidRPr="003F60D2">
              <w:rPr>
                <w:rtl/>
              </w:rPr>
              <w:t>, התחבורה</w:t>
            </w:r>
            <w:r w:rsidRPr="003F60D2">
              <w:rPr>
                <w:rFonts w:hint="cs"/>
                <w:rtl/>
              </w:rPr>
              <w:t xml:space="preserve">, </w:t>
            </w:r>
            <w:r w:rsidRPr="003F60D2">
              <w:rPr>
                <w:rtl/>
              </w:rPr>
              <w:t>החוץ, רשות המיסים</w:t>
            </w:r>
            <w:r w:rsidRPr="003F60D2">
              <w:rPr>
                <w:rFonts w:hint="cs"/>
                <w:rtl/>
              </w:rPr>
              <w:t xml:space="preserve"> ו</w:t>
            </w:r>
            <w:r w:rsidRPr="003F60D2">
              <w:rPr>
                <w:rtl/>
              </w:rPr>
              <w:t>רשות החשמל</w:t>
            </w:r>
          </w:p>
        </w:tc>
        <w:tc>
          <w:tcPr>
            <w:tcW w:w="1628" w:type="dxa"/>
            <w:shd w:val="clear" w:color="auto" w:fill="DFECEF"/>
          </w:tcPr>
          <w:p w:rsidR="00F600A6" w:rsidP="00F600A6" w14:paraId="6DAC9711" w14:textId="7C9E8F22">
            <w:pPr>
              <w:pStyle w:val="73R"/>
              <w:rPr>
                <w:rtl/>
              </w:rPr>
            </w:pPr>
            <w:r w:rsidRPr="003F60D2">
              <w:rPr>
                <w:rFonts w:hint="cs"/>
                <w:rtl/>
              </w:rPr>
              <w:t xml:space="preserve">גובה המס שהוצע בהחלטת הממשלה 286 </w:t>
            </w:r>
            <w:r w:rsidRPr="003F60D2">
              <w:rPr>
                <w:rtl/>
              </w:rPr>
              <w:t>נמוך מההמלצה העדכנית של ארגון ה-</w:t>
            </w:r>
            <w:r w:rsidRPr="003F60D2">
              <w:t>OECD</w:t>
            </w:r>
          </w:p>
        </w:tc>
        <w:tc>
          <w:tcPr>
            <w:tcW w:w="584" w:type="dxa"/>
            <w:shd w:val="clear" w:color="auto" w:fill="DFECEF"/>
          </w:tcPr>
          <w:p w:rsidR="00F600A6" w:rsidP="00F600A6" w14:paraId="112C54F3" w14:textId="2E5D453F">
            <w:pPr>
              <w:pStyle w:val="73R"/>
              <w:rPr>
                <w:rtl/>
              </w:rPr>
            </w:pPr>
            <w:r w:rsidRPr="00973C85">
              <w:rPr>
                <w:noProof/>
                <w:rtl/>
              </w:rPr>
              <mc:AlternateContent>
                <mc:Choice Requires="wps">
                  <w:drawing>
                    <wp:anchor distT="0" distB="0" distL="114300" distR="114300" simplePos="0" relativeHeight="251731968" behindDoc="0" locked="0" layoutInCell="1" allowOverlap="1">
                      <wp:simplePos x="0" y="0"/>
                      <wp:positionH relativeFrom="column">
                        <wp:posOffset>-59690</wp:posOffset>
                      </wp:positionH>
                      <wp:positionV relativeFrom="paragraph">
                        <wp:posOffset>334213</wp:posOffset>
                      </wp:positionV>
                      <wp:extent cx="357505" cy="223520"/>
                      <wp:effectExtent l="12700" t="12700" r="10795" b="17780"/>
                      <wp:wrapNone/>
                      <wp:docPr id="794853753" name="חץ שמאלה 794853753" descr="לא תוקן"/>
                      <wp:cNvGraphicFramePr/>
                      <a:graphic xmlns:a="http://schemas.openxmlformats.org/drawingml/2006/main">
                        <a:graphicData uri="http://schemas.microsoft.com/office/word/2010/wordprocessingShape">
                          <wps:wsp xmlns:wps="http://schemas.microsoft.com/office/word/2010/wordprocessingShape">
                            <wps:cNvSpPr/>
                            <wps:spPr>
                              <a:xfrm>
                                <a:off x="0" y="0"/>
                                <a:ext cx="357505" cy="223520"/>
                              </a:xfrm>
                              <a:prstGeom prst="leftArrow">
                                <a:avLst/>
                              </a:prstGeom>
                              <a:solidFill>
                                <a:srgbClr val="FF0100"/>
                              </a:solidFill>
                              <a:ln w="25400">
                                <a:solidFill>
                                  <a:srgbClr val="FF01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חץ שמאלה 794853753" o:spid="_x0000_s1038" type="#_x0000_t66" alt="לא תוקן" style="width:28.15pt;height:17.6pt;margin-top:26.3pt;margin-left:-4.7pt;mso-height-percent:0;mso-height-relative:margin;mso-width-percent:0;mso-width-relative:margin;mso-wrap-distance-bottom:0;mso-wrap-distance-left:9pt;mso-wrap-distance-right:9pt;mso-wrap-distance-top:0;mso-wrap-style:square;position:absolute;visibility:visible;v-text-anchor:middle;z-index:251732992" adj="6752" fillcolor="#ff0100" strokecolor="#ff0100" strokeweight="2pt"/>
                  </w:pict>
                </mc:Fallback>
              </mc:AlternateContent>
            </w:r>
          </w:p>
        </w:tc>
        <w:tc>
          <w:tcPr>
            <w:tcW w:w="758" w:type="dxa"/>
            <w:shd w:val="clear" w:color="auto" w:fill="DFECEF"/>
          </w:tcPr>
          <w:p w:rsidR="00F600A6" w:rsidP="00F600A6" w14:paraId="6CC3A5CC" w14:textId="42893D12">
            <w:pPr>
              <w:pStyle w:val="73R"/>
              <w:rPr>
                <w:rtl/>
              </w:rPr>
            </w:pPr>
          </w:p>
        </w:tc>
        <w:tc>
          <w:tcPr>
            <w:tcW w:w="733" w:type="dxa"/>
            <w:shd w:val="clear" w:color="auto" w:fill="DFECEF"/>
          </w:tcPr>
          <w:p w:rsidR="00F600A6" w:rsidP="00F600A6" w14:paraId="28BC73CE" w14:textId="72C53FE8">
            <w:pPr>
              <w:pStyle w:val="73R"/>
              <w:rPr>
                <w:rtl/>
              </w:rPr>
            </w:pPr>
          </w:p>
        </w:tc>
        <w:tc>
          <w:tcPr>
            <w:tcW w:w="685" w:type="dxa"/>
            <w:shd w:val="clear" w:color="auto" w:fill="DFECEF"/>
          </w:tcPr>
          <w:p w:rsidR="00F600A6" w:rsidP="00F600A6" w14:paraId="60B36081" w14:textId="77777777">
            <w:pPr>
              <w:pStyle w:val="73R"/>
              <w:rPr>
                <w:rtl/>
              </w:rPr>
            </w:pPr>
          </w:p>
        </w:tc>
      </w:tr>
      <w:tr w14:paraId="7E35F5BE" w14:textId="77777777" w:rsidTr="00F600A6">
        <w:tblPrEx>
          <w:tblW w:w="7216" w:type="dxa"/>
          <w:tblInd w:w="397" w:type="dxa"/>
          <w:shd w:val="clear" w:color="auto" w:fill="DFECEF"/>
          <w:tblLook w:val="04A0"/>
        </w:tblPrEx>
        <w:tc>
          <w:tcPr>
            <w:tcW w:w="1474" w:type="dxa"/>
            <w:shd w:val="clear" w:color="auto" w:fill="F0F8F9"/>
          </w:tcPr>
          <w:p w:rsidR="00F600A6" w:rsidP="00F600A6" w14:paraId="38AD7231" w14:textId="315B2F69">
            <w:pPr>
              <w:pStyle w:val="73R"/>
              <w:rPr>
                <w:rtl/>
              </w:rPr>
            </w:pPr>
            <w:r w:rsidRPr="003F60D2">
              <w:rPr>
                <w:rtl/>
              </w:rPr>
              <w:t xml:space="preserve">תמחור פחמן </w:t>
            </w:r>
            <w:r w:rsidRPr="00521693" w:rsidR="00521693">
              <w:rPr>
                <w:rtl/>
              </w:rPr>
              <w:t>והיבטי מיסוי</w:t>
            </w:r>
            <w:r w:rsidR="00521693">
              <w:rPr>
                <w:rFonts w:hint="cs"/>
                <w:rtl/>
              </w:rPr>
              <w:t xml:space="preserve"> </w:t>
            </w:r>
            <w:r w:rsidRPr="003F60D2">
              <w:rPr>
                <w:rtl/>
              </w:rPr>
              <w:t>נוספים</w:t>
            </w:r>
            <w:r w:rsidRPr="003F60D2">
              <w:rPr>
                <w:rFonts w:hint="cs"/>
                <w:rtl/>
              </w:rPr>
              <w:t xml:space="preserve"> - </w:t>
            </w:r>
            <w:r w:rsidRPr="003F60D2">
              <w:rPr>
                <w:rFonts w:hint="cs"/>
              </w:rPr>
              <w:t>CBAM</w:t>
            </w:r>
          </w:p>
        </w:tc>
        <w:tc>
          <w:tcPr>
            <w:tcW w:w="1354" w:type="dxa"/>
            <w:shd w:val="clear" w:color="auto" w:fill="F0F8F9"/>
          </w:tcPr>
          <w:p w:rsidR="00F600A6" w:rsidP="00F600A6" w14:paraId="71028DA0" w14:textId="1AE80EF9">
            <w:pPr>
              <w:pStyle w:val="73R"/>
              <w:rPr>
                <w:rtl/>
              </w:rPr>
            </w:pPr>
            <w:r w:rsidRPr="003F60D2">
              <w:rPr>
                <w:rtl/>
              </w:rPr>
              <w:t>משרד</w:t>
            </w:r>
            <w:r w:rsidRPr="003F60D2">
              <w:rPr>
                <w:rFonts w:hint="cs"/>
                <w:rtl/>
              </w:rPr>
              <w:t xml:space="preserve">י </w:t>
            </w:r>
            <w:r w:rsidRPr="003F60D2">
              <w:rPr>
                <w:rtl/>
              </w:rPr>
              <w:t xml:space="preserve">האוצר, </w:t>
            </w:r>
            <w:r w:rsidRPr="003F60D2">
              <w:rPr>
                <w:rtl/>
              </w:rPr>
              <w:t>הג"ס</w:t>
            </w:r>
            <w:r w:rsidRPr="003F60D2">
              <w:rPr>
                <w:rtl/>
              </w:rPr>
              <w:t xml:space="preserve">, </w:t>
            </w:r>
            <w:r w:rsidRPr="003F60D2">
              <w:rPr>
                <w:rtl/>
              </w:rPr>
              <w:t>האנרגי</w:t>
            </w:r>
            <w:r w:rsidRPr="003F60D2">
              <w:rPr>
                <w:rFonts w:hint="cs"/>
                <w:rtl/>
              </w:rPr>
              <w:t>י</w:t>
            </w:r>
            <w:r w:rsidRPr="003F60D2">
              <w:rPr>
                <w:rtl/>
              </w:rPr>
              <w:t>ה</w:t>
            </w:r>
            <w:r w:rsidRPr="003F60D2">
              <w:rPr>
                <w:rtl/>
              </w:rPr>
              <w:t xml:space="preserve">, </w:t>
            </w:r>
            <w:r w:rsidRPr="003F60D2">
              <w:rPr>
                <w:rFonts w:hint="cs"/>
                <w:rtl/>
              </w:rPr>
              <w:t xml:space="preserve">הכלכלה, </w:t>
            </w:r>
            <w:r w:rsidRPr="003F60D2">
              <w:rPr>
                <w:rtl/>
              </w:rPr>
              <w:t>החוץ, רשות המיסים</w:t>
            </w:r>
            <w:r w:rsidRPr="003F60D2">
              <w:rPr>
                <w:rFonts w:hint="cs"/>
                <w:rtl/>
              </w:rPr>
              <w:t xml:space="preserve"> ו</w:t>
            </w:r>
            <w:r w:rsidRPr="003F60D2">
              <w:rPr>
                <w:rtl/>
              </w:rPr>
              <w:t>רשות החשמל</w:t>
            </w:r>
          </w:p>
        </w:tc>
        <w:tc>
          <w:tcPr>
            <w:tcW w:w="1628" w:type="dxa"/>
            <w:shd w:val="clear" w:color="auto" w:fill="F0F8F9"/>
          </w:tcPr>
          <w:p w:rsidR="00F600A6" w:rsidP="00F600A6" w14:paraId="0A002C70" w14:textId="4BB5D23A">
            <w:pPr>
              <w:pStyle w:val="73R"/>
              <w:rPr>
                <w:rtl/>
              </w:rPr>
            </w:pPr>
            <w:r w:rsidRPr="003F60D2">
              <w:rPr>
                <w:rFonts w:hint="cs"/>
                <w:rtl/>
              </w:rPr>
              <w:t>צפויה  השפעה</w:t>
            </w:r>
            <w:r w:rsidRPr="003F60D2">
              <w:rPr>
                <w:rtl/>
              </w:rPr>
              <w:t xml:space="preserve"> על סחר בי</w:t>
            </w:r>
            <w:r w:rsidRPr="003F60D2">
              <w:rPr>
                <w:rFonts w:hint="cs"/>
                <w:rtl/>
              </w:rPr>
              <w:t>ן-</w:t>
            </w:r>
            <w:r w:rsidRPr="003F60D2">
              <w:rPr>
                <w:rtl/>
              </w:rPr>
              <w:t>לאומי ו</w:t>
            </w:r>
            <w:r w:rsidRPr="003F60D2">
              <w:rPr>
                <w:rFonts w:hint="cs"/>
                <w:rtl/>
              </w:rPr>
              <w:t xml:space="preserve">על </w:t>
            </w:r>
            <w:r w:rsidRPr="003F60D2">
              <w:rPr>
                <w:rtl/>
              </w:rPr>
              <w:t xml:space="preserve">היצוא </w:t>
            </w:r>
            <w:r w:rsidRPr="003F60D2">
              <w:rPr>
                <w:rFonts w:hint="cs"/>
                <w:rtl/>
              </w:rPr>
              <w:t>ה</w:t>
            </w:r>
            <w:r w:rsidRPr="003F60D2">
              <w:rPr>
                <w:rtl/>
              </w:rPr>
              <w:t>ישראלי</w:t>
            </w:r>
            <w:r w:rsidRPr="003F60D2">
              <w:rPr>
                <w:rFonts w:hint="cs"/>
                <w:rtl/>
              </w:rPr>
              <w:t xml:space="preserve"> אם לא יחול מס פחמן</w:t>
            </w:r>
          </w:p>
        </w:tc>
        <w:tc>
          <w:tcPr>
            <w:tcW w:w="584" w:type="dxa"/>
            <w:shd w:val="clear" w:color="auto" w:fill="F0F8F9"/>
          </w:tcPr>
          <w:p w:rsidR="00F600A6" w:rsidP="00F600A6" w14:paraId="43B57B29" w14:textId="22A3B7C5">
            <w:pPr>
              <w:pStyle w:val="73R"/>
              <w:rPr>
                <w:rtl/>
              </w:rPr>
            </w:pPr>
          </w:p>
        </w:tc>
        <w:tc>
          <w:tcPr>
            <w:tcW w:w="758" w:type="dxa"/>
            <w:shd w:val="clear" w:color="auto" w:fill="F0F8F9"/>
          </w:tcPr>
          <w:p w:rsidR="00F600A6" w:rsidP="00F600A6" w14:paraId="2442AFC2" w14:textId="02AC78A8">
            <w:pPr>
              <w:pStyle w:val="73R"/>
              <w:rPr>
                <w:rtl/>
              </w:rPr>
            </w:pPr>
            <w:r w:rsidRPr="00973C85">
              <w:rPr>
                <w:noProof/>
                <w:rtl/>
              </w:rPr>
              <mc:AlternateContent>
                <mc:Choice Requires="wps">
                  <w:drawing>
                    <wp:anchor distT="0" distB="0" distL="114300" distR="114300" simplePos="0" relativeHeight="251721728" behindDoc="0" locked="0" layoutInCell="1" allowOverlap="1">
                      <wp:simplePos x="0" y="0"/>
                      <wp:positionH relativeFrom="column">
                        <wp:posOffset>419735</wp:posOffset>
                      </wp:positionH>
                      <wp:positionV relativeFrom="paragraph">
                        <wp:posOffset>236855</wp:posOffset>
                      </wp:positionV>
                      <wp:extent cx="357505" cy="223520"/>
                      <wp:effectExtent l="12700" t="12700" r="10795" b="17780"/>
                      <wp:wrapNone/>
                      <wp:docPr id="1962280735" name="חץ שמאלה 1962280735" descr="לא תוקן"/>
                      <wp:cNvGraphicFramePr/>
                      <a:graphic xmlns:a="http://schemas.openxmlformats.org/drawingml/2006/main">
                        <a:graphicData uri="http://schemas.microsoft.com/office/word/2010/wordprocessingShape">
                          <wps:wsp xmlns:wps="http://schemas.microsoft.com/office/word/2010/wordprocessingShape">
                            <wps:cNvSpPr/>
                            <wps:spPr>
                              <a:xfrm>
                                <a:off x="0" y="0"/>
                                <a:ext cx="357505" cy="223520"/>
                              </a:xfrm>
                              <a:prstGeom prst="leftArrow">
                                <a:avLst/>
                              </a:prstGeom>
                              <a:solidFill>
                                <a:srgbClr val="FF0100"/>
                              </a:solidFill>
                              <a:ln w="25400">
                                <a:solidFill>
                                  <a:srgbClr val="FF01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חץ שמאלה 1962280735" o:spid="_x0000_s1039" type="#_x0000_t66" alt="לא תוקן" style="width:28.15pt;height:17.6pt;margin-top:18.65pt;margin-left:33.05pt;mso-height-percent:0;mso-height-relative:margin;mso-width-percent:0;mso-width-relative:margin;mso-wrap-distance-bottom:0;mso-wrap-distance-left:9pt;mso-wrap-distance-right:9pt;mso-wrap-distance-top:0;mso-wrap-style:square;position:absolute;visibility:visible;v-text-anchor:middle;z-index:251722752" adj="6752" fillcolor="#ff0100" strokecolor="#ff0100" strokeweight="2pt"/>
                  </w:pict>
                </mc:Fallback>
              </mc:AlternateContent>
            </w:r>
          </w:p>
        </w:tc>
        <w:tc>
          <w:tcPr>
            <w:tcW w:w="733" w:type="dxa"/>
            <w:shd w:val="clear" w:color="auto" w:fill="F0F8F9"/>
          </w:tcPr>
          <w:p w:rsidR="00F600A6" w:rsidP="00F600A6" w14:paraId="2D5D737A" w14:textId="77777777">
            <w:pPr>
              <w:pStyle w:val="73R"/>
              <w:rPr>
                <w:rtl/>
              </w:rPr>
            </w:pPr>
          </w:p>
        </w:tc>
        <w:tc>
          <w:tcPr>
            <w:tcW w:w="685" w:type="dxa"/>
            <w:shd w:val="clear" w:color="auto" w:fill="F0F8F9"/>
          </w:tcPr>
          <w:p w:rsidR="00F600A6" w:rsidP="00F600A6" w14:paraId="7523EC87" w14:textId="77777777">
            <w:pPr>
              <w:pStyle w:val="73R"/>
              <w:rPr>
                <w:rtl/>
              </w:rPr>
            </w:pPr>
          </w:p>
        </w:tc>
      </w:tr>
      <w:tr w14:paraId="13C82713" w14:textId="77777777" w:rsidTr="00F600A6">
        <w:tblPrEx>
          <w:tblW w:w="7216" w:type="dxa"/>
          <w:tblInd w:w="397" w:type="dxa"/>
          <w:shd w:val="clear" w:color="auto" w:fill="DFECEF"/>
          <w:tblLook w:val="04A0"/>
        </w:tblPrEx>
        <w:tc>
          <w:tcPr>
            <w:tcW w:w="1474" w:type="dxa"/>
            <w:shd w:val="clear" w:color="auto" w:fill="DFECEF"/>
          </w:tcPr>
          <w:p w:rsidR="00F600A6" w:rsidP="00F600A6" w14:paraId="77218038" w14:textId="638201D6">
            <w:pPr>
              <w:pStyle w:val="73R"/>
              <w:rPr>
                <w:rtl/>
              </w:rPr>
            </w:pPr>
            <w:r w:rsidRPr="003F60D2">
              <w:rPr>
                <w:rtl/>
              </w:rPr>
              <w:t>חדשנות ומו"פ אקלים-טק</w:t>
            </w:r>
          </w:p>
        </w:tc>
        <w:tc>
          <w:tcPr>
            <w:tcW w:w="1354" w:type="dxa"/>
            <w:shd w:val="clear" w:color="auto" w:fill="DFECEF"/>
          </w:tcPr>
          <w:p w:rsidR="00F600A6" w:rsidP="00F600A6" w14:paraId="5B40CA78" w14:textId="04ACB9B0">
            <w:pPr>
              <w:pStyle w:val="73R"/>
              <w:rPr>
                <w:rtl/>
              </w:rPr>
            </w:pPr>
            <w:r w:rsidRPr="003F60D2">
              <w:rPr>
                <w:rtl/>
              </w:rPr>
              <w:t>רשות החדשנות</w:t>
            </w:r>
          </w:p>
        </w:tc>
        <w:tc>
          <w:tcPr>
            <w:tcW w:w="1628" w:type="dxa"/>
            <w:shd w:val="clear" w:color="auto" w:fill="DFECEF"/>
          </w:tcPr>
          <w:p w:rsidR="00F600A6" w:rsidP="00F600A6" w14:paraId="5FA44D9C" w14:textId="64998E44">
            <w:pPr>
              <w:pStyle w:val="73R"/>
              <w:rPr>
                <w:rtl/>
              </w:rPr>
            </w:pPr>
            <w:r w:rsidRPr="003F60D2">
              <w:rPr>
                <w:rtl/>
              </w:rPr>
              <w:t>ישראל מדורגת בתחתית סולם הדירוג</w:t>
            </w:r>
            <w:r w:rsidRPr="003F60D2">
              <w:rPr>
                <w:rFonts w:hint="cs"/>
                <w:rtl/>
              </w:rPr>
              <w:t xml:space="preserve"> </w:t>
            </w:r>
            <w:r w:rsidRPr="003F60D2">
              <w:rPr>
                <w:rtl/>
              </w:rPr>
              <w:t>לפיתוח טכנולוגיות הקשורות לשינו</w:t>
            </w:r>
            <w:r w:rsidRPr="003F60D2">
              <w:rPr>
                <w:rFonts w:hint="cs"/>
                <w:rtl/>
              </w:rPr>
              <w:t>י</w:t>
            </w:r>
            <w:r w:rsidRPr="003F60D2">
              <w:rPr>
                <w:rtl/>
              </w:rPr>
              <w:t xml:space="preserve">י </w:t>
            </w:r>
            <w:r w:rsidRPr="003F60D2">
              <w:rPr>
                <w:rFonts w:hint="cs"/>
                <w:rtl/>
              </w:rPr>
              <w:t>ה</w:t>
            </w:r>
            <w:r w:rsidRPr="003F60D2">
              <w:rPr>
                <w:rtl/>
              </w:rPr>
              <w:t>אקלים מתוך כלל הטכנולוגיות במדינה נתונה</w:t>
            </w:r>
          </w:p>
        </w:tc>
        <w:tc>
          <w:tcPr>
            <w:tcW w:w="584" w:type="dxa"/>
            <w:shd w:val="clear" w:color="auto" w:fill="DFECEF"/>
          </w:tcPr>
          <w:p w:rsidR="00F600A6" w:rsidP="00F600A6" w14:paraId="3D4248B7" w14:textId="3613444F">
            <w:pPr>
              <w:pStyle w:val="73R"/>
              <w:rPr>
                <w:rtl/>
              </w:rPr>
            </w:pPr>
          </w:p>
        </w:tc>
        <w:tc>
          <w:tcPr>
            <w:tcW w:w="758" w:type="dxa"/>
            <w:shd w:val="clear" w:color="auto" w:fill="DFECEF"/>
          </w:tcPr>
          <w:p w:rsidR="00F600A6" w:rsidP="00F600A6" w14:paraId="32EC75AA" w14:textId="602DE8E2">
            <w:pPr>
              <w:pStyle w:val="73R"/>
              <w:rPr>
                <w:rtl/>
              </w:rPr>
            </w:pPr>
          </w:p>
        </w:tc>
        <w:tc>
          <w:tcPr>
            <w:tcW w:w="733" w:type="dxa"/>
            <w:shd w:val="clear" w:color="auto" w:fill="DFECEF"/>
          </w:tcPr>
          <w:p w:rsidR="00F600A6" w:rsidP="00F600A6" w14:paraId="346AC4CA" w14:textId="5C4BFEBE">
            <w:pPr>
              <w:pStyle w:val="73R"/>
              <w:rPr>
                <w:rtl/>
              </w:rPr>
            </w:pPr>
            <w:r w:rsidRPr="00973C85">
              <w:rPr>
                <w:noProof/>
                <w:rtl/>
              </w:rPr>
              <mc:AlternateContent>
                <mc:Choice Requires="wps">
                  <w:drawing>
                    <wp:anchor distT="0" distB="0" distL="114300" distR="114300" simplePos="0" relativeHeight="251742208" behindDoc="0" locked="0" layoutInCell="1" allowOverlap="1">
                      <wp:simplePos x="0" y="0"/>
                      <wp:positionH relativeFrom="column">
                        <wp:posOffset>-34493</wp:posOffset>
                      </wp:positionH>
                      <wp:positionV relativeFrom="paragraph">
                        <wp:posOffset>425450</wp:posOffset>
                      </wp:positionV>
                      <wp:extent cx="1259205" cy="223520"/>
                      <wp:effectExtent l="12700" t="12700" r="10795" b="17780"/>
                      <wp:wrapNone/>
                      <wp:docPr id="817757070" name="חץ שמאלה 817757070" descr="תוקן במידה רבה"/>
                      <wp:cNvGraphicFramePr/>
                      <a:graphic xmlns:a="http://schemas.openxmlformats.org/drawingml/2006/main">
                        <a:graphicData uri="http://schemas.microsoft.com/office/word/2010/wordprocessingShape">
                          <wps:wsp xmlns:wps="http://schemas.microsoft.com/office/word/2010/wordprocessingShape">
                            <wps:cNvSpPr/>
                            <wps:spPr>
                              <a:xfrm>
                                <a:off x="0" y="0"/>
                                <a:ext cx="1259205" cy="223520"/>
                              </a:xfrm>
                              <a:prstGeom prst="leftArrow">
                                <a:avLst/>
                              </a:prstGeom>
                              <a:solidFill>
                                <a:srgbClr val="FDF000"/>
                              </a:solidFill>
                              <a:ln w="25400">
                                <a:solidFill>
                                  <a:srgbClr val="FDF0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חץ שמאלה 817757070" o:spid="_x0000_s1040" type="#_x0000_t66" alt="תוקן במידה רבה" style="width:99.15pt;height:17.6pt;margin-top:33.5pt;margin-left:-2.7pt;mso-height-percent:0;mso-height-relative:margin;mso-width-percent:0;mso-width-relative:margin;mso-wrap-distance-bottom:0;mso-wrap-distance-left:9pt;mso-wrap-distance-right:9pt;mso-wrap-distance-top:0;mso-wrap-style:square;position:absolute;visibility:visible;v-text-anchor:middle;z-index:251743232" adj="1917" fillcolor="#fdf000" strokecolor="#fdf000" strokeweight="2pt"/>
                  </w:pict>
                </mc:Fallback>
              </mc:AlternateContent>
            </w:r>
          </w:p>
        </w:tc>
        <w:tc>
          <w:tcPr>
            <w:tcW w:w="685" w:type="dxa"/>
            <w:shd w:val="clear" w:color="auto" w:fill="DFECEF"/>
          </w:tcPr>
          <w:p w:rsidR="00F600A6" w:rsidP="00F600A6" w14:paraId="7F0C3E8A" w14:textId="77777777">
            <w:pPr>
              <w:pStyle w:val="73R"/>
              <w:rPr>
                <w:rtl/>
              </w:rPr>
            </w:pPr>
          </w:p>
        </w:tc>
      </w:tr>
      <w:tr w14:paraId="5CB1B12E" w14:textId="77777777" w:rsidTr="00F600A6">
        <w:tblPrEx>
          <w:tblW w:w="7216" w:type="dxa"/>
          <w:tblInd w:w="397" w:type="dxa"/>
          <w:shd w:val="clear" w:color="auto" w:fill="DFECEF"/>
          <w:tblLook w:val="04A0"/>
        </w:tblPrEx>
        <w:tc>
          <w:tcPr>
            <w:tcW w:w="1474" w:type="dxa"/>
            <w:shd w:val="clear" w:color="auto" w:fill="F0F8F9"/>
          </w:tcPr>
          <w:p w:rsidR="00F600A6" w:rsidRPr="00FA2D84" w:rsidP="00F600A6" w14:paraId="008FCFF5" w14:textId="02437507">
            <w:pPr>
              <w:pStyle w:val="73R"/>
              <w:spacing w:after="240"/>
              <w:rPr>
                <w:spacing w:val="2"/>
                <w:rtl/>
              </w:rPr>
            </w:pPr>
            <w:r w:rsidRPr="003F60D2">
              <w:rPr>
                <w:rtl/>
              </w:rPr>
              <w:t xml:space="preserve">היערכות לסיכונים פיננסיים שמקורם בשינויי </w:t>
            </w:r>
            <w:r w:rsidRPr="003F60D2">
              <w:rPr>
                <w:rFonts w:hint="cs"/>
                <w:rtl/>
              </w:rPr>
              <w:t>ה</w:t>
            </w:r>
            <w:r w:rsidRPr="003F60D2">
              <w:rPr>
                <w:rtl/>
              </w:rPr>
              <w:t>אקלים</w:t>
            </w:r>
            <w:r w:rsidRPr="003F60D2">
              <w:rPr>
                <w:rFonts w:hint="cs"/>
                <w:rtl/>
              </w:rPr>
              <w:t xml:space="preserve"> (</w:t>
            </w:r>
            <w:r w:rsidRPr="003F60D2">
              <w:rPr>
                <w:rtl/>
              </w:rPr>
              <w:t>סיכוני אקלים במערכת הבנקאות</w:t>
            </w:r>
            <w:r w:rsidRPr="003F60D2">
              <w:rPr>
                <w:rFonts w:hint="cs"/>
                <w:rtl/>
              </w:rPr>
              <w:t>)</w:t>
            </w:r>
          </w:p>
        </w:tc>
        <w:tc>
          <w:tcPr>
            <w:tcW w:w="1354" w:type="dxa"/>
            <w:shd w:val="clear" w:color="auto" w:fill="F0F8F9"/>
          </w:tcPr>
          <w:p w:rsidR="00F600A6" w:rsidP="00F600A6" w14:paraId="2829AB7E" w14:textId="5848F579">
            <w:pPr>
              <w:pStyle w:val="73R"/>
              <w:spacing w:after="240"/>
              <w:rPr>
                <w:rtl/>
              </w:rPr>
            </w:pPr>
            <w:r w:rsidRPr="003F60D2">
              <w:rPr>
                <w:rtl/>
              </w:rPr>
              <w:t>בנק ישראל</w:t>
            </w:r>
          </w:p>
        </w:tc>
        <w:tc>
          <w:tcPr>
            <w:tcW w:w="1628" w:type="dxa"/>
            <w:shd w:val="clear" w:color="auto" w:fill="F0F8F9"/>
          </w:tcPr>
          <w:p w:rsidR="00F600A6" w:rsidP="00F600A6" w14:paraId="61A4D12C" w14:textId="22CC7E44">
            <w:pPr>
              <w:pStyle w:val="73R"/>
              <w:spacing w:after="240"/>
              <w:rPr>
                <w:rtl/>
              </w:rPr>
            </w:pPr>
            <w:r w:rsidRPr="003F60D2">
              <w:rPr>
                <w:rFonts w:hint="cs"/>
                <w:rtl/>
              </w:rPr>
              <w:t xml:space="preserve">מכתב </w:t>
            </w:r>
            <w:r w:rsidRPr="003F60D2">
              <w:rPr>
                <w:rtl/>
              </w:rPr>
              <w:t xml:space="preserve">הפיקוח על הבנקים לתאגידים הבנקאיים </w:t>
            </w:r>
            <w:r w:rsidRPr="003F60D2">
              <w:rPr>
                <w:rFonts w:hint="cs"/>
                <w:rtl/>
              </w:rPr>
              <w:t xml:space="preserve">משנת 2009 </w:t>
            </w:r>
            <w:r w:rsidRPr="003F60D2">
              <w:rPr>
                <w:rtl/>
              </w:rPr>
              <w:t>בנושא סיכונים סביבתיים א</w:t>
            </w:r>
            <w:r w:rsidRPr="003F60D2">
              <w:rPr>
                <w:rFonts w:hint="cs"/>
                <w:rtl/>
              </w:rPr>
              <w:t>ינו</w:t>
            </w:r>
            <w:r w:rsidRPr="003F60D2">
              <w:rPr>
                <w:rtl/>
              </w:rPr>
              <w:t xml:space="preserve"> מזכיר במפורש את שינוי</w:t>
            </w:r>
            <w:r w:rsidRPr="003F60D2">
              <w:rPr>
                <w:rFonts w:hint="cs"/>
                <w:rtl/>
              </w:rPr>
              <w:t>י</w:t>
            </w:r>
            <w:r w:rsidRPr="003F60D2">
              <w:rPr>
                <w:rtl/>
              </w:rPr>
              <w:t xml:space="preserve"> האקלים</w:t>
            </w:r>
            <w:r w:rsidRPr="003F60D2">
              <w:rPr>
                <w:rFonts w:hint="cs"/>
                <w:rtl/>
              </w:rPr>
              <w:t xml:space="preserve"> ואינו</w:t>
            </w:r>
            <w:r w:rsidRPr="003F60D2">
              <w:rPr>
                <w:rtl/>
              </w:rPr>
              <w:t xml:space="preserve"> מקדם אחידות במערכת הבנקאית</w:t>
            </w:r>
          </w:p>
        </w:tc>
        <w:tc>
          <w:tcPr>
            <w:tcW w:w="584" w:type="dxa"/>
            <w:shd w:val="clear" w:color="auto" w:fill="F0F8F9"/>
          </w:tcPr>
          <w:p w:rsidR="00F600A6" w:rsidP="00F600A6" w14:paraId="0AF96682" w14:textId="0E15F6E3">
            <w:pPr>
              <w:pStyle w:val="73R"/>
              <w:rPr>
                <w:rtl/>
              </w:rPr>
            </w:pPr>
            <w:r w:rsidRPr="00973C85">
              <w:rPr>
                <w:noProof/>
                <w:rtl/>
              </w:rPr>
              <mc:AlternateContent>
                <mc:Choice Requires="wps">
                  <w:drawing>
                    <wp:anchor distT="0" distB="0" distL="114300" distR="114300" simplePos="0" relativeHeight="251734016" behindDoc="0" locked="0" layoutInCell="1" allowOverlap="1">
                      <wp:simplePos x="0" y="0"/>
                      <wp:positionH relativeFrom="column">
                        <wp:posOffset>-980994</wp:posOffset>
                      </wp:positionH>
                      <wp:positionV relativeFrom="paragraph">
                        <wp:posOffset>513147</wp:posOffset>
                      </wp:positionV>
                      <wp:extent cx="1259205" cy="223520"/>
                      <wp:effectExtent l="12700" t="12700" r="10795" b="17780"/>
                      <wp:wrapNone/>
                      <wp:docPr id="57" name="חץ שמאלה 57" descr="תוקן במידה רבה"/>
                      <wp:cNvGraphicFramePr/>
                      <a:graphic xmlns:a="http://schemas.openxmlformats.org/drawingml/2006/main">
                        <a:graphicData uri="http://schemas.microsoft.com/office/word/2010/wordprocessingShape">
                          <wps:wsp xmlns:wps="http://schemas.microsoft.com/office/word/2010/wordprocessingShape">
                            <wps:cNvSpPr/>
                            <wps:spPr>
                              <a:xfrm>
                                <a:off x="0" y="0"/>
                                <a:ext cx="1259205" cy="223520"/>
                              </a:xfrm>
                              <a:prstGeom prst="leftArrow">
                                <a:avLst/>
                              </a:prstGeom>
                              <a:solidFill>
                                <a:srgbClr val="FDF000"/>
                              </a:solidFill>
                              <a:ln w="25400">
                                <a:solidFill>
                                  <a:srgbClr val="FDF0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חץ שמאלה 57" o:spid="_x0000_s1041" type="#_x0000_t66" alt="תוקן במידה רבה" style="width:99.15pt;height:17.6pt;margin-top:40.4pt;margin-left:-77.25pt;mso-height-percent:0;mso-height-relative:margin;mso-width-percent:0;mso-width-relative:margin;mso-wrap-distance-bottom:0;mso-wrap-distance-left:9pt;mso-wrap-distance-right:9pt;mso-wrap-distance-top:0;mso-wrap-style:square;position:absolute;visibility:visible;v-text-anchor:middle;z-index:251735040" adj="1917" fillcolor="#fdf000" strokecolor="#fdf000" strokeweight="2pt"/>
                  </w:pict>
                </mc:Fallback>
              </mc:AlternateContent>
            </w:r>
          </w:p>
        </w:tc>
        <w:tc>
          <w:tcPr>
            <w:tcW w:w="758" w:type="dxa"/>
            <w:shd w:val="clear" w:color="auto" w:fill="F0F8F9"/>
          </w:tcPr>
          <w:p w:rsidR="00F600A6" w:rsidP="00F600A6" w14:paraId="1CDE3909" w14:textId="77777777">
            <w:pPr>
              <w:pStyle w:val="73R"/>
              <w:rPr>
                <w:rtl/>
              </w:rPr>
            </w:pPr>
          </w:p>
        </w:tc>
        <w:tc>
          <w:tcPr>
            <w:tcW w:w="733" w:type="dxa"/>
            <w:shd w:val="clear" w:color="auto" w:fill="F0F8F9"/>
          </w:tcPr>
          <w:p w:rsidR="00F600A6" w:rsidP="00F600A6" w14:paraId="143EBD67" w14:textId="77777777">
            <w:pPr>
              <w:pStyle w:val="73R"/>
              <w:rPr>
                <w:rtl/>
              </w:rPr>
            </w:pPr>
          </w:p>
        </w:tc>
        <w:tc>
          <w:tcPr>
            <w:tcW w:w="685" w:type="dxa"/>
            <w:shd w:val="clear" w:color="auto" w:fill="F0F8F9"/>
          </w:tcPr>
          <w:p w:rsidR="00F600A6" w:rsidP="00F600A6" w14:paraId="45F4D58F" w14:textId="77777777">
            <w:pPr>
              <w:pStyle w:val="73R"/>
              <w:rPr>
                <w:rtl/>
              </w:rPr>
            </w:pPr>
          </w:p>
        </w:tc>
      </w:tr>
      <w:tr w14:paraId="705B3505" w14:textId="77777777" w:rsidTr="00F600A6">
        <w:tblPrEx>
          <w:tblW w:w="7216" w:type="dxa"/>
          <w:tblInd w:w="397" w:type="dxa"/>
          <w:shd w:val="clear" w:color="auto" w:fill="DFECEF"/>
          <w:tblLook w:val="04A0"/>
        </w:tblPrEx>
        <w:tc>
          <w:tcPr>
            <w:tcW w:w="1474" w:type="dxa"/>
            <w:shd w:val="clear" w:color="auto" w:fill="DFECEF"/>
          </w:tcPr>
          <w:p w:rsidR="00F600A6" w:rsidP="00F600A6" w14:paraId="27E71092" w14:textId="4D654B22">
            <w:pPr>
              <w:pStyle w:val="73R"/>
              <w:spacing w:after="240"/>
              <w:rPr>
                <w:rtl/>
              </w:rPr>
            </w:pPr>
            <w:r w:rsidRPr="003F60D2">
              <w:rPr>
                <w:rtl/>
              </w:rPr>
              <w:t xml:space="preserve">השקעות בתחומי </w:t>
            </w:r>
            <w:r w:rsidRPr="003F60D2">
              <w:t>ESG</w:t>
            </w:r>
            <w:r w:rsidRPr="003F60D2">
              <w:rPr>
                <w:rtl/>
              </w:rPr>
              <w:t xml:space="preserve"> במסגרת ניהול יתרות מט"ח של בנק ישראל  </w:t>
            </w:r>
          </w:p>
        </w:tc>
        <w:tc>
          <w:tcPr>
            <w:tcW w:w="1354" w:type="dxa"/>
            <w:shd w:val="clear" w:color="auto" w:fill="DFECEF"/>
          </w:tcPr>
          <w:p w:rsidR="00F600A6" w:rsidP="00F600A6" w14:paraId="6673893A" w14:textId="1A599E60">
            <w:pPr>
              <w:pStyle w:val="73R"/>
              <w:spacing w:after="240"/>
              <w:rPr>
                <w:rtl/>
              </w:rPr>
            </w:pPr>
            <w:r w:rsidRPr="003F60D2">
              <w:rPr>
                <w:rFonts w:hint="cs"/>
                <w:rtl/>
              </w:rPr>
              <w:t>בנק ישראל</w:t>
            </w:r>
          </w:p>
        </w:tc>
        <w:tc>
          <w:tcPr>
            <w:tcW w:w="1628" w:type="dxa"/>
            <w:shd w:val="clear" w:color="auto" w:fill="DFECEF"/>
          </w:tcPr>
          <w:p w:rsidR="00F600A6" w:rsidP="00F600A6" w14:paraId="79646E41" w14:textId="61DF88A2">
            <w:pPr>
              <w:pStyle w:val="73R"/>
              <w:spacing w:after="240"/>
              <w:rPr>
                <w:rtl/>
              </w:rPr>
            </w:pPr>
            <w:r w:rsidRPr="003F60D2">
              <w:rPr>
                <w:rtl/>
              </w:rPr>
              <w:t xml:space="preserve">בנק ישראל אינו משקיע את תיק יתרות </w:t>
            </w:r>
            <w:r w:rsidRPr="003F60D2">
              <w:rPr>
                <w:rtl/>
              </w:rPr>
              <w:t>המט"ח</w:t>
            </w:r>
            <w:r w:rsidRPr="003F60D2">
              <w:rPr>
                <w:rtl/>
              </w:rPr>
              <w:t xml:space="preserve"> של המדינה בתחומי </w:t>
            </w:r>
            <w:r w:rsidRPr="003F60D2">
              <w:t>ESG</w:t>
            </w:r>
          </w:p>
        </w:tc>
        <w:tc>
          <w:tcPr>
            <w:tcW w:w="584" w:type="dxa"/>
            <w:shd w:val="clear" w:color="auto" w:fill="DFECEF"/>
          </w:tcPr>
          <w:p w:rsidR="00F600A6" w:rsidP="00F600A6" w14:paraId="1CE69AF1" w14:textId="261C37C6">
            <w:pPr>
              <w:pStyle w:val="73R"/>
              <w:rPr>
                <w:rtl/>
              </w:rPr>
            </w:pPr>
            <w:r w:rsidRPr="00973C85">
              <w:rPr>
                <w:noProof/>
                <w:rtl/>
              </w:rPr>
              <mc:AlternateContent>
                <mc:Choice Requires="wps">
                  <w:drawing>
                    <wp:anchor distT="0" distB="0" distL="114300" distR="114300" simplePos="0" relativeHeight="251736064" behindDoc="0" locked="0" layoutInCell="1" allowOverlap="1">
                      <wp:simplePos x="0" y="0"/>
                      <wp:positionH relativeFrom="column">
                        <wp:posOffset>-80645</wp:posOffset>
                      </wp:positionH>
                      <wp:positionV relativeFrom="paragraph">
                        <wp:posOffset>287223</wp:posOffset>
                      </wp:positionV>
                      <wp:extent cx="357505" cy="223520"/>
                      <wp:effectExtent l="12700" t="12700" r="10795" b="17780"/>
                      <wp:wrapNone/>
                      <wp:docPr id="527097144" name="חץ שמאלה 527097144" descr="לא תוקן"/>
                      <wp:cNvGraphicFramePr/>
                      <a:graphic xmlns:a="http://schemas.openxmlformats.org/drawingml/2006/main">
                        <a:graphicData uri="http://schemas.microsoft.com/office/word/2010/wordprocessingShape">
                          <wps:wsp xmlns:wps="http://schemas.microsoft.com/office/word/2010/wordprocessingShape">
                            <wps:cNvSpPr/>
                            <wps:spPr>
                              <a:xfrm>
                                <a:off x="0" y="0"/>
                                <a:ext cx="357505" cy="223520"/>
                              </a:xfrm>
                              <a:prstGeom prst="leftArrow">
                                <a:avLst/>
                              </a:prstGeom>
                              <a:solidFill>
                                <a:srgbClr val="FF0100"/>
                              </a:solidFill>
                              <a:ln w="25400">
                                <a:solidFill>
                                  <a:srgbClr val="FF01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חץ שמאלה 527097144" o:spid="_x0000_s1042" type="#_x0000_t66" alt="לא תוקן" style="width:28.15pt;height:17.6pt;margin-top:22.6pt;margin-left:-6.35pt;mso-height-percent:0;mso-height-relative:margin;mso-width-percent:0;mso-width-relative:margin;mso-wrap-distance-bottom:0;mso-wrap-distance-left:9pt;mso-wrap-distance-right:9pt;mso-wrap-distance-top:0;mso-wrap-style:square;position:absolute;visibility:visible;v-text-anchor:middle;z-index:251737088" adj="6752" fillcolor="#ff0100" strokecolor="#ff0100" strokeweight="2pt"/>
                  </w:pict>
                </mc:Fallback>
              </mc:AlternateContent>
            </w:r>
          </w:p>
        </w:tc>
        <w:tc>
          <w:tcPr>
            <w:tcW w:w="758" w:type="dxa"/>
            <w:shd w:val="clear" w:color="auto" w:fill="DFECEF"/>
          </w:tcPr>
          <w:p w:rsidR="00F600A6" w:rsidP="00F600A6" w14:paraId="55D2D59C" w14:textId="694A582D">
            <w:pPr>
              <w:pStyle w:val="73R"/>
              <w:rPr>
                <w:rtl/>
              </w:rPr>
            </w:pPr>
          </w:p>
        </w:tc>
        <w:tc>
          <w:tcPr>
            <w:tcW w:w="733" w:type="dxa"/>
            <w:shd w:val="clear" w:color="auto" w:fill="DFECEF"/>
          </w:tcPr>
          <w:p w:rsidR="00F600A6" w:rsidP="00F600A6" w14:paraId="14599525" w14:textId="54A531F6">
            <w:pPr>
              <w:pStyle w:val="73R"/>
              <w:rPr>
                <w:rtl/>
              </w:rPr>
            </w:pPr>
          </w:p>
        </w:tc>
        <w:tc>
          <w:tcPr>
            <w:tcW w:w="685" w:type="dxa"/>
            <w:shd w:val="clear" w:color="auto" w:fill="DFECEF"/>
          </w:tcPr>
          <w:p w:rsidR="00F600A6" w:rsidP="00F600A6" w14:paraId="4BBB6D41" w14:textId="77777777">
            <w:pPr>
              <w:pStyle w:val="73R"/>
              <w:rPr>
                <w:rtl/>
              </w:rPr>
            </w:pPr>
          </w:p>
        </w:tc>
      </w:tr>
      <w:tr w14:paraId="04D64242" w14:textId="77777777" w:rsidTr="00F600A6">
        <w:tblPrEx>
          <w:tblW w:w="7216" w:type="dxa"/>
          <w:tblInd w:w="397" w:type="dxa"/>
          <w:shd w:val="clear" w:color="auto" w:fill="DFECEF"/>
          <w:tblLook w:val="04A0"/>
        </w:tblPrEx>
        <w:tc>
          <w:tcPr>
            <w:tcW w:w="1474" w:type="dxa"/>
            <w:shd w:val="clear" w:color="auto" w:fill="F0F8F9"/>
          </w:tcPr>
          <w:p w:rsidR="00F600A6" w:rsidP="00F600A6" w14:paraId="760DFBEC" w14:textId="519A6E8E">
            <w:pPr>
              <w:pStyle w:val="73R"/>
              <w:spacing w:after="240"/>
              <w:rPr>
                <w:rtl/>
              </w:rPr>
            </w:pPr>
            <w:r w:rsidRPr="003F60D2">
              <w:rPr>
                <w:rtl/>
              </w:rPr>
              <w:t xml:space="preserve">היערכות לסיכונים פיננסיים שמקורם בשינויי </w:t>
            </w:r>
            <w:r w:rsidRPr="003F60D2">
              <w:rPr>
                <w:rFonts w:hint="cs"/>
                <w:rtl/>
              </w:rPr>
              <w:t>ה</w:t>
            </w:r>
            <w:r w:rsidRPr="003F60D2">
              <w:rPr>
                <w:rtl/>
              </w:rPr>
              <w:t>אקלים</w:t>
            </w:r>
            <w:r w:rsidRPr="003F60D2">
              <w:rPr>
                <w:rFonts w:hint="cs"/>
                <w:rtl/>
              </w:rPr>
              <w:t xml:space="preserve"> (</w:t>
            </w:r>
            <w:r w:rsidRPr="003F60D2">
              <w:rPr>
                <w:rtl/>
              </w:rPr>
              <w:t>רשות ניירות ערך וסיכוני אקלים</w:t>
            </w:r>
            <w:r w:rsidRPr="003F60D2">
              <w:rPr>
                <w:rFonts w:hint="cs"/>
                <w:rtl/>
              </w:rPr>
              <w:t>)</w:t>
            </w:r>
          </w:p>
        </w:tc>
        <w:tc>
          <w:tcPr>
            <w:tcW w:w="1354" w:type="dxa"/>
            <w:shd w:val="clear" w:color="auto" w:fill="F0F8F9"/>
          </w:tcPr>
          <w:p w:rsidR="00F600A6" w:rsidP="00F600A6" w14:paraId="1186775C" w14:textId="2FF93599">
            <w:pPr>
              <w:pStyle w:val="73R"/>
              <w:spacing w:after="240"/>
              <w:rPr>
                <w:rtl/>
              </w:rPr>
            </w:pPr>
            <w:r w:rsidRPr="003F60D2">
              <w:rPr>
                <w:rtl/>
              </w:rPr>
              <w:t>רשות ניירות ערך</w:t>
            </w:r>
          </w:p>
        </w:tc>
        <w:tc>
          <w:tcPr>
            <w:tcW w:w="1628" w:type="dxa"/>
            <w:shd w:val="clear" w:color="auto" w:fill="F0F8F9"/>
          </w:tcPr>
          <w:p w:rsidR="00F600A6" w:rsidP="00F600A6" w14:paraId="6E9DCA2D" w14:textId="65E0F36F">
            <w:pPr>
              <w:pStyle w:val="73R"/>
              <w:spacing w:after="240"/>
              <w:rPr>
                <w:rtl/>
              </w:rPr>
            </w:pPr>
            <w:r w:rsidRPr="003F60D2">
              <w:rPr>
                <w:rtl/>
              </w:rPr>
              <w:t xml:space="preserve">חובות גילויי </w:t>
            </w:r>
            <w:r w:rsidRPr="003F60D2">
              <w:t>ESG</w:t>
            </w:r>
            <w:r w:rsidRPr="003F60D2">
              <w:rPr>
                <w:rtl/>
              </w:rPr>
              <w:t xml:space="preserve"> במתכונת שפרסמה רשות ניירות ערך לא מבדלת את האקלים מיתר שיקולי </w:t>
            </w:r>
            <w:r w:rsidRPr="003F60D2">
              <w:t>ESG</w:t>
            </w:r>
          </w:p>
        </w:tc>
        <w:tc>
          <w:tcPr>
            <w:tcW w:w="584" w:type="dxa"/>
            <w:shd w:val="clear" w:color="auto" w:fill="F0F8F9"/>
          </w:tcPr>
          <w:p w:rsidR="00F600A6" w:rsidP="00F600A6" w14:paraId="366224AC" w14:textId="0E4594D1">
            <w:pPr>
              <w:pStyle w:val="73R"/>
              <w:rPr>
                <w:rtl/>
              </w:rPr>
            </w:pPr>
          </w:p>
        </w:tc>
        <w:tc>
          <w:tcPr>
            <w:tcW w:w="758" w:type="dxa"/>
            <w:shd w:val="clear" w:color="auto" w:fill="F0F8F9"/>
          </w:tcPr>
          <w:p w:rsidR="00F600A6" w:rsidP="00F600A6" w14:paraId="6E25ABEE" w14:textId="1E6AD086">
            <w:pPr>
              <w:pStyle w:val="73R"/>
              <w:rPr>
                <w:rtl/>
              </w:rPr>
            </w:pPr>
            <w:r w:rsidRPr="00973C85">
              <w:rPr>
                <w:noProof/>
                <w:rtl/>
              </w:rPr>
              <mc:AlternateContent>
                <mc:Choice Requires="wps">
                  <w:drawing>
                    <wp:anchor distT="0" distB="0" distL="114300" distR="114300" simplePos="0" relativeHeight="251740160" behindDoc="0" locked="0" layoutInCell="1" allowOverlap="1">
                      <wp:simplePos x="0" y="0"/>
                      <wp:positionH relativeFrom="column">
                        <wp:posOffset>-65405</wp:posOffset>
                      </wp:positionH>
                      <wp:positionV relativeFrom="paragraph">
                        <wp:posOffset>350317</wp:posOffset>
                      </wp:positionV>
                      <wp:extent cx="831850" cy="223520"/>
                      <wp:effectExtent l="12700" t="12700" r="19050" b="17780"/>
                      <wp:wrapNone/>
                      <wp:docPr id="2116958184" name="חץ שמאלה 2116958184" descr="תוקן במידה מועטה"/>
                      <wp:cNvGraphicFramePr/>
                      <a:graphic xmlns:a="http://schemas.openxmlformats.org/drawingml/2006/main">
                        <a:graphicData uri="http://schemas.microsoft.com/office/word/2010/wordprocessingShape">
                          <wps:wsp xmlns:wps="http://schemas.microsoft.com/office/word/2010/wordprocessingShape">
                            <wps:cNvSpPr/>
                            <wps:spPr>
                              <a:xfrm>
                                <a:off x="0" y="0"/>
                                <a:ext cx="831850" cy="223520"/>
                              </a:xfrm>
                              <a:prstGeom prst="leftArrow">
                                <a:avLst/>
                              </a:prstGeom>
                              <a:solidFill>
                                <a:srgbClr val="FFC002"/>
                              </a:solidFill>
                              <a:ln w="25400">
                                <a:solidFill>
                                  <a:srgbClr val="FFC002"/>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חץ שמאלה 2116958184" o:spid="_x0000_s1043" type="#_x0000_t66" alt="תוקן במידה מועטה" style="width:65.5pt;height:17.6pt;margin-top:27.6pt;margin-left:-5.15pt;mso-height-percent:0;mso-height-relative:margin;mso-width-percent:0;mso-width-relative:margin;mso-wrap-distance-bottom:0;mso-wrap-distance-left:9pt;mso-wrap-distance-right:9pt;mso-wrap-distance-top:0;mso-wrap-style:square;position:absolute;visibility:visible;v-text-anchor:middle;z-index:251741184" adj="2902" fillcolor="#ffc002" strokecolor="#ffc002" strokeweight="2pt"/>
                  </w:pict>
                </mc:Fallback>
              </mc:AlternateContent>
            </w:r>
          </w:p>
        </w:tc>
        <w:tc>
          <w:tcPr>
            <w:tcW w:w="733" w:type="dxa"/>
            <w:shd w:val="clear" w:color="auto" w:fill="F0F8F9"/>
          </w:tcPr>
          <w:p w:rsidR="00F600A6" w:rsidP="00F600A6" w14:paraId="3641B44F" w14:textId="77777777">
            <w:pPr>
              <w:pStyle w:val="73R"/>
              <w:rPr>
                <w:rtl/>
              </w:rPr>
            </w:pPr>
          </w:p>
        </w:tc>
        <w:tc>
          <w:tcPr>
            <w:tcW w:w="685" w:type="dxa"/>
            <w:shd w:val="clear" w:color="auto" w:fill="F0F8F9"/>
          </w:tcPr>
          <w:p w:rsidR="00F600A6" w:rsidP="00F600A6" w14:paraId="11AF1571" w14:textId="77777777">
            <w:pPr>
              <w:pStyle w:val="73R"/>
              <w:rPr>
                <w:rtl/>
              </w:rPr>
            </w:pPr>
          </w:p>
        </w:tc>
      </w:tr>
      <w:tr w14:paraId="7688E1C3" w14:textId="77777777" w:rsidTr="00F600A6">
        <w:tblPrEx>
          <w:tblW w:w="7216" w:type="dxa"/>
          <w:tblInd w:w="397" w:type="dxa"/>
          <w:shd w:val="clear" w:color="auto" w:fill="DFECEF"/>
          <w:tblLook w:val="04A0"/>
        </w:tblPrEx>
        <w:tc>
          <w:tcPr>
            <w:tcW w:w="1474" w:type="dxa"/>
            <w:shd w:val="clear" w:color="auto" w:fill="DFECEF"/>
          </w:tcPr>
          <w:p w:rsidR="00F600A6" w:rsidP="00F600A6" w14:paraId="2AB885EA" w14:textId="40314DD2">
            <w:pPr>
              <w:pStyle w:val="73R"/>
              <w:spacing w:after="240"/>
              <w:rPr>
                <w:rtl/>
              </w:rPr>
            </w:pPr>
            <w:r w:rsidRPr="003F60D2">
              <w:rPr>
                <w:rtl/>
              </w:rPr>
              <w:t xml:space="preserve">היערכות לסיכונים פיננסיים שמקורם בשינויי </w:t>
            </w:r>
            <w:r w:rsidRPr="003F60D2">
              <w:rPr>
                <w:rFonts w:hint="cs"/>
                <w:rtl/>
              </w:rPr>
              <w:t>ה</w:t>
            </w:r>
            <w:r w:rsidRPr="003F60D2">
              <w:rPr>
                <w:rtl/>
              </w:rPr>
              <w:t>אקלים</w:t>
            </w:r>
            <w:r w:rsidRPr="003F60D2">
              <w:rPr>
                <w:rFonts w:hint="cs"/>
                <w:rtl/>
              </w:rPr>
              <w:t xml:space="preserve"> (</w:t>
            </w:r>
            <w:r w:rsidRPr="003F60D2">
              <w:rPr>
                <w:rtl/>
              </w:rPr>
              <w:t xml:space="preserve">רשות שוק ההון, ביטוח וחיסכון והיערכותה לסיכוני </w:t>
            </w:r>
            <w:r w:rsidRPr="003F60D2">
              <w:rPr>
                <w:rFonts w:hint="cs"/>
                <w:rtl/>
              </w:rPr>
              <w:t>ה</w:t>
            </w:r>
            <w:r w:rsidRPr="003F60D2">
              <w:rPr>
                <w:rtl/>
              </w:rPr>
              <w:t>אקלים</w:t>
            </w:r>
            <w:r w:rsidRPr="003F60D2">
              <w:rPr>
                <w:rFonts w:hint="cs"/>
                <w:rtl/>
              </w:rPr>
              <w:t>)</w:t>
            </w:r>
          </w:p>
        </w:tc>
        <w:tc>
          <w:tcPr>
            <w:tcW w:w="1354" w:type="dxa"/>
            <w:shd w:val="clear" w:color="auto" w:fill="DFECEF"/>
          </w:tcPr>
          <w:p w:rsidR="00F600A6" w:rsidP="00F600A6" w14:paraId="03F634BC" w14:textId="4EC358B4">
            <w:pPr>
              <w:pStyle w:val="73R"/>
              <w:spacing w:after="240"/>
            </w:pPr>
            <w:r w:rsidRPr="003F60D2">
              <w:rPr>
                <w:rtl/>
              </w:rPr>
              <w:t>רשות שוק ההון, ביטוח וחיסכון</w:t>
            </w:r>
          </w:p>
        </w:tc>
        <w:tc>
          <w:tcPr>
            <w:tcW w:w="1628" w:type="dxa"/>
            <w:shd w:val="clear" w:color="auto" w:fill="DFECEF"/>
          </w:tcPr>
          <w:p w:rsidR="00F600A6" w:rsidRPr="00FA2D84" w:rsidP="00F600A6" w14:paraId="1751B1CB" w14:textId="6FB929CF">
            <w:pPr>
              <w:pStyle w:val="73R"/>
              <w:spacing w:after="240"/>
              <w:rPr>
                <w:spacing w:val="2"/>
                <w:rtl/>
              </w:rPr>
            </w:pPr>
            <w:r w:rsidRPr="003F60D2">
              <w:rPr>
                <w:rtl/>
              </w:rPr>
              <w:t>הנחיות רשות שוק ההון, ביטוח וחיסכון מ</w:t>
            </w:r>
            <w:r w:rsidRPr="003F60D2">
              <w:rPr>
                <w:rFonts w:hint="cs"/>
                <w:rtl/>
              </w:rPr>
              <w:t xml:space="preserve">שנת </w:t>
            </w:r>
            <w:r w:rsidRPr="003F60D2">
              <w:rPr>
                <w:rtl/>
              </w:rPr>
              <w:t xml:space="preserve">2007 לא התייחסו להיבטי אקלים ולא כללו הנחיות למתכונת הדיווח בדבר היבטי </w:t>
            </w:r>
            <w:r w:rsidRPr="003F60D2">
              <w:t>ESG</w:t>
            </w:r>
            <w:r w:rsidRPr="003F60D2">
              <w:rPr>
                <w:rtl/>
              </w:rPr>
              <w:t xml:space="preserve"> שיש לפרסם ואם לכלול היבטי אקלים על בסיס מתכונת אחידה לדיווח</w:t>
            </w:r>
            <w:r w:rsidRPr="003F60D2">
              <w:rPr>
                <w:rFonts w:hint="cs"/>
                <w:rtl/>
              </w:rPr>
              <w:t xml:space="preserve">; </w:t>
            </w:r>
            <w:r w:rsidRPr="003F60D2">
              <w:rPr>
                <w:rtl/>
              </w:rPr>
              <w:t>רשות שוק ההון</w:t>
            </w:r>
            <w:r w:rsidRPr="003F60D2">
              <w:rPr>
                <w:rFonts w:hint="cs"/>
                <w:rtl/>
              </w:rPr>
              <w:t>, ביטוח וחיסכון</w:t>
            </w:r>
            <w:r w:rsidRPr="003F60D2">
              <w:rPr>
                <w:rtl/>
              </w:rPr>
              <w:t xml:space="preserve"> לא ביצעה ביקורות ייעודיות לעניין הנחיות אלו ולא עסקה בהיבטי סביבה</w:t>
            </w:r>
          </w:p>
        </w:tc>
        <w:tc>
          <w:tcPr>
            <w:tcW w:w="584" w:type="dxa"/>
            <w:shd w:val="clear" w:color="auto" w:fill="DFECEF"/>
          </w:tcPr>
          <w:p w:rsidR="00F600A6" w:rsidP="00F600A6" w14:paraId="341E73A4" w14:textId="205FA158">
            <w:pPr>
              <w:pStyle w:val="73R"/>
              <w:rPr>
                <w:rtl/>
              </w:rPr>
            </w:pPr>
          </w:p>
        </w:tc>
        <w:tc>
          <w:tcPr>
            <w:tcW w:w="758" w:type="dxa"/>
            <w:shd w:val="clear" w:color="auto" w:fill="DFECEF"/>
          </w:tcPr>
          <w:p w:rsidR="00F600A6" w:rsidP="00F600A6" w14:paraId="0F472B94" w14:textId="0B5520C0">
            <w:pPr>
              <w:pStyle w:val="73R"/>
              <w:rPr>
                <w:rtl/>
              </w:rPr>
            </w:pPr>
          </w:p>
        </w:tc>
        <w:tc>
          <w:tcPr>
            <w:tcW w:w="733" w:type="dxa"/>
            <w:shd w:val="clear" w:color="auto" w:fill="DFECEF"/>
          </w:tcPr>
          <w:p w:rsidR="00F600A6" w:rsidP="00F600A6" w14:paraId="385F8DCE" w14:textId="0FBD7A13">
            <w:pPr>
              <w:pStyle w:val="73R"/>
              <w:rPr>
                <w:rtl/>
              </w:rPr>
            </w:pPr>
            <w:r w:rsidRPr="00973C85">
              <w:rPr>
                <w:noProof/>
                <w:rtl/>
              </w:rPr>
              <mc:AlternateContent>
                <mc:Choice Requires="wps">
                  <w:drawing>
                    <wp:anchor distT="0" distB="0" distL="114300" distR="114300" simplePos="0" relativeHeight="251738112" behindDoc="0" locked="0" layoutInCell="1" allowOverlap="1">
                      <wp:simplePos x="0" y="0"/>
                      <wp:positionH relativeFrom="column">
                        <wp:posOffset>391160</wp:posOffset>
                      </wp:positionH>
                      <wp:positionV relativeFrom="paragraph">
                        <wp:posOffset>884582</wp:posOffset>
                      </wp:positionV>
                      <wp:extent cx="831850" cy="223520"/>
                      <wp:effectExtent l="12700" t="12700" r="19050" b="17780"/>
                      <wp:wrapNone/>
                      <wp:docPr id="58" name="חץ שמאלה 58" descr="תוקן במידה מועטה"/>
                      <wp:cNvGraphicFramePr/>
                      <a:graphic xmlns:a="http://schemas.openxmlformats.org/drawingml/2006/main">
                        <a:graphicData uri="http://schemas.microsoft.com/office/word/2010/wordprocessingShape">
                          <wps:wsp xmlns:wps="http://schemas.microsoft.com/office/word/2010/wordprocessingShape">
                            <wps:cNvSpPr/>
                            <wps:spPr>
                              <a:xfrm>
                                <a:off x="0" y="0"/>
                                <a:ext cx="831850" cy="223520"/>
                              </a:xfrm>
                              <a:prstGeom prst="leftArrow">
                                <a:avLst/>
                              </a:prstGeom>
                              <a:solidFill>
                                <a:srgbClr val="FFC002"/>
                              </a:solidFill>
                              <a:ln w="25400">
                                <a:solidFill>
                                  <a:srgbClr val="FFC002"/>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חץ שמאלה 58" o:spid="_x0000_s1044" type="#_x0000_t66" alt="תוקן במידה מועטה" style="width:65.5pt;height:17.6pt;margin-top:69.65pt;margin-left:30.8pt;mso-height-percent:0;mso-height-relative:margin;mso-width-percent:0;mso-width-relative:margin;mso-wrap-distance-bottom:0;mso-wrap-distance-left:9pt;mso-wrap-distance-right:9pt;mso-wrap-distance-top:0;mso-wrap-style:square;position:absolute;visibility:visible;v-text-anchor:middle;z-index:251739136" adj="2902" fillcolor="#ffc002" strokecolor="#ffc002" strokeweight="2pt"/>
                  </w:pict>
                </mc:Fallback>
              </mc:AlternateContent>
            </w:r>
          </w:p>
        </w:tc>
        <w:tc>
          <w:tcPr>
            <w:tcW w:w="685" w:type="dxa"/>
            <w:shd w:val="clear" w:color="auto" w:fill="DFECEF"/>
          </w:tcPr>
          <w:p w:rsidR="00F600A6" w:rsidP="00F600A6" w14:paraId="44CFE4CA" w14:textId="77777777">
            <w:pPr>
              <w:pStyle w:val="73R"/>
              <w:rPr>
                <w:rtl/>
              </w:rPr>
            </w:pPr>
          </w:p>
        </w:tc>
      </w:tr>
    </w:tbl>
    <w:p w:rsidR="00E56721" w:rsidP="004E71DD" w14:paraId="1B37DAFD" w14:textId="77777777">
      <w:pPr>
        <w:widowControl w:val="0"/>
        <w:tabs>
          <w:tab w:val="left" w:pos="9604"/>
        </w:tabs>
        <w:spacing w:before="240" w:line="276" w:lineRule="auto"/>
        <w:ind w:left="-1"/>
        <w:rPr>
          <w:rFonts w:ascii="Tahoma" w:hAnsi="Tahoma" w:cs="Tahoma"/>
          <w:sz w:val="18"/>
          <w:szCs w:val="18"/>
          <w:rtl/>
        </w:rPr>
        <w:sectPr w:rsidSect="007D062A">
          <w:headerReference w:type="even" r:id="rId29"/>
          <w:footerReference w:type="even" r:id="rId30"/>
          <w:pgSz w:w="11906" w:h="16838" w:code="9"/>
          <w:pgMar w:top="3062" w:right="2268" w:bottom="2552" w:left="2268" w:header="1134" w:footer="1361" w:gutter="0"/>
          <w:pgNumType w:start="207"/>
          <w:cols w:space="708"/>
          <w:bidi/>
          <w:rtlGutter/>
          <w:docGrid w:linePitch="360"/>
        </w:sectPr>
      </w:pPr>
    </w:p>
    <w:p w:rsidR="00586851" w:rsidRPr="00E866B5" w:rsidP="00523140" w14:paraId="1346FA06" w14:textId="2B8F506F">
      <w:pPr>
        <w:pStyle w:val="731"/>
        <w:bidi/>
        <w:ind w:left="282" w:hanging="112"/>
        <w:rPr>
          <w:spacing w:val="-6"/>
          <w:rtl/>
        </w:rPr>
      </w:pPr>
      <w:r w:rsidRPr="001B1030">
        <w:rPr>
          <w:rFonts w:hint="cs"/>
          <w:b w:val="0"/>
          <w:bCs w:val="0"/>
          <w:spacing w:val="-6"/>
          <w:rtl/>
        </w:rPr>
        <w:t>פרק 3 |</w:t>
      </w:r>
      <w:r w:rsidRPr="001B1030" w:rsidR="00EB05C9">
        <w:rPr>
          <w:rFonts w:hint="cs"/>
          <w:b w:val="0"/>
          <w:bCs w:val="0"/>
          <w:spacing w:val="-6"/>
          <w:rtl/>
        </w:rPr>
        <w:t xml:space="preserve"> </w:t>
      </w:r>
      <w:r w:rsidRPr="001B1030">
        <w:rPr>
          <w:spacing w:val="-6"/>
          <w:rtl/>
        </w:rPr>
        <w:t xml:space="preserve">היבטים כלכליים, </w:t>
      </w:r>
      <w:r w:rsidRPr="001B1030">
        <w:rPr>
          <w:rFonts w:hint="cs"/>
          <w:spacing w:val="-6"/>
          <w:rtl/>
        </w:rPr>
        <w:t xml:space="preserve">היבטי </w:t>
      </w:r>
      <w:r w:rsidRPr="001B1030">
        <w:rPr>
          <w:spacing w:val="-6"/>
          <w:rtl/>
        </w:rPr>
        <w:t>מיסוי</w:t>
      </w:r>
      <w:r w:rsidR="00EB05C9">
        <w:rPr>
          <w:spacing w:val="-6"/>
          <w:rtl/>
        </w:rPr>
        <w:br/>
      </w:r>
      <w:r w:rsidRPr="001B1030">
        <w:rPr>
          <w:rFonts w:hint="cs"/>
          <w:spacing w:val="-6"/>
          <w:rtl/>
        </w:rPr>
        <w:t>וה</w:t>
      </w:r>
      <w:r w:rsidRPr="001B1030">
        <w:rPr>
          <w:spacing w:val="-6"/>
          <w:rtl/>
        </w:rPr>
        <w:t xml:space="preserve">יבטים פיננסיים של </w:t>
      </w:r>
      <w:r w:rsidR="00BD0341">
        <w:rPr>
          <w:rFonts w:hint="cs"/>
          <w:spacing w:val="-6"/>
          <w:rtl/>
        </w:rPr>
        <w:t>שינויי</w:t>
      </w:r>
      <w:r w:rsidR="00EB05C9">
        <w:rPr>
          <w:rFonts w:hint="cs"/>
          <w:spacing w:val="-6"/>
          <w:rtl/>
        </w:rPr>
        <w:t xml:space="preserve"> </w:t>
      </w:r>
      <w:r w:rsidRPr="001B1030">
        <w:rPr>
          <w:spacing w:val="-6"/>
          <w:rtl/>
        </w:rPr>
        <w:t>האקלים</w:t>
      </w:r>
      <w:r w:rsidRPr="00E866B5" w:rsidR="00D027E9">
        <w:rPr>
          <w:spacing w:val="-6"/>
          <w:rtl/>
        </w:rPr>
        <w:t xml:space="preserve"> </w:t>
      </w:r>
    </w:p>
    <w:p w:rsidR="00F20E3F" w:rsidRPr="00EB66C1" w:rsidP="00EB66C1" w14:paraId="50AC59D6" w14:textId="698A3D60">
      <w:pPr>
        <w:pStyle w:val="733155"/>
        <w:rPr>
          <w:rtl/>
        </w:rPr>
      </w:pPr>
      <w:bookmarkStart w:id="4" w:name="_Toc139530344"/>
      <w:bookmarkStart w:id="5" w:name="_Toc139530348"/>
      <w:r w:rsidRPr="00EB66C1">
        <w:rPr>
          <w:rFonts w:hint="cs"/>
          <w:rtl/>
        </w:rPr>
        <w:t>3.1 תפקיד משרד האוצר בקידום פעולות אקלים</w:t>
      </w:r>
    </w:p>
    <w:p w:rsidR="00F20E3F" w:rsidP="002F2907" w14:paraId="7EFF3FC1" w14:textId="77777777">
      <w:pPr>
        <w:pStyle w:val="7392"/>
        <w:rPr>
          <w:rtl/>
        </w:rPr>
      </w:pPr>
      <w:r>
        <w:rPr>
          <w:rtl/>
        </w:rPr>
        <w:t>משרד האוצר ה</w:t>
      </w:r>
      <w:r>
        <w:rPr>
          <w:rFonts w:hint="cs"/>
          <w:rtl/>
        </w:rPr>
        <w:t>וא</w:t>
      </w:r>
      <w:r>
        <w:rPr>
          <w:rtl/>
        </w:rPr>
        <w:t xml:space="preserve"> המשרד הכלכלי המרכזי של </w:t>
      </w:r>
      <w:r>
        <w:rPr>
          <w:rFonts w:hint="cs"/>
          <w:rtl/>
        </w:rPr>
        <w:t>ה</w:t>
      </w:r>
      <w:r>
        <w:rPr>
          <w:rtl/>
        </w:rPr>
        <w:t>ממשל</w:t>
      </w:r>
      <w:r>
        <w:rPr>
          <w:rFonts w:hint="cs"/>
          <w:rtl/>
        </w:rPr>
        <w:t>ה,</w:t>
      </w:r>
      <w:r>
        <w:rPr>
          <w:rtl/>
        </w:rPr>
        <w:t xml:space="preserve"> והוא האחראי לקביעת המדיניות הכלכלית של</w:t>
      </w:r>
      <w:r>
        <w:rPr>
          <w:rFonts w:hint="cs"/>
          <w:rtl/>
        </w:rPr>
        <w:t>ה</w:t>
      </w:r>
      <w:r>
        <w:rPr>
          <w:rtl/>
        </w:rPr>
        <w:t>.</w:t>
      </w:r>
      <w:r>
        <w:rPr>
          <w:rFonts w:hint="cs"/>
          <w:rtl/>
        </w:rPr>
        <w:t xml:space="preserve"> ואלה </w:t>
      </w:r>
      <w:r>
        <w:rPr>
          <w:rtl/>
        </w:rPr>
        <w:t xml:space="preserve">תפקידיו המרכזיים: תכנון וביצוע </w:t>
      </w:r>
      <w:r>
        <w:rPr>
          <w:rFonts w:hint="cs"/>
          <w:rtl/>
        </w:rPr>
        <w:t xml:space="preserve">של </w:t>
      </w:r>
      <w:r>
        <w:rPr>
          <w:rtl/>
        </w:rPr>
        <w:t>המדיניות הכלכלית-פיסקלית של מדינת ישראל</w:t>
      </w:r>
      <w:r>
        <w:rPr>
          <w:rFonts w:hint="cs"/>
          <w:rtl/>
        </w:rPr>
        <w:t>;</w:t>
      </w:r>
      <w:r>
        <w:rPr>
          <w:rtl/>
        </w:rPr>
        <w:t xml:space="preserve"> ויסות הפעילות הכלכלית והעסקית במשק</w:t>
      </w:r>
      <w:r>
        <w:rPr>
          <w:rFonts w:hint="cs"/>
          <w:rtl/>
        </w:rPr>
        <w:t>;</w:t>
      </w:r>
      <w:r>
        <w:rPr>
          <w:rtl/>
        </w:rPr>
        <w:t xml:space="preserve"> קביעת תקציב המדינה השנתי לפעילות הממשלה</w:t>
      </w:r>
      <w:r>
        <w:rPr>
          <w:rFonts w:hint="cs"/>
          <w:rtl/>
        </w:rPr>
        <w:t xml:space="preserve">; </w:t>
      </w:r>
      <w:r>
        <w:rPr>
          <w:rtl/>
        </w:rPr>
        <w:t>ניהול הכנסות המדינה</w:t>
      </w:r>
      <w:r>
        <w:rPr>
          <w:rFonts w:hint="cs"/>
          <w:rtl/>
        </w:rPr>
        <w:t>;</w:t>
      </w:r>
      <w:r>
        <w:rPr>
          <w:rtl/>
        </w:rPr>
        <w:t xml:space="preserve"> וגביית המיסים הישירים והעקיפים</w:t>
      </w:r>
      <w:r>
        <w:rPr>
          <w:rFonts w:hint="cs"/>
          <w:rtl/>
        </w:rPr>
        <w:t xml:space="preserve">. </w:t>
      </w:r>
      <w:r>
        <w:rPr>
          <w:rtl/>
        </w:rPr>
        <w:t xml:space="preserve">במשרד האוצר פועלים </w:t>
      </w:r>
      <w:r>
        <w:rPr>
          <w:rFonts w:hint="cs"/>
          <w:rtl/>
        </w:rPr>
        <w:t>כמה</w:t>
      </w:r>
      <w:r>
        <w:rPr>
          <w:rtl/>
        </w:rPr>
        <w:t xml:space="preserve"> אגפים</w:t>
      </w:r>
      <w:r>
        <w:rPr>
          <w:rFonts w:hint="cs"/>
          <w:rtl/>
        </w:rPr>
        <w:t xml:space="preserve"> ובהם</w:t>
      </w:r>
      <w:r>
        <w:rPr>
          <w:rtl/>
        </w:rPr>
        <w:t xml:space="preserve"> אגף התקציבים, אגף החשב הכללי, אגף השכר והסכמי עבודה </w:t>
      </w:r>
      <w:r>
        <w:rPr>
          <w:rFonts w:hint="cs"/>
          <w:rtl/>
        </w:rPr>
        <w:t>ו</w:t>
      </w:r>
      <w:r>
        <w:rPr>
          <w:rtl/>
        </w:rPr>
        <w:t>אגף הכלכלן הראשי - הכנסות המדינה.</w:t>
      </w:r>
      <w:r>
        <w:rPr>
          <w:rFonts w:hint="cs"/>
          <w:rtl/>
        </w:rPr>
        <w:t xml:space="preserve"> </w:t>
      </w:r>
      <w:r>
        <w:rPr>
          <w:rtl/>
        </w:rPr>
        <w:t xml:space="preserve">נוסף </w:t>
      </w:r>
      <w:r>
        <w:rPr>
          <w:rFonts w:hint="cs"/>
          <w:rtl/>
        </w:rPr>
        <w:t>ע</w:t>
      </w:r>
      <w:r>
        <w:rPr>
          <w:rtl/>
        </w:rPr>
        <w:t>ל</w:t>
      </w:r>
      <w:r>
        <w:rPr>
          <w:rFonts w:hint="cs"/>
          <w:rtl/>
        </w:rPr>
        <w:t xml:space="preserve"> </w:t>
      </w:r>
      <w:r>
        <w:rPr>
          <w:rtl/>
        </w:rPr>
        <w:t>אגפים אלו כפופים למשרד</w:t>
      </w:r>
      <w:r>
        <w:rPr>
          <w:rFonts w:hint="cs"/>
          <w:rtl/>
        </w:rPr>
        <w:t xml:space="preserve"> האוצר</w:t>
      </w:r>
      <w:r>
        <w:rPr>
          <w:rtl/>
        </w:rPr>
        <w:t xml:space="preserve"> גם רשות המ</w:t>
      </w:r>
      <w:r>
        <w:rPr>
          <w:rFonts w:hint="cs"/>
          <w:rtl/>
        </w:rPr>
        <w:t>י</w:t>
      </w:r>
      <w:r>
        <w:rPr>
          <w:rtl/>
        </w:rPr>
        <w:t xml:space="preserve">סים </w:t>
      </w:r>
      <w:r>
        <w:rPr>
          <w:rFonts w:hint="cs"/>
          <w:rtl/>
        </w:rPr>
        <w:t>ו</w:t>
      </w:r>
      <w:r>
        <w:rPr>
          <w:rtl/>
        </w:rPr>
        <w:t>רשות שוק ההון, ביטוח וחיסכון</w:t>
      </w:r>
      <w:r>
        <w:rPr>
          <w:rFonts w:hint="cs"/>
          <w:rtl/>
        </w:rPr>
        <w:t xml:space="preserve"> (להלן - רשות שוק ההון)</w:t>
      </w:r>
      <w:r>
        <w:rPr>
          <w:rtl/>
        </w:rPr>
        <w:t xml:space="preserve">, </w:t>
      </w:r>
      <w:r>
        <w:rPr>
          <w:rFonts w:hint="cs"/>
          <w:rtl/>
        </w:rPr>
        <w:t>ופועלות בו</w:t>
      </w:r>
      <w:r>
        <w:rPr>
          <w:rtl/>
        </w:rPr>
        <w:t xml:space="preserve"> יחידות סמך נוספות</w:t>
      </w:r>
      <w:r>
        <w:rPr>
          <w:rFonts w:hint="cs"/>
          <w:rtl/>
        </w:rPr>
        <w:t xml:space="preserve"> כמו </w:t>
      </w:r>
      <w:r>
        <w:rPr>
          <w:rtl/>
        </w:rPr>
        <w:t>רשות החברות הממשלתיות.</w:t>
      </w:r>
    </w:p>
    <w:p w:rsidR="00F20E3F" w:rsidP="002F2907" w14:paraId="213DC73A" w14:textId="77777777">
      <w:pPr>
        <w:pStyle w:val="7392"/>
        <w:rPr>
          <w:rtl/>
        </w:rPr>
      </w:pPr>
      <w:r>
        <w:rPr>
          <w:rFonts w:hint="cs"/>
          <w:rtl/>
        </w:rPr>
        <w:t>לאורך ה</w:t>
      </w:r>
      <w:r w:rsidRPr="00D7663A">
        <w:rPr>
          <w:rtl/>
        </w:rPr>
        <w:t>היסטורי</w:t>
      </w:r>
      <w:r>
        <w:rPr>
          <w:rFonts w:hint="cs"/>
          <w:rtl/>
        </w:rPr>
        <w:t>ה, וגם היום,</w:t>
      </w:r>
      <w:r w:rsidRPr="00D7663A">
        <w:rPr>
          <w:rtl/>
        </w:rPr>
        <w:t xml:space="preserve"> יש קשר ישיר בין פיתוחן של מדינות וכלכלות מודרניות ובין הגדלת פליטות </w:t>
      </w:r>
      <w:r w:rsidRPr="00D7663A">
        <w:rPr>
          <w:rtl/>
        </w:rPr>
        <w:t>גז"ח</w:t>
      </w:r>
      <w:r>
        <w:rPr>
          <w:rFonts w:hint="cs"/>
          <w:rtl/>
        </w:rPr>
        <w:t xml:space="preserve">: צמיחה כלכלית קשורה בהגדלת ייצור </w:t>
      </w:r>
      <w:r>
        <w:rPr>
          <w:rFonts w:hint="cs"/>
          <w:rtl/>
        </w:rPr>
        <w:t>אנרגייה</w:t>
      </w:r>
      <w:r>
        <w:rPr>
          <w:rFonts w:hint="cs"/>
          <w:rtl/>
        </w:rPr>
        <w:t xml:space="preserve"> משריפת דלקים הגורמת לעלייה בפליטות </w:t>
      </w:r>
      <w:r>
        <w:rPr>
          <w:rFonts w:hint="cs"/>
          <w:rtl/>
        </w:rPr>
        <w:t>גז"ח</w:t>
      </w:r>
      <w:r w:rsidRPr="00D7663A">
        <w:rPr>
          <w:rtl/>
        </w:rPr>
        <w:t xml:space="preserve">. היכולת להמשיך בצמיחה כלכלית ללא צורך בהגדלת פליטות </w:t>
      </w:r>
      <w:r w:rsidRPr="00D7663A">
        <w:rPr>
          <w:rtl/>
        </w:rPr>
        <w:t>גז</w:t>
      </w:r>
      <w:r>
        <w:rPr>
          <w:rFonts w:hint="cs"/>
          <w:rtl/>
        </w:rPr>
        <w:t>"ח</w:t>
      </w:r>
      <w:r w:rsidRPr="00D7663A">
        <w:rPr>
          <w:rtl/>
        </w:rPr>
        <w:t xml:space="preserve"> משמעה ניתוק התלות שבין שני גורמים אלו (</w:t>
      </w:r>
      <w:r>
        <w:rPr>
          <w:rFonts w:hint="cs"/>
          <w:rtl/>
        </w:rPr>
        <w:t xml:space="preserve">ניתוק זה </w:t>
      </w:r>
      <w:r w:rsidRPr="00D7663A">
        <w:rPr>
          <w:rtl/>
        </w:rPr>
        <w:t xml:space="preserve">קרוי </w:t>
      </w:r>
      <w:r w:rsidRPr="002F2907">
        <w:t>Decoupling of economic growth and</w:t>
      </w:r>
      <w:r w:rsidRPr="00921B1F">
        <w:rPr>
          <w:sz w:val="24"/>
        </w:rPr>
        <w:t xml:space="preserve"> </w:t>
      </w:r>
      <w:r w:rsidRPr="002F2907">
        <w:t>greenhouse</w:t>
      </w:r>
      <w:r w:rsidRPr="00921B1F">
        <w:rPr>
          <w:sz w:val="24"/>
        </w:rPr>
        <w:t xml:space="preserve"> </w:t>
      </w:r>
      <w:r w:rsidRPr="002F2907">
        <w:t>emissions</w:t>
      </w:r>
      <w:r w:rsidRPr="00D7663A">
        <w:rPr>
          <w:rtl/>
        </w:rPr>
        <w:t>)</w:t>
      </w:r>
      <w:r>
        <w:rPr>
          <w:rFonts w:hint="cs"/>
          <w:rtl/>
        </w:rPr>
        <w:t>,</w:t>
      </w:r>
      <w:r w:rsidRPr="00D7663A">
        <w:rPr>
          <w:rtl/>
        </w:rPr>
        <w:t xml:space="preserve"> המשקף עלייה בתפוקה ביחס לכל יחידת </w:t>
      </w:r>
      <w:r w:rsidRPr="00D7663A">
        <w:rPr>
          <w:rtl/>
        </w:rPr>
        <w:t>אנרגייה</w:t>
      </w:r>
      <w:r w:rsidRPr="00D7663A">
        <w:rPr>
          <w:rtl/>
        </w:rPr>
        <w:t xml:space="preserve"> שנצרכה</w:t>
      </w:r>
      <w:r>
        <w:rPr>
          <w:rFonts w:hint="cs"/>
          <w:rtl/>
        </w:rPr>
        <w:t>, ומשמעותו שינוי יסודי בנוגע לאופן שבו הכלכלה פועלת</w:t>
      </w:r>
      <w:r w:rsidRPr="00D7663A">
        <w:rPr>
          <w:rtl/>
        </w:rPr>
        <w:t>.</w:t>
      </w:r>
      <w:r w:rsidRPr="00724963">
        <w:rPr>
          <w:rFonts w:hint="cs"/>
          <w:rtl/>
        </w:rPr>
        <w:t xml:space="preserve"> </w:t>
      </w:r>
      <w:r>
        <w:rPr>
          <w:rFonts w:hint="cs"/>
          <w:rtl/>
        </w:rPr>
        <w:t>מטבע הדברים, העיסוק בנושא זה מציב את משרדי האוצר בתפקיד מרכזי במדינות השונות.</w:t>
      </w:r>
    </w:p>
    <w:p w:rsidR="00F20E3F" w:rsidP="007B7A97" w14:paraId="4E285426" w14:textId="77777777">
      <w:pPr>
        <w:pStyle w:val="73414"/>
        <w:rPr>
          <w:rtl/>
        </w:rPr>
      </w:pPr>
      <w:r>
        <w:rPr>
          <w:rFonts w:hint="cs"/>
          <w:rtl/>
        </w:rPr>
        <w:t>גיבוש עקרונות פעולה למשרדי אוצר בתחום האקלים</w:t>
      </w:r>
    </w:p>
    <w:p w:rsidR="00F20E3F" w:rsidP="002F2907" w14:paraId="7C31242C" w14:textId="77777777">
      <w:pPr>
        <w:pStyle w:val="7392"/>
        <w:rPr>
          <w:rtl/>
        </w:rPr>
      </w:pPr>
      <w:r>
        <w:rPr>
          <w:rFonts w:hint="cs"/>
          <w:rtl/>
        </w:rPr>
        <w:t xml:space="preserve">הקשר ההדוק בין צמיחה כלכלית ופליטות </w:t>
      </w:r>
      <w:r>
        <w:rPr>
          <w:rFonts w:hint="cs"/>
          <w:rtl/>
        </w:rPr>
        <w:t>גז"ח</w:t>
      </w:r>
      <w:r>
        <w:rPr>
          <w:rFonts w:hint="cs"/>
          <w:rtl/>
        </w:rPr>
        <w:t xml:space="preserve"> מביא לכך שזה שנים מדינות העולם עוסקות </w:t>
      </w:r>
      <w:r>
        <w:rPr>
          <w:rFonts w:hint="cs"/>
          <w:rtl/>
        </w:rPr>
        <w:t>ב"יירוּק</w:t>
      </w:r>
      <w:r>
        <w:rPr>
          <w:rFonts w:hint="cs"/>
          <w:rtl/>
        </w:rPr>
        <w:t xml:space="preserve">" הכלכלות, לרבות באמצעות תקצוב ירוק, </w:t>
      </w:r>
      <w:r>
        <w:rPr>
          <w:rFonts w:hint="cs"/>
          <w:rtl/>
        </w:rPr>
        <w:t>וב"</w:t>
      </w:r>
      <w:r w:rsidRPr="00B42220">
        <w:rPr>
          <w:sz w:val="24"/>
          <w:rtl/>
        </w:rPr>
        <w:t>י</w:t>
      </w:r>
      <w:r w:rsidRPr="00B42220">
        <w:rPr>
          <w:rFonts w:hint="cs"/>
          <w:sz w:val="24"/>
          <w:rtl/>
        </w:rPr>
        <w:t>י</w:t>
      </w:r>
      <w:r w:rsidRPr="00B42220">
        <w:rPr>
          <w:sz w:val="24"/>
          <w:rtl/>
        </w:rPr>
        <w:t>ר</w:t>
      </w:r>
      <w:r w:rsidRPr="00B42220">
        <w:rPr>
          <w:rFonts w:hint="cs"/>
          <w:sz w:val="24"/>
          <w:rtl/>
        </w:rPr>
        <w:t>וּ</w:t>
      </w:r>
      <w:r w:rsidRPr="00B42220">
        <w:rPr>
          <w:sz w:val="24"/>
          <w:rtl/>
        </w:rPr>
        <w:t>ק</w:t>
      </w:r>
      <w:r>
        <w:rPr>
          <w:rFonts w:hint="cs"/>
          <w:rtl/>
        </w:rPr>
        <w:t>" המערכת הפיננסית</w:t>
      </w:r>
      <w:r>
        <w:rPr>
          <w:rStyle w:val="FootnoteReference2"/>
          <w:rtl/>
        </w:rPr>
        <w:footnoteReference w:id="2"/>
      </w:r>
      <w:r>
        <w:rPr>
          <w:rFonts w:hint="cs"/>
          <w:rtl/>
        </w:rPr>
        <w:t>. המונח "תקצוב ירוק" מתייחס לתהליך שבו מטמיעים באופן שוטף שיקולי אקלים והיבטים סביבתיים בתוך התהליך התקציבי והפעולות הפיסקליות</w:t>
      </w:r>
      <w:r w:rsidRPr="009B0650">
        <w:rPr>
          <w:rFonts w:hint="cs"/>
          <w:rtl/>
        </w:rPr>
        <w:t xml:space="preserve"> </w:t>
      </w:r>
      <w:r>
        <w:rPr>
          <w:rFonts w:hint="cs"/>
          <w:rtl/>
        </w:rPr>
        <w:t>של מדינה (להלן - תקצוב ירוק). העיסוק בנושא החל בתחילת המאה העשרים ואחת במסגרת סוכנות הפיתוח של האו"ם</w:t>
      </w:r>
      <w:r w:rsidRPr="001B6CD1">
        <w:rPr>
          <w:rFonts w:hint="cs"/>
          <w:sz w:val="24"/>
          <w:rtl/>
        </w:rPr>
        <w:t xml:space="preserve"> (</w:t>
      </w:r>
      <w:r w:rsidRPr="002F2907">
        <w:t>United</w:t>
      </w:r>
      <w:r w:rsidRPr="001B6CD1">
        <w:rPr>
          <w:sz w:val="24"/>
        </w:rPr>
        <w:t xml:space="preserve"> </w:t>
      </w:r>
      <w:r w:rsidRPr="002F2907">
        <w:t>Nations</w:t>
      </w:r>
      <w:r w:rsidRPr="001B6CD1">
        <w:rPr>
          <w:sz w:val="24"/>
        </w:rPr>
        <w:t xml:space="preserve"> </w:t>
      </w:r>
      <w:r w:rsidRPr="002F2907">
        <w:t>Development</w:t>
      </w:r>
      <w:r w:rsidRPr="001B6CD1">
        <w:rPr>
          <w:sz w:val="24"/>
        </w:rPr>
        <w:t xml:space="preserve"> </w:t>
      </w:r>
      <w:r w:rsidRPr="002F2907">
        <w:t>Program</w:t>
      </w:r>
      <w:r>
        <w:rPr>
          <w:rFonts w:hint="cs"/>
          <w:sz w:val="24"/>
          <w:rtl/>
        </w:rPr>
        <w:t xml:space="preserve"> -</w:t>
      </w:r>
      <w:r w:rsidRPr="001B6CD1">
        <w:rPr>
          <w:rFonts w:hint="cs"/>
          <w:sz w:val="24"/>
          <w:rtl/>
        </w:rPr>
        <w:t xml:space="preserve"> </w:t>
      </w:r>
      <w:r w:rsidRPr="002F2907">
        <w:t>UNDP</w:t>
      </w:r>
      <w:r w:rsidRPr="001B6CD1">
        <w:rPr>
          <w:rFonts w:hint="cs"/>
          <w:sz w:val="24"/>
          <w:rtl/>
        </w:rPr>
        <w:t>)</w:t>
      </w:r>
      <w:r>
        <w:rPr>
          <w:rFonts w:hint="cs"/>
          <w:rtl/>
        </w:rPr>
        <w:t xml:space="preserve">, והוא עלה גם במסמך של הבנק העולמי משנת 2014 אשר קשר בין תקציב המדינה ובין אקלים. במסמך הוצגו שבע המלצות לשרי אוצר, ובהן שילוב </w:t>
      </w:r>
      <w:r w:rsidRPr="00F9370C">
        <w:rPr>
          <w:rtl/>
        </w:rPr>
        <w:t>שינויי האקלים בתוך מסגר</w:t>
      </w:r>
      <w:r>
        <w:rPr>
          <w:rFonts w:hint="cs"/>
          <w:rtl/>
        </w:rPr>
        <w:t>ו</w:t>
      </w:r>
      <w:r w:rsidRPr="00F9370C">
        <w:rPr>
          <w:rtl/>
        </w:rPr>
        <w:t>ת תקציבי</w:t>
      </w:r>
      <w:r>
        <w:rPr>
          <w:rFonts w:hint="cs"/>
          <w:rtl/>
        </w:rPr>
        <w:t>ו</w:t>
      </w:r>
      <w:r w:rsidRPr="00F9370C">
        <w:rPr>
          <w:rtl/>
        </w:rPr>
        <w:t>ת לטווח ארוך יותר</w:t>
      </w:r>
      <w:r>
        <w:rPr>
          <w:rFonts w:hint="cs"/>
          <w:rtl/>
        </w:rPr>
        <w:t>;</w:t>
      </w:r>
      <w:r w:rsidRPr="00F9370C">
        <w:rPr>
          <w:rtl/>
        </w:rPr>
        <w:t xml:space="preserve"> </w:t>
      </w:r>
      <w:r w:rsidRPr="00816919">
        <w:rPr>
          <w:rFonts w:hint="cs"/>
          <w:rtl/>
        </w:rPr>
        <w:t>איתות</w:t>
      </w:r>
      <w:r>
        <w:rPr>
          <w:rtl/>
        </w:rPr>
        <w:t xml:space="preserve"> מוקדם וברור</w:t>
      </w:r>
      <w:r>
        <w:rPr>
          <w:rFonts w:hint="cs"/>
          <w:rtl/>
        </w:rPr>
        <w:t>,</w:t>
      </w:r>
      <w:r>
        <w:rPr>
          <w:rtl/>
        </w:rPr>
        <w:t xml:space="preserve"> ב</w:t>
      </w:r>
      <w:r>
        <w:rPr>
          <w:rFonts w:hint="cs"/>
          <w:rtl/>
        </w:rPr>
        <w:t xml:space="preserve">אמצעות </w:t>
      </w:r>
      <w:r>
        <w:rPr>
          <w:rtl/>
        </w:rPr>
        <w:t xml:space="preserve">תהליך </w:t>
      </w:r>
      <w:r>
        <w:rPr>
          <w:rFonts w:hint="cs"/>
          <w:rtl/>
        </w:rPr>
        <w:t xml:space="preserve">בניית </w:t>
      </w:r>
      <w:r>
        <w:rPr>
          <w:rtl/>
        </w:rPr>
        <w:t>התקציב</w:t>
      </w:r>
      <w:r>
        <w:rPr>
          <w:rFonts w:hint="cs"/>
          <w:rtl/>
        </w:rPr>
        <w:t xml:space="preserve">, בדבר </w:t>
      </w:r>
      <w:r>
        <w:rPr>
          <w:rtl/>
        </w:rPr>
        <w:t xml:space="preserve">חשיבות </w:t>
      </w:r>
      <w:r>
        <w:rPr>
          <w:rFonts w:hint="cs"/>
          <w:rtl/>
        </w:rPr>
        <w:t xml:space="preserve">נקיטת פעולות אקלים - פעולות הקשורות בין היתר </w:t>
      </w:r>
      <w:r>
        <w:rPr>
          <w:rFonts w:hint="cs"/>
          <w:rtl/>
        </w:rPr>
        <w:t>במיטיגציה</w:t>
      </w:r>
      <w:r>
        <w:rPr>
          <w:rFonts w:hint="cs"/>
          <w:rtl/>
        </w:rPr>
        <w:t xml:space="preserve"> ואדפטציה - </w:t>
      </w:r>
      <w:r w:rsidRPr="002F2907">
        <w:t>climate</w:t>
      </w:r>
      <w:r w:rsidRPr="00AA173F">
        <w:rPr>
          <w:sz w:val="24"/>
        </w:rPr>
        <w:t xml:space="preserve"> </w:t>
      </w:r>
      <w:r w:rsidRPr="002F2907">
        <w:t>action</w:t>
      </w:r>
      <w:r>
        <w:rPr>
          <w:rFonts w:hint="cs"/>
          <w:rtl/>
        </w:rPr>
        <w:t xml:space="preserve"> (להלן - פעולות אקלים); והטמעת פעולות</w:t>
      </w:r>
      <w:r>
        <w:rPr>
          <w:rtl/>
        </w:rPr>
        <w:t xml:space="preserve"> אקלים</w:t>
      </w:r>
      <w:r w:rsidRPr="00F9370C">
        <w:rPr>
          <w:rtl/>
        </w:rPr>
        <w:t xml:space="preserve"> בתוכניות של </w:t>
      </w:r>
      <w:r>
        <w:rPr>
          <w:rFonts w:hint="cs"/>
          <w:rtl/>
        </w:rPr>
        <w:t xml:space="preserve">משרדי ממשלה </w:t>
      </w:r>
      <w:r w:rsidRPr="00F9370C">
        <w:rPr>
          <w:rtl/>
        </w:rPr>
        <w:t>ו</w:t>
      </w:r>
      <w:r>
        <w:rPr>
          <w:rFonts w:hint="cs"/>
          <w:rtl/>
        </w:rPr>
        <w:t xml:space="preserve">תיעדופן באמצעות </w:t>
      </w:r>
      <w:r>
        <w:rPr>
          <w:rtl/>
        </w:rPr>
        <w:t>הקצ</w:t>
      </w:r>
      <w:r>
        <w:rPr>
          <w:rFonts w:hint="cs"/>
          <w:rtl/>
        </w:rPr>
        <w:t>א</w:t>
      </w:r>
      <w:r w:rsidRPr="00F9370C">
        <w:rPr>
          <w:rtl/>
        </w:rPr>
        <w:t>ת</w:t>
      </w:r>
      <w:r>
        <w:rPr>
          <w:rFonts w:hint="cs"/>
          <w:rtl/>
        </w:rPr>
        <w:t xml:space="preserve"> משאבים</w:t>
      </w:r>
      <w:r w:rsidRPr="00F9370C">
        <w:rPr>
          <w:rtl/>
        </w:rPr>
        <w:t xml:space="preserve"> </w:t>
      </w:r>
      <w:r>
        <w:rPr>
          <w:rFonts w:hint="cs"/>
          <w:rtl/>
        </w:rPr>
        <w:t xml:space="preserve">(תוך קבלת סיוע של </w:t>
      </w:r>
      <w:r w:rsidRPr="00F9370C">
        <w:rPr>
          <w:rtl/>
        </w:rPr>
        <w:t>ועדות בין-</w:t>
      </w:r>
      <w:r>
        <w:rPr>
          <w:rFonts w:hint="cs"/>
          <w:rtl/>
        </w:rPr>
        <w:t>משרדיות</w:t>
      </w:r>
      <w:r w:rsidRPr="00F9370C">
        <w:rPr>
          <w:rtl/>
        </w:rPr>
        <w:t xml:space="preserve"> </w:t>
      </w:r>
      <w:r>
        <w:rPr>
          <w:rFonts w:hint="cs"/>
          <w:rtl/>
        </w:rPr>
        <w:t>בתהליך ההטמעה)</w:t>
      </w:r>
      <w:r>
        <w:rPr>
          <w:rStyle w:val="FootnoteReference2"/>
          <w:rtl/>
        </w:rPr>
        <w:footnoteReference w:id="3"/>
      </w:r>
      <w:r>
        <w:rPr>
          <w:rFonts w:hint="cs"/>
          <w:rtl/>
        </w:rPr>
        <w:t>.</w:t>
      </w:r>
    </w:p>
    <w:p w:rsidR="00F20E3F" w:rsidP="002F2907" w14:paraId="04459B2F" w14:textId="77777777">
      <w:pPr>
        <w:pStyle w:val="7392"/>
        <w:rPr>
          <w:rtl/>
        </w:rPr>
      </w:pPr>
      <w:r>
        <w:rPr>
          <w:rFonts w:hint="cs"/>
          <w:rtl/>
        </w:rPr>
        <w:t>העיסוק בתקצוב ירוק גבר מאז הסכם פריז משנת 2015 והביא להקמת מסגרות בין-לאומיות לשיתופי פעולה המעמידות במרכז את משרדי האוצר של המדינות הפועלות בתחום האקלים ואת המדיניות הכלכלית-פיסקלית שלהן. להלן בלוח כמה דוגמאות למסגרות בולטות:</w:t>
      </w:r>
    </w:p>
    <w:p w:rsidR="00F20E3F" w:rsidRPr="002F2907" w:rsidP="002F2907" w14:paraId="7D5EFC77" w14:textId="1CA1ACCC">
      <w:pPr>
        <w:pStyle w:val="733"/>
        <w:rPr>
          <w:rtl/>
        </w:rPr>
      </w:pPr>
      <w:r w:rsidRPr="00EC18E9">
        <w:rPr>
          <w:rFonts w:hint="eastAsia"/>
          <w:b w:val="0"/>
          <w:bCs w:val="0"/>
          <w:rtl/>
        </w:rPr>
        <w:t>לוח</w:t>
      </w:r>
      <w:r w:rsidRPr="00EC18E9">
        <w:rPr>
          <w:rFonts w:hint="cs"/>
          <w:b w:val="0"/>
          <w:bCs w:val="0"/>
          <w:rtl/>
        </w:rPr>
        <w:t xml:space="preserve"> 14</w:t>
      </w:r>
      <w:r w:rsidRPr="00EC18E9">
        <w:rPr>
          <w:b w:val="0"/>
          <w:bCs w:val="0"/>
          <w:rtl/>
        </w:rPr>
        <w:t>:</w:t>
      </w:r>
      <w:r w:rsidRPr="002F2907">
        <w:rPr>
          <w:rFonts w:hint="cs"/>
          <w:rtl/>
        </w:rPr>
        <w:t xml:space="preserve"> מסגרות בולטות העוסקות בתקצוב ירוק</w:t>
      </w:r>
    </w:p>
    <w:tbl>
      <w:tblPr>
        <w:tblStyle w:val="TableGrid"/>
        <w:bidiVisual/>
        <w:tblW w:w="0" w:type="auto"/>
        <w:tblBorders>
          <w:top w:val="none" w:sz="0" w:space="0" w:color="auto"/>
          <w:left w:val="single" w:sz="4" w:space="0" w:color="000000" w:themeColor="text1"/>
          <w:bottom w:val="none" w:sz="0" w:space="0" w:color="auto"/>
          <w:right w:val="single" w:sz="4" w:space="0" w:color="000000" w:themeColor="text1"/>
          <w:insideH w:val="none" w:sz="0" w:space="0" w:color="auto"/>
          <w:insideV w:val="single" w:sz="4" w:space="0" w:color="000000" w:themeColor="text1"/>
        </w:tblBorders>
        <w:tblLook w:val="04A0"/>
      </w:tblPr>
      <w:tblGrid>
        <w:gridCol w:w="1977"/>
        <w:gridCol w:w="967"/>
        <w:gridCol w:w="4416"/>
      </w:tblGrid>
      <w:tr w14:paraId="650E285F" w14:textId="77777777" w:rsidTr="00EC18E9">
        <w:tblPrEx>
          <w:tblW w:w="0" w:type="auto"/>
          <w:tblBorders>
            <w:top w:val="none" w:sz="0" w:space="0" w:color="auto"/>
            <w:left w:val="single" w:sz="4" w:space="0" w:color="000000" w:themeColor="text1"/>
            <w:bottom w:val="none" w:sz="0" w:space="0" w:color="auto"/>
            <w:right w:val="single" w:sz="4" w:space="0" w:color="000000" w:themeColor="text1"/>
            <w:insideH w:val="none" w:sz="0" w:space="0" w:color="auto"/>
            <w:insideV w:val="single" w:sz="4" w:space="0" w:color="000000" w:themeColor="text1"/>
          </w:tblBorders>
          <w:tblLook w:val="04A0"/>
        </w:tblPrEx>
        <w:trPr>
          <w:tblHeader/>
        </w:trPr>
        <w:tc>
          <w:tcPr>
            <w:tcW w:w="1977" w:type="dxa"/>
            <w:shd w:val="clear" w:color="auto" w:fill="C8DCE4"/>
            <w:vAlign w:val="bottom"/>
          </w:tcPr>
          <w:p w:rsidR="00EC18E9" w:rsidRPr="007179F5" w:rsidP="00711A1D" w14:paraId="5FB352B8" w14:textId="77777777">
            <w:pPr>
              <w:pStyle w:val="73B"/>
              <w:rPr>
                <w:rtl/>
              </w:rPr>
            </w:pPr>
            <w:r w:rsidRPr="007F4888">
              <w:rPr>
                <w:rFonts w:hint="cs"/>
                <w:rtl/>
              </w:rPr>
              <w:t xml:space="preserve">מסגרת הפעולה </w:t>
            </w:r>
          </w:p>
        </w:tc>
        <w:tc>
          <w:tcPr>
            <w:tcW w:w="967" w:type="dxa"/>
            <w:shd w:val="clear" w:color="auto" w:fill="C8DCE4"/>
            <w:vAlign w:val="bottom"/>
          </w:tcPr>
          <w:p w:rsidR="00EC18E9" w:rsidRPr="007179F5" w:rsidP="00711A1D" w14:paraId="7D794BF5" w14:textId="77777777">
            <w:pPr>
              <w:pStyle w:val="73B"/>
              <w:rPr>
                <w:rtl/>
              </w:rPr>
            </w:pPr>
            <w:r w:rsidRPr="007F4888">
              <w:rPr>
                <w:rFonts w:hint="cs"/>
                <w:rtl/>
              </w:rPr>
              <w:t>תחילת הפעילות</w:t>
            </w:r>
          </w:p>
        </w:tc>
        <w:tc>
          <w:tcPr>
            <w:tcW w:w="4416" w:type="dxa"/>
            <w:shd w:val="clear" w:color="auto" w:fill="C8DCE4"/>
            <w:vAlign w:val="bottom"/>
          </w:tcPr>
          <w:p w:rsidR="00EC18E9" w:rsidRPr="007179F5" w:rsidP="00711A1D" w14:paraId="31640485" w14:textId="77777777">
            <w:pPr>
              <w:pStyle w:val="73B"/>
              <w:rPr>
                <w:rtl/>
              </w:rPr>
            </w:pPr>
            <w:r w:rsidRPr="007F4888">
              <w:rPr>
                <w:rFonts w:hint="cs"/>
                <w:rtl/>
              </w:rPr>
              <w:t>מהות הפעילות</w:t>
            </w:r>
          </w:p>
        </w:tc>
      </w:tr>
      <w:tr w14:paraId="51C58F94" w14:textId="77777777" w:rsidTr="00711A1D">
        <w:tblPrEx>
          <w:tblW w:w="0" w:type="auto"/>
          <w:tblLook w:val="04A0"/>
        </w:tblPrEx>
        <w:tc>
          <w:tcPr>
            <w:tcW w:w="1977" w:type="dxa"/>
            <w:shd w:val="clear" w:color="auto" w:fill="DFECEF"/>
          </w:tcPr>
          <w:p w:rsidR="0086740C" w:rsidP="0086740C" w14:paraId="6B2FBE58" w14:textId="77777777">
            <w:pPr>
              <w:pStyle w:val="73R"/>
              <w:rPr>
                <w:rtl/>
              </w:rPr>
            </w:pPr>
            <w:r w:rsidRPr="007F4888">
              <w:t>OECD Paris Collaborative on Green Budgeting</w:t>
            </w:r>
          </w:p>
          <w:p w:rsidR="0086740C" w:rsidP="0086740C" w14:paraId="21A61D26" w14:textId="77777777">
            <w:pPr>
              <w:pStyle w:val="73R"/>
              <w:rPr>
                <w:rtl/>
              </w:rPr>
            </w:pPr>
          </w:p>
          <w:p w:rsidR="0086740C" w:rsidRPr="007179F5" w:rsidP="0086740C" w14:paraId="7CB8F2EC" w14:textId="77777777">
            <w:pPr>
              <w:pStyle w:val="73R"/>
              <w:rPr>
                <w:rtl/>
              </w:rPr>
            </w:pPr>
            <w:r w:rsidRPr="007F4888">
              <w:rPr>
                <w:noProof/>
              </w:rPr>
              <w:drawing>
                <wp:inline distT="0" distB="0" distL="0" distR="0">
                  <wp:extent cx="1073582" cy="272039"/>
                  <wp:effectExtent l="0" t="0" r="0" b="0"/>
                  <wp:docPr id="218" name="תמונה 218" descr="תמונה שמכילה גרפיקה, לוגו, טקסט, עיצוב גרפי&#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9968705" name="תמונה 218" descr="תמונה שמכילה גרפיקה, לוגו, טקסט, עיצוב גרפי&#10;&#10;התיאור נוצר באופן אוטומטי"/>
                          <pic:cNvPicPr/>
                        </pic:nvPicPr>
                        <pic:blipFill>
                          <a:blip xmlns:r="http://schemas.openxmlformats.org/officeDocument/2006/relationships" r:embed="rId31">
                            <a:clrChange>
                              <a:clrFrom>
                                <a:srgbClr val="FFFEFF"/>
                              </a:clrFrom>
                              <a:clrTo>
                                <a:srgbClr val="FFFEFF">
                                  <a:alpha val="0"/>
                                </a:srgbClr>
                              </a:clrTo>
                            </a:clrChange>
                          </a:blip>
                          <a:stretch>
                            <a:fillRect/>
                          </a:stretch>
                        </pic:blipFill>
                        <pic:spPr>
                          <a:xfrm>
                            <a:off x="0" y="0"/>
                            <a:ext cx="1201696" cy="304502"/>
                          </a:xfrm>
                          <a:prstGeom prst="rect">
                            <a:avLst/>
                          </a:prstGeom>
                        </pic:spPr>
                      </pic:pic>
                    </a:graphicData>
                  </a:graphic>
                </wp:inline>
              </w:drawing>
            </w:r>
          </w:p>
        </w:tc>
        <w:tc>
          <w:tcPr>
            <w:tcW w:w="967" w:type="dxa"/>
            <w:shd w:val="clear" w:color="auto" w:fill="DFECEF"/>
          </w:tcPr>
          <w:p w:rsidR="0086740C" w:rsidRPr="007179F5" w:rsidP="0086740C" w14:paraId="5E4C49CF" w14:textId="77777777">
            <w:pPr>
              <w:pStyle w:val="73R"/>
              <w:rPr>
                <w:rtl/>
              </w:rPr>
            </w:pPr>
            <w:r w:rsidRPr="007F4888">
              <w:rPr>
                <w:rFonts w:hint="cs"/>
                <w:rtl/>
              </w:rPr>
              <w:t>2017</w:t>
            </w:r>
          </w:p>
        </w:tc>
        <w:tc>
          <w:tcPr>
            <w:tcW w:w="4416" w:type="dxa"/>
            <w:shd w:val="clear" w:color="auto" w:fill="DFECEF"/>
          </w:tcPr>
          <w:p w:rsidR="0086740C" w:rsidRPr="007179F5" w:rsidP="0086740C" w14:paraId="2FB870A1" w14:textId="2126AFAC">
            <w:pPr>
              <w:pStyle w:val="73R"/>
              <w:spacing w:line="240" w:lineRule="auto"/>
              <w:rPr>
                <w:rtl/>
              </w:rPr>
            </w:pPr>
            <w:r w:rsidRPr="00C45CA7">
              <w:rPr>
                <w:rFonts w:hint="cs"/>
                <w:rtl/>
              </w:rPr>
              <w:t>ארגון ה-</w:t>
            </w:r>
            <w:r w:rsidRPr="00C45CA7">
              <w:t>OECD</w:t>
            </w:r>
            <w:r w:rsidRPr="00C45CA7">
              <w:rPr>
                <w:rtl/>
              </w:rPr>
              <w:t xml:space="preserve"> </w:t>
            </w:r>
            <w:r w:rsidRPr="00C45CA7">
              <w:rPr>
                <w:rFonts w:hint="cs"/>
                <w:rtl/>
              </w:rPr>
              <w:t>עוסק בפיתוח כלים בתחום התקציב הלאומי (</w:t>
            </w:r>
            <w:r w:rsidRPr="00C45CA7">
              <w:t>budgetary tools</w:t>
            </w:r>
            <w:r w:rsidRPr="00C45CA7">
              <w:rPr>
                <w:rFonts w:hint="cs"/>
                <w:rtl/>
              </w:rPr>
              <w:t>) שיסייעו למדינות במימוש התחייבויותיהן בתחום האקלים והסביבה ובהתאמת מסגרת מדיניות לאומית וזרימת הון (</w:t>
            </w:r>
            <w:r w:rsidRPr="00C45CA7">
              <w:t>financial flows</w:t>
            </w:r>
            <w:r w:rsidRPr="00C45CA7">
              <w:rPr>
                <w:rFonts w:hint="cs"/>
                <w:rtl/>
              </w:rPr>
              <w:t xml:space="preserve">) להפחתת פליטות </w:t>
            </w:r>
            <w:r w:rsidRPr="00C45CA7">
              <w:rPr>
                <w:rFonts w:hint="cs"/>
                <w:rtl/>
              </w:rPr>
              <w:t>גז"ח</w:t>
            </w:r>
            <w:r w:rsidRPr="00C45CA7">
              <w:rPr>
                <w:rFonts w:hint="cs"/>
                <w:rtl/>
              </w:rPr>
              <w:t xml:space="preserve">. </w:t>
            </w:r>
          </w:p>
        </w:tc>
      </w:tr>
      <w:tr w14:paraId="0C38F350" w14:textId="77777777" w:rsidTr="00711A1D">
        <w:tblPrEx>
          <w:tblW w:w="0" w:type="auto"/>
          <w:tblLook w:val="04A0"/>
        </w:tblPrEx>
        <w:tc>
          <w:tcPr>
            <w:tcW w:w="1977" w:type="dxa"/>
            <w:shd w:val="clear" w:color="auto" w:fill="F0F8F9"/>
          </w:tcPr>
          <w:p w:rsidR="0086740C" w:rsidP="0086740C" w14:paraId="2321F85C" w14:textId="77777777">
            <w:pPr>
              <w:pStyle w:val="73R"/>
              <w:rPr>
                <w:rtl/>
              </w:rPr>
            </w:pPr>
            <w:r w:rsidRPr="007F4888">
              <w:t>The Coalition of Finance Ministers for Climate Action</w:t>
            </w:r>
          </w:p>
          <w:p w:rsidR="0086740C" w:rsidP="0086740C" w14:paraId="6941A1DC" w14:textId="77777777">
            <w:pPr>
              <w:pStyle w:val="73R"/>
              <w:rPr>
                <w:rtl/>
              </w:rPr>
            </w:pPr>
          </w:p>
          <w:p w:rsidR="0086740C" w:rsidRPr="007179F5" w:rsidP="0086740C" w14:paraId="15EB56DB" w14:textId="77777777">
            <w:pPr>
              <w:pStyle w:val="73R"/>
              <w:rPr>
                <w:rtl/>
              </w:rPr>
            </w:pPr>
            <w:r w:rsidRPr="007F4888">
              <w:rPr>
                <w:noProof/>
              </w:rPr>
              <w:drawing>
                <wp:inline distT="0" distB="0" distL="0" distR="0">
                  <wp:extent cx="1105398" cy="364331"/>
                  <wp:effectExtent l="0" t="0" r="0" b="4445"/>
                  <wp:docPr id="360188354" name="תמונה 360188354" descr="תמונה שמכילה טקסט, גופן, גרפיקה, עיצוב&#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067852" name="תמונה 360188354" descr="תמונה שמכילה טקסט, גופן, גרפיקה, עיצוב&#10;&#10;התיאור נוצר באופן אוטומטי"/>
                          <pic:cNvPicPr/>
                        </pic:nvPicPr>
                        <pic:blipFill>
                          <a:blip xmlns:r="http://schemas.openxmlformats.org/officeDocument/2006/relationships" r:embed="rId32">
                            <a:clrChange>
                              <a:clrFrom>
                                <a:srgbClr val="FFFFFF"/>
                              </a:clrFrom>
                              <a:clrTo>
                                <a:srgbClr val="FFFFFF">
                                  <a:alpha val="0"/>
                                </a:srgbClr>
                              </a:clrTo>
                            </a:clrChange>
                          </a:blip>
                          <a:stretch>
                            <a:fillRect/>
                          </a:stretch>
                        </pic:blipFill>
                        <pic:spPr>
                          <a:xfrm>
                            <a:off x="0" y="0"/>
                            <a:ext cx="1146401" cy="377845"/>
                          </a:xfrm>
                          <a:prstGeom prst="rect">
                            <a:avLst/>
                          </a:prstGeom>
                        </pic:spPr>
                      </pic:pic>
                    </a:graphicData>
                  </a:graphic>
                </wp:inline>
              </w:drawing>
            </w:r>
          </w:p>
        </w:tc>
        <w:tc>
          <w:tcPr>
            <w:tcW w:w="967" w:type="dxa"/>
            <w:shd w:val="clear" w:color="auto" w:fill="F0F8F9"/>
          </w:tcPr>
          <w:p w:rsidR="0086740C" w:rsidRPr="007179F5" w:rsidP="0086740C" w14:paraId="006FD28C" w14:textId="77777777">
            <w:pPr>
              <w:pStyle w:val="73R"/>
              <w:rPr>
                <w:rtl/>
              </w:rPr>
            </w:pPr>
            <w:r w:rsidRPr="007F4888">
              <w:rPr>
                <w:rFonts w:hint="cs"/>
                <w:rtl/>
              </w:rPr>
              <w:t>2019</w:t>
            </w:r>
          </w:p>
        </w:tc>
        <w:tc>
          <w:tcPr>
            <w:tcW w:w="4416" w:type="dxa"/>
            <w:shd w:val="clear" w:color="auto" w:fill="F0F8F9"/>
          </w:tcPr>
          <w:p w:rsidR="0086740C" w:rsidRPr="007179F5" w:rsidP="0086740C" w14:paraId="5CED072B" w14:textId="77777777">
            <w:pPr>
              <w:pStyle w:val="73R"/>
              <w:spacing w:line="240" w:lineRule="auto"/>
              <w:rPr>
                <w:rtl/>
              </w:rPr>
            </w:pPr>
            <w:r w:rsidRPr="007F4888">
              <w:rPr>
                <w:rFonts w:hint="cs"/>
                <w:rtl/>
              </w:rPr>
              <w:t>יוזמת</w:t>
            </w:r>
            <w:r w:rsidRPr="007F4888">
              <w:t>The Coalition of Finance Ministers for Climate Action</w:t>
            </w:r>
            <w:r w:rsidRPr="007F4888">
              <w:rPr>
                <w:rFonts w:hint="cs"/>
                <w:rtl/>
              </w:rPr>
              <w:t xml:space="preserve"> (להלן - קואליציית שרי האוצר או הקואליציה) היא מסגרת משותפת לשרי אוצר מעשרות מדינות להובלת ההתמודדות עם שינויי האקלים ומעבר לפיתוח מופחת פחמן. </w:t>
            </w:r>
          </w:p>
        </w:tc>
      </w:tr>
      <w:tr w14:paraId="7E63048E" w14:textId="77777777" w:rsidTr="00711A1D">
        <w:tblPrEx>
          <w:tblW w:w="0" w:type="auto"/>
          <w:tblLook w:val="04A0"/>
        </w:tblPrEx>
        <w:tc>
          <w:tcPr>
            <w:tcW w:w="1977" w:type="dxa"/>
            <w:shd w:val="clear" w:color="auto" w:fill="DFECEF"/>
          </w:tcPr>
          <w:p w:rsidR="0086740C" w:rsidP="0086740C" w14:paraId="7FDAF836" w14:textId="77777777">
            <w:pPr>
              <w:pStyle w:val="73R"/>
              <w:rPr>
                <w:rtl/>
              </w:rPr>
            </w:pPr>
            <w:r w:rsidRPr="007F4888">
              <w:rPr>
                <w:rFonts w:hint="cs"/>
              </w:rPr>
              <w:t>T</w:t>
            </w:r>
            <w:r w:rsidRPr="007F4888">
              <w:t>he IMF and Climate Change</w:t>
            </w:r>
          </w:p>
          <w:p w:rsidR="0086740C" w:rsidP="0086740C" w14:paraId="0E7119A5" w14:textId="77777777">
            <w:pPr>
              <w:pStyle w:val="73R"/>
              <w:rPr>
                <w:rtl/>
              </w:rPr>
            </w:pPr>
          </w:p>
          <w:p w:rsidR="0086740C" w:rsidP="0086740C" w14:paraId="23F18351" w14:textId="77777777">
            <w:pPr>
              <w:pStyle w:val="73R"/>
              <w:rPr>
                <w:rtl/>
              </w:rPr>
            </w:pPr>
          </w:p>
          <w:p w:rsidR="0086740C" w:rsidRPr="007179F5" w:rsidP="0086740C" w14:paraId="034792FF" w14:textId="77777777">
            <w:pPr>
              <w:pStyle w:val="73R"/>
              <w:spacing w:before="240"/>
              <w:rPr>
                <w:rtl/>
              </w:rPr>
            </w:pPr>
            <w:r>
              <w:rPr>
                <w:noProof/>
              </w:rPr>
              <w:drawing>
                <wp:inline distT="0" distB="0" distL="0" distR="0">
                  <wp:extent cx="595630" cy="530009"/>
                  <wp:effectExtent l="0" t="0" r="1270" b="3810"/>
                  <wp:docPr id="220" name="תמונה 220" descr="תמונה שמכילה טקסט, סימן, סימן מסחרי, לוגו&#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6662448" name="תמונה 220" descr="תמונה שמכילה טקסט, סימן, סימן מסחרי, לוגו&#10;&#10;התיאור נוצר באופן אוטומטי"/>
                          <pic:cNvPicPr/>
                        </pic:nvPicPr>
                        <pic:blipFill>
                          <a:blip xmlns:r="http://schemas.openxmlformats.org/officeDocument/2006/relationships" r:embed="rId33">
                            <a:clrChange>
                              <a:clrFrom>
                                <a:srgbClr val="FFFFFF"/>
                              </a:clrFrom>
                              <a:clrTo>
                                <a:srgbClr val="FFFFFF">
                                  <a:alpha val="0"/>
                                </a:srgbClr>
                              </a:clrTo>
                            </a:clrChange>
                          </a:blip>
                          <a:stretch>
                            <a:fillRect/>
                          </a:stretch>
                        </pic:blipFill>
                        <pic:spPr>
                          <a:xfrm>
                            <a:off x="0" y="0"/>
                            <a:ext cx="642116" cy="571374"/>
                          </a:xfrm>
                          <a:prstGeom prst="rect">
                            <a:avLst/>
                          </a:prstGeom>
                        </pic:spPr>
                      </pic:pic>
                    </a:graphicData>
                  </a:graphic>
                </wp:inline>
              </w:drawing>
            </w:r>
          </w:p>
        </w:tc>
        <w:tc>
          <w:tcPr>
            <w:tcW w:w="967" w:type="dxa"/>
            <w:shd w:val="clear" w:color="auto" w:fill="DFECEF"/>
          </w:tcPr>
          <w:p w:rsidR="0086740C" w:rsidRPr="007179F5" w:rsidP="0086740C" w14:paraId="6BDEE892" w14:textId="77777777">
            <w:pPr>
              <w:pStyle w:val="73R"/>
              <w:rPr>
                <w:rtl/>
              </w:rPr>
            </w:pPr>
            <w:r w:rsidRPr="007F4888">
              <w:rPr>
                <w:rFonts w:hint="cs"/>
                <w:rtl/>
              </w:rPr>
              <w:t>-</w:t>
            </w:r>
          </w:p>
        </w:tc>
        <w:tc>
          <w:tcPr>
            <w:tcW w:w="4416" w:type="dxa"/>
            <w:shd w:val="clear" w:color="auto" w:fill="DFECEF"/>
          </w:tcPr>
          <w:p w:rsidR="0086740C" w:rsidRPr="007179F5" w:rsidP="0086740C" w14:paraId="618D2220" w14:textId="5962E09E">
            <w:pPr>
              <w:pStyle w:val="73R"/>
              <w:spacing w:line="240" w:lineRule="auto"/>
              <w:rPr>
                <w:rtl/>
              </w:rPr>
            </w:pPr>
            <w:r w:rsidRPr="00C45CA7">
              <w:rPr>
                <w:rFonts w:hint="cs"/>
                <w:rtl/>
              </w:rPr>
              <w:t>יוזמת</w:t>
            </w:r>
            <w:r w:rsidRPr="00C45CA7">
              <w:t>The Coalition of Finance Ministers for Climate Action</w:t>
            </w:r>
            <w:r w:rsidRPr="00C45CA7">
              <w:rPr>
                <w:rFonts w:hint="cs"/>
                <w:rtl/>
              </w:rPr>
              <w:t xml:space="preserve"> (להלן - קואליציית שרי האוצר או הקואליציה) היא מסגרת משותפת לשרי אוצר מעשרות מדינות להובלת ההתמודדות עם שינויי האקלים והמעבר לפיתוח מופחת פחמן. </w:t>
            </w:r>
          </w:p>
        </w:tc>
      </w:tr>
    </w:tbl>
    <w:p w:rsidR="00F20E3F" w:rsidRPr="002F2907" w:rsidP="002F2907" w14:paraId="0F97358B" w14:textId="52E54696">
      <w:pPr>
        <w:pStyle w:val="737"/>
        <w:rPr>
          <w:rtl/>
        </w:rPr>
      </w:pPr>
      <w:r w:rsidRPr="002F2907">
        <w:rPr>
          <w:rFonts w:hint="cs"/>
          <w:rtl/>
        </w:rPr>
        <w:t>המקור: ארגון ה-</w:t>
      </w:r>
      <w:r w:rsidRPr="002F2907">
        <w:t>OECD</w:t>
      </w:r>
      <w:r w:rsidRPr="002F2907" w:rsidR="002F2907">
        <w:rPr>
          <w:rFonts w:hint="cs"/>
          <w:sz w:val="2"/>
          <w:szCs w:val="2"/>
          <w:rtl/>
        </w:rPr>
        <w:t xml:space="preserve"> </w:t>
      </w:r>
      <w:r>
        <w:rPr>
          <w:vertAlign w:val="superscript"/>
        </w:rPr>
        <w:footnoteReference w:id="4"/>
      </w:r>
      <w:r w:rsidRPr="002F2907">
        <w:rPr>
          <w:rFonts w:hint="cs"/>
          <w:rtl/>
        </w:rPr>
        <w:t>.</w:t>
      </w:r>
    </w:p>
    <w:p w:rsidR="00F20E3F" w:rsidP="002F2907" w14:paraId="36EDC17B" w14:textId="77777777">
      <w:pPr>
        <w:pStyle w:val="7392"/>
        <w:rPr>
          <w:rtl/>
        </w:rPr>
      </w:pPr>
      <w:r>
        <w:rPr>
          <w:rFonts w:hint="cs"/>
          <w:rtl/>
        </w:rPr>
        <w:t xml:space="preserve">למסגרות אלו ניתן להוסיף גם את </w:t>
      </w:r>
      <w:r w:rsidRPr="00AB4B74">
        <w:rPr>
          <w:rtl/>
        </w:rPr>
        <w:t>מפת הדרכים של האיחוד האירופי לכלכלה מאופסת פחמן, יעילה אנרגטית, מעגלית ותחרותית עד לשנת 2050, הכוללת התחייבויות מפורשות לתקצוב ירוק באיחוד</w:t>
      </w:r>
      <w:r>
        <w:rPr>
          <w:rFonts w:hint="cs"/>
          <w:rtl/>
        </w:rPr>
        <w:t>.</w:t>
      </w:r>
      <w:r w:rsidRPr="00AB4B74">
        <w:rPr>
          <w:rFonts w:hint="cs"/>
          <w:rtl/>
        </w:rPr>
        <w:t xml:space="preserve"> </w:t>
      </w:r>
      <w:r>
        <w:rPr>
          <w:rFonts w:hint="cs"/>
          <w:rtl/>
        </w:rPr>
        <w:t>להלן יפורטו עיקרי ההמלצות של מסגרות אלו:</w:t>
      </w:r>
    </w:p>
    <w:p w:rsidR="00F20E3F" w:rsidP="00287CB1" w14:paraId="5A24570F" w14:textId="6E5C1241">
      <w:pPr>
        <w:pStyle w:val="7114"/>
        <w:numPr>
          <w:ilvl w:val="0"/>
          <w:numId w:val="57"/>
        </w:numPr>
      </w:pPr>
      <w:r w:rsidRPr="00EC18E9">
        <w:rPr>
          <w:rStyle w:val="7371"/>
          <w:rtl/>
        </w:rPr>
        <w:t>קואליציית שרי האוצר לאקלים:</w:t>
      </w:r>
      <w:r w:rsidRPr="00C12E49">
        <w:rPr>
          <w:rtl/>
        </w:rPr>
        <w:t xml:space="preserve"> יוזמה </w:t>
      </w:r>
      <w:r>
        <w:rPr>
          <w:rFonts w:hint="cs"/>
          <w:rtl/>
        </w:rPr>
        <w:t>ש</w:t>
      </w:r>
      <w:r w:rsidRPr="00C12E49">
        <w:rPr>
          <w:rtl/>
        </w:rPr>
        <w:t xml:space="preserve">מובילים שרי אוצר וקובעי מדיניות, </w:t>
      </w:r>
      <w:r>
        <w:rPr>
          <w:rFonts w:hint="cs"/>
          <w:rtl/>
        </w:rPr>
        <w:t>בסיוע ובתמיכה של הבנק העולמי ושל קרן המטבע הבין-</w:t>
      </w:r>
      <w:r w:rsidR="00EC18E9">
        <w:rPr>
          <w:rFonts w:hint="cs"/>
          <w:rtl/>
        </w:rPr>
        <w:t xml:space="preserve">לאומית </w:t>
      </w:r>
      <w:r w:rsidRPr="00EC18E9">
        <w:t>(International Monetary Fund)</w:t>
      </w:r>
      <w:r w:rsidRPr="00FB4353">
        <w:rPr>
          <w:rtl/>
        </w:rPr>
        <w:t xml:space="preserve"> </w:t>
      </w:r>
      <w:r w:rsidRPr="00FB4353">
        <w:rPr>
          <w:rFonts w:hint="cs"/>
          <w:rtl/>
        </w:rPr>
        <w:t>(</w:t>
      </w:r>
      <w:r w:rsidRPr="00FB4353">
        <w:rPr>
          <w:rtl/>
        </w:rPr>
        <w:t>להלן -</w:t>
      </w:r>
      <w:r w:rsidRPr="00FB4353">
        <w:rPr>
          <w:b/>
          <w:bCs/>
          <w:rtl/>
        </w:rPr>
        <w:t xml:space="preserve"> </w:t>
      </w:r>
      <w:r>
        <w:rPr>
          <w:rFonts w:hint="cs"/>
          <w:rtl/>
        </w:rPr>
        <w:t>ה-</w:t>
      </w:r>
      <w:r>
        <w:rPr>
          <w:rFonts w:hint="cs"/>
        </w:rPr>
        <w:t>IMF</w:t>
      </w:r>
      <w:r>
        <w:rPr>
          <w:rFonts w:hint="cs"/>
          <w:rtl/>
        </w:rPr>
        <w:t xml:space="preserve">). העיקרון המנחה של הקואליציה הוא </w:t>
      </w:r>
      <w:r w:rsidRPr="00FB4353">
        <w:rPr>
          <w:rFonts w:hint="cs"/>
          <w:b/>
          <w:bCs/>
          <w:rtl/>
        </w:rPr>
        <w:t>ששרי האוצר מצויים בעמדת הובלה ייחודית בתחום ההתמודדות עם שינויי האקלים בשל הכלים הפיסקליים, הכלכליים והאחרים המצויים בידם</w:t>
      </w:r>
      <w:r>
        <w:rPr>
          <w:rFonts w:hint="cs"/>
          <w:rtl/>
        </w:rPr>
        <w:t>, ועל כן "</w:t>
      </w:r>
      <w:r>
        <w:rPr>
          <w:rtl/>
        </w:rPr>
        <w:t>מחזיקים במפתחות ל</w:t>
      </w:r>
      <w:r>
        <w:rPr>
          <w:rFonts w:hint="cs"/>
          <w:rtl/>
        </w:rPr>
        <w:t>הנעה</w:t>
      </w:r>
      <w:r>
        <w:rPr>
          <w:rtl/>
        </w:rPr>
        <w:t xml:space="preserve"> </w:t>
      </w:r>
      <w:r>
        <w:rPr>
          <w:rFonts w:hint="cs"/>
          <w:rtl/>
        </w:rPr>
        <w:t>ל</w:t>
      </w:r>
      <w:r>
        <w:rPr>
          <w:rtl/>
        </w:rPr>
        <w:t xml:space="preserve">פעולות </w:t>
      </w:r>
      <w:r>
        <w:rPr>
          <w:rtl/>
        </w:rPr>
        <w:t>אקלים.</w:t>
      </w:r>
      <w:r>
        <w:rPr>
          <w:rFonts w:hint="cs"/>
          <w:rtl/>
        </w:rPr>
        <w:t xml:space="preserve"> [ה</w:t>
      </w:r>
      <w:r>
        <w:rPr>
          <w:rtl/>
        </w:rPr>
        <w:t>קואליצי</w:t>
      </w:r>
      <w:r>
        <w:rPr>
          <w:rFonts w:hint="cs"/>
          <w:rtl/>
        </w:rPr>
        <w:t>ה]...</w:t>
      </w:r>
      <w:r>
        <w:rPr>
          <w:rtl/>
        </w:rPr>
        <w:t xml:space="preserve"> מפגישה את קובעי המדיניות הפיסקלית והכלכלית </w:t>
      </w:r>
      <w:r>
        <w:rPr>
          <w:rFonts w:hint="cs"/>
          <w:rtl/>
        </w:rPr>
        <w:t xml:space="preserve">של </w:t>
      </w:r>
      <w:r>
        <w:rPr>
          <w:rtl/>
        </w:rPr>
        <w:t xml:space="preserve">למעלה מ-80 מדינות </w:t>
      </w:r>
      <w:r>
        <w:rPr>
          <w:rFonts w:hint="cs"/>
          <w:rtl/>
        </w:rPr>
        <w:t xml:space="preserve">לצורך </w:t>
      </w:r>
      <w:r>
        <w:rPr>
          <w:rtl/>
        </w:rPr>
        <w:t>הובלת תגובת האקלים העולמית ו</w:t>
      </w:r>
      <w:r>
        <w:rPr>
          <w:rFonts w:hint="cs"/>
          <w:rtl/>
        </w:rPr>
        <w:t>להבטחת</w:t>
      </w:r>
      <w:r>
        <w:rPr>
          <w:rtl/>
        </w:rPr>
        <w:t xml:space="preserve"> מעבר צודק </w:t>
      </w:r>
      <w:r>
        <w:rPr>
          <w:rFonts w:hint="cs"/>
          <w:rtl/>
        </w:rPr>
        <w:t>לכלכלה דלת</w:t>
      </w:r>
      <w:r>
        <w:rPr>
          <w:rtl/>
        </w:rPr>
        <w:t xml:space="preserve"> פחמן.</w:t>
      </w:r>
      <w:r>
        <w:rPr>
          <w:rFonts w:hint="cs"/>
          <w:rtl/>
        </w:rPr>
        <w:t xml:space="preserve"> </w:t>
      </w:r>
      <w:r>
        <w:rPr>
          <w:rtl/>
        </w:rPr>
        <w:t>שרי האוצר יודעים בצורה הברורה ביותר את ההשלכות הכלכליות של שינויי האקלים</w:t>
      </w:r>
      <w:r>
        <w:rPr>
          <w:rFonts w:hint="cs"/>
          <w:rtl/>
        </w:rPr>
        <w:t xml:space="preserve">... </w:t>
      </w:r>
      <w:r>
        <w:rPr>
          <w:rtl/>
        </w:rPr>
        <w:t xml:space="preserve">הם יכולים גם למלא תפקיד מוביל </w:t>
      </w:r>
      <w:r>
        <w:rPr>
          <w:rFonts w:hint="cs"/>
          <w:rtl/>
        </w:rPr>
        <w:t xml:space="preserve">בנושא </w:t>
      </w:r>
      <w:r>
        <w:rPr>
          <w:rtl/>
        </w:rPr>
        <w:t xml:space="preserve">על ידי </w:t>
      </w:r>
      <w:r>
        <w:rPr>
          <w:rtl/>
        </w:rPr>
        <w:t>ת</w:t>
      </w:r>
      <w:r>
        <w:rPr>
          <w:rFonts w:hint="cs"/>
          <w:rtl/>
        </w:rPr>
        <w:t>ימרוץ</w:t>
      </w:r>
      <w:r>
        <w:rPr>
          <w:rtl/>
        </w:rPr>
        <w:t xml:space="preserve"> הוצאות ציבוריות מבוססות </w:t>
      </w:r>
      <w:r>
        <w:rPr>
          <w:rFonts w:hint="cs"/>
          <w:rtl/>
        </w:rPr>
        <w:t>ידע על השפעתן על ה</w:t>
      </w:r>
      <w:r>
        <w:rPr>
          <w:rtl/>
        </w:rPr>
        <w:t>אקלים ו</w:t>
      </w:r>
      <w:r>
        <w:rPr>
          <w:rFonts w:hint="cs"/>
          <w:rtl/>
        </w:rPr>
        <w:t xml:space="preserve">כן </w:t>
      </w:r>
      <w:r>
        <w:rPr>
          <w:rtl/>
        </w:rPr>
        <w:t xml:space="preserve">שימוש בכלים פיסקאליים אקלימיים כגון מס פחמן וסחר בפליטות כדי לצמצם פליטות </w:t>
      </w:r>
      <w:r>
        <w:rPr>
          <w:rtl/>
        </w:rPr>
        <w:t>ולתעדף</w:t>
      </w:r>
      <w:r>
        <w:rPr>
          <w:rtl/>
        </w:rPr>
        <w:t xml:space="preserve"> צמיחה </w:t>
      </w:r>
      <w:r>
        <w:rPr>
          <w:rFonts w:hint="cs"/>
          <w:rtl/>
        </w:rPr>
        <w:t>דלת פחמן"</w:t>
      </w:r>
      <w:r>
        <w:rPr>
          <w:rtl/>
        </w:rPr>
        <w:t xml:space="preserve">. </w:t>
      </w:r>
    </w:p>
    <w:p w:rsidR="00F20E3F" w:rsidP="00703BF5" w14:paraId="3F2CD050" w14:textId="77777777">
      <w:pPr>
        <w:pStyle w:val="7316"/>
        <w:rPr>
          <w:rtl/>
        </w:rPr>
      </w:pPr>
      <w:r>
        <w:rPr>
          <w:rFonts w:hint="cs"/>
          <w:rtl/>
        </w:rPr>
        <w:t xml:space="preserve">במפגש של 26 שרי אוצר אשר התקיים בהלסינקי בפברואר 2019 הכריזו השרים על ייסוד קואליציית שרי אוצר </w:t>
      </w:r>
      <w:r w:rsidRPr="00B924C3">
        <w:rPr>
          <w:rtl/>
        </w:rPr>
        <w:t>לשינויי האקלים</w:t>
      </w:r>
      <w:r>
        <w:rPr>
          <w:rFonts w:hint="cs"/>
          <w:rtl/>
        </w:rPr>
        <w:t>, וכי יפעלו במסגרת תחומי אחריותם וסמכויותיהם הלאומיות לאור שישה עקרונות הקרויים "עקרונות הלסינקי",</w:t>
      </w:r>
      <w:r w:rsidRPr="00C72741">
        <w:rPr>
          <w:rtl/>
        </w:rPr>
        <w:t xml:space="preserve"> </w:t>
      </w:r>
      <w:r>
        <w:rPr>
          <w:rtl/>
        </w:rPr>
        <w:t>המקדמים פעולה אקלימית לאומית באמצעות מדיניות פיסקלית ושימוש במימון ציבורי</w:t>
      </w:r>
      <w:r>
        <w:rPr>
          <w:rFonts w:hint="cs"/>
          <w:rtl/>
        </w:rPr>
        <w:t xml:space="preserve">. </w:t>
      </w:r>
      <w:r w:rsidRPr="00C12E49">
        <w:rPr>
          <w:rtl/>
        </w:rPr>
        <w:t xml:space="preserve">נכון </w:t>
      </w:r>
      <w:r>
        <w:rPr>
          <w:rFonts w:hint="cs"/>
          <w:rtl/>
        </w:rPr>
        <w:t>לאוגוסט</w:t>
      </w:r>
      <w:r w:rsidRPr="00C12E49">
        <w:rPr>
          <w:rtl/>
        </w:rPr>
        <w:t xml:space="preserve"> 2023</w:t>
      </w:r>
      <w:r>
        <w:rPr>
          <w:rFonts w:hint="cs"/>
          <w:rtl/>
        </w:rPr>
        <w:t xml:space="preserve"> חברות בקואליציה 90</w:t>
      </w:r>
      <w:r w:rsidRPr="00C12E49">
        <w:rPr>
          <w:rtl/>
        </w:rPr>
        <w:t xml:space="preserve"> מדינות</w:t>
      </w:r>
      <w:r>
        <w:rPr>
          <w:rStyle w:val="FootnoteReference2"/>
          <w:rtl/>
        </w:rPr>
        <w:footnoteReference w:id="5"/>
      </w:r>
      <w:r>
        <w:rPr>
          <w:rFonts w:hint="cs"/>
          <w:rtl/>
        </w:rPr>
        <w:t xml:space="preserve"> (מדינת ישראל אינה אחת מהן), ושרי האוצר של יותר</w:t>
      </w:r>
      <w:r>
        <w:rPr>
          <w:rtl/>
        </w:rPr>
        <w:t xml:space="preserve"> מ-70 מדינות חתו</w:t>
      </w:r>
      <w:r>
        <w:rPr>
          <w:rFonts w:hint="cs"/>
          <w:rtl/>
        </w:rPr>
        <w:t>מים</w:t>
      </w:r>
      <w:r>
        <w:rPr>
          <w:rtl/>
        </w:rPr>
        <w:t xml:space="preserve"> על </w:t>
      </w:r>
      <w:r>
        <w:rPr>
          <w:rFonts w:hint="cs"/>
          <w:rtl/>
        </w:rPr>
        <w:t>ששת ה</w:t>
      </w:r>
      <w:r>
        <w:rPr>
          <w:rtl/>
        </w:rPr>
        <w:t>עקרונות</w:t>
      </w:r>
      <w:r>
        <w:rPr>
          <w:rFonts w:hint="cs"/>
          <w:rtl/>
        </w:rPr>
        <w:t>. ואלו הם</w:t>
      </w:r>
      <w:r>
        <w:rPr>
          <w:rStyle w:val="FootnoteReference2"/>
          <w:rtl/>
        </w:rPr>
        <w:footnoteReference w:id="6"/>
      </w:r>
      <w:r>
        <w:rPr>
          <w:rFonts w:hint="cs"/>
          <w:rtl/>
        </w:rPr>
        <w:t>:</w:t>
      </w:r>
    </w:p>
    <w:tbl>
      <w:tblPr>
        <w:tblStyle w:val="TableGrid"/>
        <w:bidiVisual/>
        <w:tblW w:w="0" w:type="auto"/>
        <w:tblInd w:w="422" w:type="dxa"/>
        <w:tblBorders>
          <w:top w:val="none" w:sz="0" w:space="0" w:color="auto"/>
          <w:left w:val="single" w:sz="4" w:space="0" w:color="000000" w:themeColor="text1"/>
          <w:bottom w:val="none" w:sz="0" w:space="0" w:color="auto"/>
          <w:right w:val="single" w:sz="4" w:space="0" w:color="000000" w:themeColor="text1"/>
          <w:insideH w:val="none" w:sz="0" w:space="0" w:color="auto"/>
          <w:insideV w:val="none" w:sz="0" w:space="0" w:color="auto"/>
        </w:tblBorders>
        <w:shd w:val="clear" w:color="auto" w:fill="DFECEF"/>
        <w:tblLook w:val="04A0"/>
      </w:tblPr>
      <w:tblGrid>
        <w:gridCol w:w="6938"/>
      </w:tblGrid>
      <w:tr w14:paraId="4DF3C4DB" w14:textId="77777777" w:rsidTr="00EB66C1">
        <w:tblPrEx>
          <w:tblW w:w="0" w:type="auto"/>
          <w:tblInd w:w="422" w:type="dxa"/>
          <w:tblBorders>
            <w:top w:val="none" w:sz="0" w:space="0" w:color="auto"/>
            <w:left w:val="single" w:sz="4" w:space="0" w:color="000000" w:themeColor="text1"/>
            <w:bottom w:val="none" w:sz="0" w:space="0" w:color="auto"/>
            <w:right w:val="single" w:sz="4" w:space="0" w:color="000000" w:themeColor="text1"/>
            <w:insideH w:val="none" w:sz="0" w:space="0" w:color="auto"/>
            <w:insideV w:val="none" w:sz="0" w:space="0" w:color="auto"/>
          </w:tblBorders>
          <w:shd w:val="clear" w:color="auto" w:fill="DFECEF"/>
          <w:tblLook w:val="04A0"/>
        </w:tblPrEx>
        <w:tc>
          <w:tcPr>
            <w:tcW w:w="6938" w:type="dxa"/>
            <w:shd w:val="clear" w:color="auto" w:fill="C8DCE4"/>
          </w:tcPr>
          <w:p w:rsidR="00EB66C1" w:rsidRPr="00040EBB" w:rsidP="00711A1D" w14:paraId="42B5A7D1" w14:textId="77777777">
            <w:pPr>
              <w:pStyle w:val="73B"/>
              <w:rPr>
                <w:rtl/>
              </w:rPr>
            </w:pPr>
            <w:r>
              <w:rPr>
                <w:rFonts w:hint="cs"/>
                <w:rtl/>
              </w:rPr>
              <w:t xml:space="preserve">ששת </w:t>
            </w:r>
            <w:r w:rsidRPr="00040EBB">
              <w:rPr>
                <w:rFonts w:hint="cs"/>
                <w:rtl/>
              </w:rPr>
              <w:t>עקרונות הלסינקי עליהם חתמו שרי האוצר החברים בקואליציית שרי האוצר</w:t>
            </w:r>
          </w:p>
        </w:tc>
      </w:tr>
      <w:tr w14:paraId="2C5604E6" w14:textId="77777777" w:rsidTr="00EB66C1">
        <w:tblPrEx>
          <w:tblW w:w="0" w:type="auto"/>
          <w:tblInd w:w="422" w:type="dxa"/>
          <w:shd w:val="clear" w:color="auto" w:fill="DFECEF"/>
          <w:tblLook w:val="04A0"/>
        </w:tblPrEx>
        <w:tc>
          <w:tcPr>
            <w:tcW w:w="6938" w:type="dxa"/>
            <w:shd w:val="clear" w:color="auto" w:fill="DFECEF"/>
          </w:tcPr>
          <w:p w:rsidR="00EB66C1" w:rsidRPr="007179F5" w:rsidP="00287CB1" w14:paraId="1BD3EDC9" w14:textId="28FB6DA5">
            <w:pPr>
              <w:pStyle w:val="73R"/>
              <w:numPr>
                <w:ilvl w:val="0"/>
                <w:numId w:val="60"/>
              </w:numPr>
              <w:spacing w:line="240" w:lineRule="auto"/>
              <w:ind w:left="312" w:hanging="284"/>
              <w:rPr>
                <w:rtl/>
              </w:rPr>
            </w:pPr>
            <w:r w:rsidRPr="00C45CA7">
              <w:rPr>
                <w:rFonts w:hint="cs"/>
                <w:b/>
                <w:bCs/>
                <w:rtl/>
              </w:rPr>
              <w:t>להתאים</w:t>
            </w:r>
            <w:r w:rsidRPr="00C45CA7">
              <w:rPr>
                <w:rFonts w:hint="cs"/>
                <w:rtl/>
              </w:rPr>
              <w:t xml:space="preserve"> (</w:t>
            </w:r>
            <w:r w:rsidRPr="00C45CA7">
              <w:t>align</w:t>
            </w:r>
            <w:r w:rsidRPr="00C45CA7">
              <w:rPr>
                <w:rFonts w:hint="cs"/>
                <w:rtl/>
              </w:rPr>
              <w:t>)</w:t>
            </w:r>
            <w:r w:rsidRPr="00C45CA7">
              <w:rPr>
                <w:rtl/>
              </w:rPr>
              <w:t xml:space="preserve"> את המדיניות והנהלים שלנו </w:t>
            </w:r>
            <w:r w:rsidRPr="00C45CA7">
              <w:rPr>
                <w:rFonts w:hint="cs"/>
                <w:rtl/>
              </w:rPr>
              <w:t>ל</w:t>
            </w:r>
            <w:r w:rsidRPr="00C45CA7">
              <w:rPr>
                <w:rtl/>
              </w:rPr>
              <w:t xml:space="preserve">התחייבויות </w:t>
            </w:r>
            <w:r w:rsidRPr="00C45CA7">
              <w:rPr>
                <w:rFonts w:hint="cs"/>
                <w:rtl/>
              </w:rPr>
              <w:t>שב</w:t>
            </w:r>
            <w:r w:rsidRPr="00C45CA7">
              <w:rPr>
                <w:rtl/>
              </w:rPr>
              <w:t>הסכם פריז</w:t>
            </w:r>
            <w:r>
              <w:rPr>
                <w:rFonts w:hint="cs"/>
                <w:rtl/>
              </w:rPr>
              <w:t>.</w:t>
            </w:r>
          </w:p>
        </w:tc>
      </w:tr>
      <w:tr w14:paraId="4A266F86" w14:textId="77777777" w:rsidTr="00EB66C1">
        <w:tblPrEx>
          <w:tblW w:w="0" w:type="auto"/>
          <w:tblInd w:w="422" w:type="dxa"/>
          <w:shd w:val="clear" w:color="auto" w:fill="DFECEF"/>
          <w:tblLook w:val="04A0"/>
        </w:tblPrEx>
        <w:tc>
          <w:tcPr>
            <w:tcW w:w="6938" w:type="dxa"/>
            <w:shd w:val="clear" w:color="auto" w:fill="F0F8F9"/>
            <w:vAlign w:val="center"/>
          </w:tcPr>
          <w:p w:rsidR="00EB66C1" w:rsidRPr="00040EBB" w:rsidP="00287CB1" w14:paraId="7B06ACF7" w14:textId="700EB066">
            <w:pPr>
              <w:pStyle w:val="73R"/>
              <w:numPr>
                <w:ilvl w:val="0"/>
                <w:numId w:val="60"/>
              </w:numPr>
              <w:spacing w:line="240" w:lineRule="auto"/>
              <w:ind w:left="312" w:hanging="284"/>
              <w:rPr>
                <w:b/>
                <w:bCs/>
                <w:rtl/>
              </w:rPr>
            </w:pPr>
            <w:r w:rsidRPr="00C45CA7">
              <w:rPr>
                <w:rFonts w:hint="cs"/>
                <w:b/>
                <w:bCs/>
                <w:rtl/>
              </w:rPr>
              <w:t>ל</w:t>
            </w:r>
            <w:r w:rsidRPr="00C45CA7">
              <w:rPr>
                <w:b/>
                <w:bCs/>
                <w:rtl/>
              </w:rPr>
              <w:t>שתף</w:t>
            </w:r>
            <w:r w:rsidRPr="00C45CA7">
              <w:rPr>
                <w:rtl/>
              </w:rPr>
              <w:t xml:space="preserve"> </w:t>
            </w:r>
            <w:r w:rsidRPr="00C45CA7">
              <w:rPr>
                <w:rFonts w:hint="cs"/>
                <w:rtl/>
              </w:rPr>
              <w:t>זה את זה ב</w:t>
            </w:r>
            <w:r w:rsidRPr="00C45CA7">
              <w:rPr>
                <w:rtl/>
              </w:rPr>
              <w:t>ניסיון ו</w:t>
            </w:r>
            <w:r w:rsidRPr="00C45CA7">
              <w:rPr>
                <w:rFonts w:hint="cs"/>
                <w:rtl/>
              </w:rPr>
              <w:t>ב</w:t>
            </w:r>
            <w:r w:rsidRPr="00C45CA7">
              <w:rPr>
                <w:rtl/>
              </w:rPr>
              <w:t xml:space="preserve">מומחיות </w:t>
            </w:r>
            <w:r w:rsidRPr="00C45CA7">
              <w:rPr>
                <w:rFonts w:hint="cs"/>
                <w:rtl/>
              </w:rPr>
              <w:t>שצברנו</w:t>
            </w:r>
            <w:r w:rsidRPr="00C45CA7">
              <w:rPr>
                <w:rtl/>
              </w:rPr>
              <w:t xml:space="preserve"> </w:t>
            </w:r>
            <w:r w:rsidRPr="00C45CA7">
              <w:rPr>
                <w:rFonts w:hint="cs"/>
                <w:rtl/>
              </w:rPr>
              <w:t>כדי</w:t>
            </w:r>
            <w:r w:rsidRPr="00C45CA7">
              <w:rPr>
                <w:rtl/>
              </w:rPr>
              <w:t xml:space="preserve"> לספק </w:t>
            </w:r>
            <w:r w:rsidRPr="00C45CA7">
              <w:rPr>
                <w:rFonts w:hint="cs"/>
                <w:rtl/>
              </w:rPr>
              <w:t>תמיכה הדדית</w:t>
            </w:r>
            <w:r w:rsidRPr="00C45CA7">
              <w:rPr>
                <w:rtl/>
              </w:rPr>
              <w:t xml:space="preserve"> ולקדם הבנה קולקטיבית של מדיניות </w:t>
            </w:r>
            <w:r w:rsidRPr="00C45CA7">
              <w:rPr>
                <w:rtl/>
              </w:rPr>
              <w:t>ופרקטיקות</w:t>
            </w:r>
            <w:r w:rsidRPr="00C45CA7">
              <w:rPr>
                <w:rtl/>
              </w:rPr>
              <w:t xml:space="preserve"> לפעול</w:t>
            </w:r>
            <w:r w:rsidRPr="00C45CA7">
              <w:rPr>
                <w:rFonts w:hint="cs"/>
                <w:rtl/>
              </w:rPr>
              <w:t>ו</w:t>
            </w:r>
            <w:r w:rsidRPr="00C45CA7">
              <w:rPr>
                <w:rtl/>
              </w:rPr>
              <w:t>ת אקלים</w:t>
            </w:r>
            <w:r>
              <w:rPr>
                <w:rFonts w:hint="cs"/>
                <w:b/>
                <w:bCs/>
                <w:rtl/>
              </w:rPr>
              <w:t>.</w:t>
            </w:r>
          </w:p>
        </w:tc>
      </w:tr>
      <w:tr w14:paraId="4296DC79" w14:textId="77777777" w:rsidTr="00EB66C1">
        <w:tblPrEx>
          <w:tblW w:w="0" w:type="auto"/>
          <w:tblInd w:w="422" w:type="dxa"/>
          <w:shd w:val="clear" w:color="auto" w:fill="DFECEF"/>
          <w:tblLook w:val="04A0"/>
        </w:tblPrEx>
        <w:tc>
          <w:tcPr>
            <w:tcW w:w="6938" w:type="dxa"/>
            <w:shd w:val="clear" w:color="auto" w:fill="DFECEF"/>
            <w:vAlign w:val="center"/>
          </w:tcPr>
          <w:p w:rsidR="00EB66C1" w:rsidRPr="00040EBB" w:rsidP="00287CB1" w14:paraId="3F9141D2" w14:textId="2222FBA0">
            <w:pPr>
              <w:pStyle w:val="73R"/>
              <w:numPr>
                <w:ilvl w:val="0"/>
                <w:numId w:val="60"/>
              </w:numPr>
              <w:spacing w:line="240" w:lineRule="auto"/>
              <w:ind w:left="312" w:hanging="284"/>
              <w:rPr>
                <w:b/>
                <w:bCs/>
                <w:rtl/>
              </w:rPr>
            </w:pPr>
            <w:r w:rsidRPr="00C45CA7">
              <w:rPr>
                <w:rFonts w:hint="cs"/>
                <w:b/>
                <w:bCs/>
                <w:rtl/>
              </w:rPr>
              <w:t>לפעול</w:t>
            </w:r>
            <w:r w:rsidRPr="00C45CA7">
              <w:rPr>
                <w:rtl/>
              </w:rPr>
              <w:t xml:space="preserve"> ל</w:t>
            </w:r>
            <w:r w:rsidRPr="00C45CA7">
              <w:rPr>
                <w:rFonts w:hint="cs"/>
                <w:rtl/>
              </w:rPr>
              <w:t>נקיטת</w:t>
            </w:r>
            <w:r w:rsidRPr="00C45CA7">
              <w:rPr>
                <w:rtl/>
              </w:rPr>
              <w:t xml:space="preserve"> צעדים שיביאו לתמחור יעיל של פחמן</w:t>
            </w:r>
            <w:r>
              <w:rPr>
                <w:rFonts w:hint="cs"/>
                <w:rtl/>
              </w:rPr>
              <w:t>.</w:t>
            </w:r>
          </w:p>
        </w:tc>
      </w:tr>
      <w:tr w14:paraId="5903AC02" w14:textId="77777777" w:rsidTr="00EB66C1">
        <w:tblPrEx>
          <w:tblW w:w="0" w:type="auto"/>
          <w:tblInd w:w="422" w:type="dxa"/>
          <w:shd w:val="clear" w:color="auto" w:fill="DFECEF"/>
          <w:tblLook w:val="04A0"/>
        </w:tblPrEx>
        <w:tc>
          <w:tcPr>
            <w:tcW w:w="6938" w:type="dxa"/>
            <w:shd w:val="clear" w:color="auto" w:fill="F0F8F9"/>
            <w:vAlign w:val="center"/>
          </w:tcPr>
          <w:p w:rsidR="00EB66C1" w:rsidRPr="00040EBB" w:rsidP="00287CB1" w14:paraId="3094D6DD" w14:textId="12088573">
            <w:pPr>
              <w:pStyle w:val="73R"/>
              <w:numPr>
                <w:ilvl w:val="0"/>
                <w:numId w:val="60"/>
              </w:numPr>
              <w:spacing w:line="240" w:lineRule="auto"/>
              <w:ind w:left="312" w:hanging="284"/>
              <w:rPr>
                <w:b/>
                <w:bCs/>
                <w:rtl/>
              </w:rPr>
            </w:pPr>
            <w:r w:rsidRPr="00C45CA7">
              <w:rPr>
                <w:rFonts w:hint="cs"/>
                <w:b/>
                <w:bCs/>
                <w:rtl/>
              </w:rPr>
              <w:t>להביא</w:t>
            </w:r>
            <w:r w:rsidRPr="00C45CA7">
              <w:rPr>
                <w:b/>
                <w:bCs/>
                <w:rtl/>
              </w:rPr>
              <w:t xml:space="preserve"> בחשבון</w:t>
            </w:r>
            <w:r w:rsidRPr="00C45CA7">
              <w:rPr>
                <w:rtl/>
              </w:rPr>
              <w:t xml:space="preserve"> </w:t>
            </w:r>
            <w:r w:rsidRPr="00C45CA7">
              <w:rPr>
                <w:rFonts w:hint="cs"/>
                <w:rtl/>
              </w:rPr>
              <w:t xml:space="preserve">את </w:t>
            </w:r>
            <w:r w:rsidRPr="00C45CA7">
              <w:rPr>
                <w:rtl/>
              </w:rPr>
              <w:t>שינויי האקלים במדיניות מקרו</w:t>
            </w:r>
            <w:r w:rsidRPr="00C45CA7">
              <w:rPr>
                <w:rFonts w:hint="cs"/>
                <w:rtl/>
              </w:rPr>
              <w:t>-</w:t>
            </w:r>
            <w:r w:rsidRPr="00C45CA7">
              <w:rPr>
                <w:rtl/>
              </w:rPr>
              <w:t xml:space="preserve">כלכלית, </w:t>
            </w:r>
            <w:r w:rsidRPr="00C45CA7">
              <w:rPr>
                <w:rFonts w:hint="cs"/>
                <w:rtl/>
              </w:rPr>
              <w:t>ב</w:t>
            </w:r>
            <w:r w:rsidRPr="00C45CA7">
              <w:rPr>
                <w:rtl/>
              </w:rPr>
              <w:t xml:space="preserve">תכנון פיסקלי, </w:t>
            </w:r>
            <w:r w:rsidRPr="00C45CA7">
              <w:rPr>
                <w:rFonts w:hint="cs"/>
                <w:rtl/>
              </w:rPr>
              <w:t>ב</w:t>
            </w:r>
            <w:r w:rsidRPr="00C45CA7">
              <w:rPr>
                <w:rtl/>
              </w:rPr>
              <w:t xml:space="preserve">תקצוב, </w:t>
            </w:r>
            <w:r w:rsidRPr="00C45CA7">
              <w:rPr>
                <w:rFonts w:hint="cs"/>
                <w:rtl/>
              </w:rPr>
              <w:t>ב</w:t>
            </w:r>
            <w:r w:rsidRPr="00C45CA7">
              <w:rPr>
                <w:rtl/>
              </w:rPr>
              <w:t>ניהול השקעות ציבוריות ו</w:t>
            </w:r>
            <w:r w:rsidRPr="00C45CA7">
              <w:rPr>
                <w:rFonts w:hint="cs"/>
                <w:rtl/>
              </w:rPr>
              <w:t>ב</w:t>
            </w:r>
            <w:r w:rsidRPr="00C45CA7">
              <w:rPr>
                <w:rtl/>
              </w:rPr>
              <w:t>נ</w:t>
            </w:r>
            <w:r w:rsidRPr="00C45CA7">
              <w:rPr>
                <w:rFonts w:hint="cs"/>
                <w:rtl/>
              </w:rPr>
              <w:t>ו</w:t>
            </w:r>
            <w:r w:rsidRPr="00C45CA7">
              <w:rPr>
                <w:rtl/>
              </w:rPr>
              <w:t>הלי רכש</w:t>
            </w:r>
            <w:r>
              <w:rPr>
                <w:rFonts w:hint="cs"/>
                <w:rtl/>
              </w:rPr>
              <w:t>.</w:t>
            </w:r>
          </w:p>
        </w:tc>
      </w:tr>
      <w:tr w14:paraId="51F254C2" w14:textId="77777777" w:rsidTr="00EB66C1">
        <w:tblPrEx>
          <w:tblW w:w="0" w:type="auto"/>
          <w:tblInd w:w="422" w:type="dxa"/>
          <w:shd w:val="clear" w:color="auto" w:fill="DFECEF"/>
          <w:tblLook w:val="04A0"/>
        </w:tblPrEx>
        <w:tc>
          <w:tcPr>
            <w:tcW w:w="6938" w:type="dxa"/>
            <w:shd w:val="clear" w:color="auto" w:fill="DFECEF"/>
            <w:vAlign w:val="center"/>
          </w:tcPr>
          <w:p w:rsidR="00EB66C1" w:rsidRPr="00040EBB" w:rsidP="00287CB1" w14:paraId="7CEAACC1" w14:textId="56C8C7A8">
            <w:pPr>
              <w:pStyle w:val="73R"/>
              <w:numPr>
                <w:ilvl w:val="0"/>
                <w:numId w:val="60"/>
              </w:numPr>
              <w:spacing w:line="240" w:lineRule="auto"/>
              <w:ind w:left="312" w:hanging="284"/>
              <w:rPr>
                <w:b/>
                <w:bCs/>
                <w:rtl/>
              </w:rPr>
            </w:pPr>
            <w:r w:rsidRPr="00C45CA7">
              <w:rPr>
                <w:rFonts w:hint="cs"/>
                <w:b/>
                <w:bCs/>
                <w:rtl/>
              </w:rPr>
              <w:t>לנייד</w:t>
            </w:r>
            <w:r w:rsidRPr="00C45CA7">
              <w:rPr>
                <w:rtl/>
              </w:rPr>
              <w:t xml:space="preserve"> מקורות</w:t>
            </w:r>
            <w:r w:rsidRPr="00C45CA7">
              <w:rPr>
                <w:rFonts w:hint="cs"/>
                <w:rtl/>
              </w:rPr>
              <w:t xml:space="preserve"> מימון</w:t>
            </w:r>
            <w:r w:rsidRPr="00C45CA7">
              <w:rPr>
                <w:rtl/>
              </w:rPr>
              <w:t xml:space="preserve"> פרטיים ל</w:t>
            </w:r>
            <w:r w:rsidRPr="00C45CA7">
              <w:rPr>
                <w:rFonts w:hint="cs"/>
                <w:rtl/>
              </w:rPr>
              <w:t xml:space="preserve">פעולות </w:t>
            </w:r>
            <w:r w:rsidRPr="00C45CA7">
              <w:rPr>
                <w:rtl/>
              </w:rPr>
              <w:t xml:space="preserve">אקלים על ידי </w:t>
            </w:r>
            <w:r w:rsidRPr="00C45CA7">
              <w:rPr>
                <w:rFonts w:hint="cs"/>
                <w:rtl/>
              </w:rPr>
              <w:t xml:space="preserve">הקלת ביצוע </w:t>
            </w:r>
            <w:r w:rsidRPr="00C45CA7">
              <w:rPr>
                <w:rtl/>
              </w:rPr>
              <w:t xml:space="preserve">השקעות ופיתוח מגזר פיננסי התומך </w:t>
            </w:r>
            <w:r w:rsidRPr="00C45CA7">
              <w:rPr>
                <w:rtl/>
              </w:rPr>
              <w:t>ב</w:t>
            </w:r>
            <w:r w:rsidRPr="00C45CA7">
              <w:rPr>
                <w:rFonts w:hint="cs"/>
                <w:rtl/>
              </w:rPr>
              <w:t>מיטיגציה</w:t>
            </w:r>
            <w:r w:rsidRPr="00C45CA7">
              <w:rPr>
                <w:rFonts w:hint="cs"/>
                <w:rtl/>
              </w:rPr>
              <w:t xml:space="preserve"> ובאדפטציה </w:t>
            </w:r>
            <w:r w:rsidRPr="00C45CA7">
              <w:rPr>
                <w:rtl/>
              </w:rPr>
              <w:t>ל</w:t>
            </w:r>
            <w:r w:rsidRPr="00C45CA7">
              <w:rPr>
                <w:rFonts w:hint="cs"/>
                <w:rtl/>
              </w:rPr>
              <w:t>שינויי ה</w:t>
            </w:r>
            <w:r w:rsidRPr="00C45CA7">
              <w:rPr>
                <w:rtl/>
              </w:rPr>
              <w:t>אקלים</w:t>
            </w:r>
            <w:r>
              <w:rPr>
                <w:rFonts w:hint="cs"/>
                <w:rtl/>
              </w:rPr>
              <w:t>.</w:t>
            </w:r>
          </w:p>
        </w:tc>
      </w:tr>
      <w:tr w14:paraId="1FD70BC1" w14:textId="77777777" w:rsidTr="00EB66C1">
        <w:tblPrEx>
          <w:tblW w:w="0" w:type="auto"/>
          <w:tblInd w:w="422" w:type="dxa"/>
          <w:shd w:val="clear" w:color="auto" w:fill="DFECEF"/>
          <w:tblLook w:val="04A0"/>
        </w:tblPrEx>
        <w:tc>
          <w:tcPr>
            <w:tcW w:w="6938" w:type="dxa"/>
            <w:shd w:val="clear" w:color="auto" w:fill="F0F8F9"/>
            <w:vAlign w:val="center"/>
          </w:tcPr>
          <w:p w:rsidR="00EB66C1" w:rsidRPr="00040EBB" w:rsidP="00287CB1" w14:paraId="58AA7F00" w14:textId="517DB5AD">
            <w:pPr>
              <w:pStyle w:val="73R"/>
              <w:numPr>
                <w:ilvl w:val="0"/>
                <w:numId w:val="60"/>
              </w:numPr>
              <w:spacing w:line="240" w:lineRule="auto"/>
              <w:ind w:left="312" w:hanging="284"/>
              <w:rPr>
                <w:b/>
                <w:bCs/>
                <w:rtl/>
              </w:rPr>
            </w:pPr>
            <w:r w:rsidRPr="00C45CA7">
              <w:rPr>
                <w:rFonts w:hint="cs"/>
                <w:b/>
                <w:bCs/>
                <w:rtl/>
              </w:rPr>
              <w:t>לגלות</w:t>
            </w:r>
            <w:r w:rsidRPr="00C45CA7">
              <w:rPr>
                <w:rFonts w:hint="cs"/>
                <w:rtl/>
              </w:rPr>
              <w:t xml:space="preserve"> מעורבות פעילה</w:t>
            </w:r>
            <w:r w:rsidRPr="00C45CA7">
              <w:rPr>
                <w:rtl/>
              </w:rPr>
              <w:t xml:space="preserve"> ב</w:t>
            </w:r>
            <w:r w:rsidRPr="00C45CA7">
              <w:rPr>
                <w:rFonts w:hint="cs"/>
                <w:rtl/>
              </w:rPr>
              <w:t xml:space="preserve">גיבוש </w:t>
            </w:r>
            <w:r w:rsidRPr="00C45CA7">
              <w:rPr>
                <w:rtl/>
              </w:rPr>
              <w:t xml:space="preserve">וביישום </w:t>
            </w:r>
            <w:r w:rsidRPr="00C45CA7">
              <w:rPr>
                <w:rFonts w:hint="cs"/>
                <w:rtl/>
              </w:rPr>
              <w:t xml:space="preserve">של יעדי </w:t>
            </w:r>
            <w:r w:rsidRPr="00C45CA7">
              <w:rPr>
                <w:rtl/>
              </w:rPr>
              <w:t xml:space="preserve">הפחתת הפליטות </w:t>
            </w:r>
            <w:r w:rsidRPr="00C45CA7">
              <w:rPr>
                <w:rFonts w:hint="cs"/>
                <w:rtl/>
              </w:rPr>
              <w:t>ש</w:t>
            </w:r>
            <w:r w:rsidRPr="00C45CA7">
              <w:rPr>
                <w:rtl/>
              </w:rPr>
              <w:t xml:space="preserve">אליהם </w:t>
            </w:r>
            <w:r w:rsidRPr="00C45CA7">
              <w:rPr>
                <w:rFonts w:hint="cs"/>
                <w:rtl/>
              </w:rPr>
              <w:t>התחייבו</w:t>
            </w:r>
            <w:r w:rsidRPr="00C45CA7">
              <w:rPr>
                <w:rtl/>
              </w:rPr>
              <w:t xml:space="preserve"> המדינות </w:t>
            </w:r>
            <w:r w:rsidRPr="00C45CA7">
              <w:rPr>
                <w:rFonts w:hint="cs"/>
                <w:rtl/>
              </w:rPr>
              <w:t>ב</w:t>
            </w:r>
            <w:r w:rsidRPr="00C45CA7">
              <w:rPr>
                <w:rtl/>
              </w:rPr>
              <w:t>מסגרת הסכם פריז</w:t>
            </w:r>
            <w:r w:rsidRPr="00C45CA7">
              <w:rPr>
                <w:rFonts w:hint="cs"/>
                <w:rtl/>
              </w:rPr>
              <w:t xml:space="preserve"> (</w:t>
            </w:r>
            <w:r w:rsidRPr="00C45CA7">
              <w:t>NDCs</w:t>
            </w:r>
            <w:r w:rsidRPr="00C45CA7">
              <w:rPr>
                <w:rFonts w:hint="cs"/>
                <w:rtl/>
              </w:rPr>
              <w:t xml:space="preserve"> - </w:t>
            </w:r>
            <w:r w:rsidRPr="00C45CA7">
              <w:t>Nationally Determined Contributions</w:t>
            </w:r>
            <w:r w:rsidRPr="00C45CA7">
              <w:rPr>
                <w:rFonts w:hint="cs"/>
                <w:rtl/>
              </w:rPr>
              <w:t>)</w:t>
            </w:r>
            <w:r w:rsidRPr="0086740C">
              <w:rPr>
                <w:rFonts w:hint="cs"/>
                <w:rtl/>
              </w:rPr>
              <w:t>.</w:t>
            </w:r>
          </w:p>
        </w:tc>
      </w:tr>
    </w:tbl>
    <w:p w:rsidR="00F20E3F" w:rsidRPr="004C0FEC" w:rsidP="00EB66C1" w14:paraId="58681BA2" w14:textId="77777777">
      <w:pPr>
        <w:pStyle w:val="7316"/>
        <w:spacing w:before="240"/>
        <w:rPr>
          <w:sz w:val="24"/>
          <w:rtl/>
        </w:rPr>
      </w:pPr>
      <w:r>
        <w:rPr>
          <w:rFonts w:hint="cs"/>
          <w:rtl/>
        </w:rPr>
        <w:t>סביב כל עיקרון כזה הוקמה קבוצת עבודה</w:t>
      </w:r>
      <w:r>
        <w:rPr>
          <w:rStyle w:val="FootnoteReference2"/>
          <w:sz w:val="24"/>
          <w:rtl/>
        </w:rPr>
        <w:footnoteReference w:id="7"/>
      </w:r>
      <w:r>
        <w:rPr>
          <w:rFonts w:hint="cs"/>
          <w:sz w:val="24"/>
          <w:rtl/>
        </w:rPr>
        <w:t xml:space="preserve"> המחולקת לקבוצות משנה נושאיות המפרסמות את תוצרי עבודתן ותובנות מרכזיות מדיוניהן בנושאים כמו כלים ותהליכים להערכה של השפעות פיסקליות ארוכות טווח שיוצרות אסטרטגיות אקלים</w:t>
      </w:r>
      <w:r>
        <w:rPr>
          <w:rStyle w:val="FootnoteReference2"/>
          <w:sz w:val="24"/>
          <w:rtl/>
        </w:rPr>
        <w:footnoteReference w:id="8"/>
      </w:r>
      <w:r>
        <w:rPr>
          <w:rFonts w:hint="cs"/>
          <w:sz w:val="24"/>
          <w:rtl/>
        </w:rPr>
        <w:t xml:space="preserve">; </w:t>
      </w:r>
      <w:r w:rsidRPr="00703BF5">
        <w:rPr>
          <w:rFonts w:hint="cs"/>
          <w:rtl/>
        </w:rPr>
        <w:t>אסטרטגיות</w:t>
      </w:r>
      <w:r>
        <w:rPr>
          <w:rFonts w:hint="cs"/>
          <w:sz w:val="24"/>
          <w:rtl/>
        </w:rPr>
        <w:t xml:space="preserve"> </w:t>
      </w:r>
      <w:r>
        <w:rPr>
          <w:rFonts w:hint="cs"/>
          <w:sz w:val="24"/>
          <w:rtl/>
        </w:rPr>
        <w:t>להטמעה של פעולות אקלים ובניית יכולות בנושא במשרדי אוצר</w:t>
      </w:r>
      <w:r>
        <w:rPr>
          <w:rStyle w:val="FootnoteReference2"/>
          <w:sz w:val="24"/>
          <w:rtl/>
        </w:rPr>
        <w:footnoteReference w:id="9"/>
      </w:r>
      <w:r>
        <w:rPr>
          <w:rFonts w:hint="cs"/>
          <w:sz w:val="24"/>
          <w:rtl/>
        </w:rPr>
        <w:t xml:space="preserve">; </w:t>
      </w:r>
      <w:r w:rsidRPr="00A860D8">
        <w:rPr>
          <w:sz w:val="24"/>
          <w:rtl/>
        </w:rPr>
        <w:t>כלים להתמודדות עם פערי ידע ומומחיות בתחזיות מקרו</w:t>
      </w:r>
      <w:r>
        <w:rPr>
          <w:rFonts w:hint="cs"/>
          <w:sz w:val="24"/>
          <w:rtl/>
        </w:rPr>
        <w:t>-</w:t>
      </w:r>
      <w:r w:rsidRPr="00A860D8">
        <w:rPr>
          <w:sz w:val="24"/>
          <w:rtl/>
        </w:rPr>
        <w:t>כלכליות ובתכנון פיסקלי</w:t>
      </w:r>
      <w:r>
        <w:rPr>
          <w:rFonts w:hint="cs"/>
          <w:sz w:val="24"/>
          <w:rtl/>
        </w:rPr>
        <w:t xml:space="preserve"> בנוגע</w:t>
      </w:r>
      <w:r w:rsidRPr="00A860D8">
        <w:rPr>
          <w:sz w:val="24"/>
          <w:rtl/>
        </w:rPr>
        <w:t xml:space="preserve"> להשפעות שינויי </w:t>
      </w:r>
      <w:r>
        <w:rPr>
          <w:rFonts w:hint="cs"/>
          <w:sz w:val="24"/>
          <w:rtl/>
        </w:rPr>
        <w:t>ה</w:t>
      </w:r>
      <w:r w:rsidRPr="00A860D8">
        <w:rPr>
          <w:sz w:val="24"/>
          <w:rtl/>
        </w:rPr>
        <w:t>אקלים</w:t>
      </w:r>
      <w:r>
        <w:rPr>
          <w:rStyle w:val="FootnoteReference2"/>
          <w:sz w:val="24"/>
          <w:rtl/>
        </w:rPr>
        <w:footnoteReference w:id="10"/>
      </w:r>
      <w:r>
        <w:rPr>
          <w:rFonts w:hint="cs"/>
          <w:sz w:val="24"/>
          <w:rtl/>
        </w:rPr>
        <w:t>; סיכונים פיננסיים, כלכליים ופיסקליים שמקורם בשינויי אקלים המסכנים את משרדי האוצר, את משקי הבית, את העסקים ואת הממשלה</w:t>
      </w:r>
      <w:r>
        <w:rPr>
          <w:rStyle w:val="FootnoteReference2"/>
          <w:sz w:val="24"/>
          <w:rtl/>
        </w:rPr>
        <w:footnoteReference w:id="11"/>
      </w:r>
      <w:r>
        <w:rPr>
          <w:rFonts w:hint="cs"/>
          <w:sz w:val="24"/>
          <w:rtl/>
        </w:rPr>
        <w:t xml:space="preserve">. </w:t>
      </w:r>
    </w:p>
    <w:p w:rsidR="00F20E3F" w:rsidRPr="00EB66C1" w:rsidP="00EB66C1" w14:paraId="2CF8F517" w14:textId="27A3BFBF">
      <w:pPr>
        <w:pStyle w:val="7316"/>
        <w:rPr>
          <w:rtl/>
        </w:rPr>
      </w:pPr>
      <w:r w:rsidRPr="00EB66C1">
        <w:rPr>
          <w:rFonts w:hint="cs"/>
          <w:rtl/>
        </w:rPr>
        <w:t>אף שעקרונות הלסינקי ותוצרי העבודה של קואליציית שרי האוצר אינם מחייבים את המדינות החברות בה, התחזקותה של הקואליציה והעובדה כי חברות בה 90 מדינות מעידות על הבנה גוברת בעולם בדבר מרכזיותו של משרד זה להשגת יעדי האקלים והאיפוס הפחמני הלאומיים של מדינה. תוצאות סקר שביצעה הקואליציה בנוגע לשאלה האם משרדי האוצר של חבריה קבעו לעצמם אסטרטגיית אקלים מעידות על המגמה הגוברת בעניין:</w:t>
      </w:r>
    </w:p>
    <w:p w:rsidR="00F20E3F" w:rsidRPr="002F2907" w:rsidP="00EC18E9" w14:paraId="65DF2D20" w14:textId="77777777">
      <w:pPr>
        <w:pStyle w:val="733"/>
        <w:ind w:left="397"/>
        <w:rPr>
          <w:rtl/>
        </w:rPr>
      </w:pPr>
      <w:r w:rsidRPr="00EC18E9">
        <w:rPr>
          <w:rFonts w:hint="eastAsia"/>
          <w:b w:val="0"/>
          <w:bCs w:val="0"/>
          <w:rtl/>
        </w:rPr>
        <w:t>תרשים</w:t>
      </w:r>
      <w:r w:rsidRPr="00EC18E9">
        <w:rPr>
          <w:rFonts w:hint="cs"/>
          <w:b w:val="0"/>
          <w:bCs w:val="0"/>
          <w:rtl/>
        </w:rPr>
        <w:t xml:space="preserve"> 31</w:t>
      </w:r>
      <w:r w:rsidRPr="00EC18E9">
        <w:rPr>
          <w:b w:val="0"/>
          <w:bCs w:val="0"/>
          <w:rtl/>
        </w:rPr>
        <w:t>:</w:t>
      </w:r>
      <w:r w:rsidRPr="00EC18E9">
        <w:rPr>
          <w:rFonts w:hint="cs"/>
          <w:b w:val="0"/>
          <w:bCs w:val="0"/>
          <w:rtl/>
        </w:rPr>
        <w:t xml:space="preserve"> </w:t>
      </w:r>
      <w:r w:rsidRPr="00D82779">
        <w:rPr>
          <w:rFonts w:hint="cs"/>
          <w:rtl/>
        </w:rPr>
        <w:t>תשובות</w:t>
      </w:r>
      <w:r>
        <w:rPr>
          <w:rFonts w:hint="cs"/>
          <w:rtl/>
        </w:rPr>
        <w:t xml:space="preserve"> חברי הקואליציה לשאלה </w:t>
      </w:r>
      <w:r w:rsidRPr="00874200">
        <w:rPr>
          <w:rFonts w:hint="cs"/>
          <w:rtl/>
        </w:rPr>
        <w:t>האם קיימת אסטרטגיה או תוכנית אקלים במשרד</w:t>
      </w:r>
      <w:r>
        <w:rPr>
          <w:rFonts w:hint="cs"/>
          <w:rtl/>
        </w:rPr>
        <w:t>י</w:t>
      </w:r>
      <w:r w:rsidRPr="00874200">
        <w:rPr>
          <w:rFonts w:hint="cs"/>
          <w:rtl/>
        </w:rPr>
        <w:t xml:space="preserve"> האוצר</w:t>
      </w:r>
      <w:r>
        <w:rPr>
          <w:rFonts w:hint="cs"/>
          <w:rtl/>
        </w:rPr>
        <w:t xml:space="preserve"> של המדינות החברות בקואליצי</w:t>
      </w:r>
      <w:r>
        <w:rPr>
          <w:rFonts w:hint="eastAsia"/>
          <w:rtl/>
        </w:rPr>
        <w:t>ה</w:t>
      </w:r>
      <w:r w:rsidRPr="00874200">
        <w:rPr>
          <w:rFonts w:hint="cs"/>
          <w:rtl/>
        </w:rPr>
        <w:t xml:space="preserve"> </w:t>
      </w:r>
    </w:p>
    <w:p w:rsidR="00F20E3F" w:rsidRPr="00EC18E9" w:rsidP="00EC18E9" w14:paraId="3DD30030" w14:textId="0A81D456">
      <w:pPr>
        <w:ind w:left="397"/>
        <w:rPr>
          <w:rtl/>
        </w:rPr>
      </w:pPr>
      <w:r>
        <w:rPr>
          <w:noProof/>
          <w:rtl/>
          <w:lang w:val="he-IL"/>
        </w:rPr>
        <w:drawing>
          <wp:inline distT="0" distB="0" distL="0" distR="0">
            <wp:extent cx="4418999" cy="1392807"/>
            <wp:effectExtent l="0" t="0" r="0" b="0"/>
            <wp:docPr id="1948112201" name="תמונה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2763436" name="תמונה 46"/>
                    <pic:cNvPicPr/>
                  </pic:nvPicPr>
                  <pic:blipFill>
                    <a:blip xmlns:r="http://schemas.openxmlformats.org/officeDocument/2006/relationships" r:embed="rId34">
                      <a:extLst>
                        <a:ext xmlns:a="http://schemas.openxmlformats.org/drawingml/2006/main" uri="{28A0092B-C50C-407E-A947-70E740481C1C}">
                          <a14:useLocalDpi xmlns:a14="http://schemas.microsoft.com/office/drawing/2010/main" val="0"/>
                        </a:ext>
                      </a:extLst>
                    </a:blip>
                    <a:stretch>
                      <a:fillRect/>
                    </a:stretch>
                  </pic:blipFill>
                  <pic:spPr>
                    <a:xfrm>
                      <a:off x="0" y="0"/>
                      <a:ext cx="4418999" cy="1392807"/>
                    </a:xfrm>
                    <a:prstGeom prst="rect">
                      <a:avLst/>
                    </a:prstGeom>
                  </pic:spPr>
                </pic:pic>
              </a:graphicData>
            </a:graphic>
          </wp:inline>
        </w:drawing>
      </w:r>
    </w:p>
    <w:p w:rsidR="00F20E3F" w:rsidRPr="002F2907" w:rsidP="00EC18E9" w14:paraId="62BB09ED" w14:textId="77777777">
      <w:pPr>
        <w:pStyle w:val="737"/>
        <w:ind w:left="397"/>
        <w:rPr>
          <w:rtl/>
        </w:rPr>
      </w:pPr>
      <w:r w:rsidRPr="002F2907">
        <w:rPr>
          <w:rFonts w:hint="cs"/>
          <w:rtl/>
        </w:rPr>
        <w:t xml:space="preserve">לפי סקר קבוצת עבודה של עקרון 2 של הקואליציה לשנים 2020 </w:t>
      </w:r>
      <w:r w:rsidRPr="002F2907">
        <w:rPr>
          <w:rtl/>
        </w:rPr>
        <w:t>-</w:t>
      </w:r>
      <w:r w:rsidRPr="002F2907">
        <w:rPr>
          <w:rFonts w:hint="cs"/>
          <w:rtl/>
        </w:rPr>
        <w:t xml:space="preserve"> 2021.</w:t>
      </w:r>
    </w:p>
    <w:p w:rsidR="00F20E3F" w:rsidRPr="00CC0319" w:rsidP="00EC18E9" w14:paraId="3C78B6CB" w14:textId="77777777">
      <w:pPr>
        <w:pStyle w:val="718"/>
        <w:rPr>
          <w:rtl/>
        </w:rPr>
      </w:pPr>
      <w:r>
        <w:rPr>
          <w:rFonts w:hint="cs"/>
          <w:rtl/>
        </w:rPr>
        <w:t>תוצאות</w:t>
      </w:r>
      <w:r w:rsidRPr="00CC0319">
        <w:rPr>
          <w:rtl/>
        </w:rPr>
        <w:t xml:space="preserve"> </w:t>
      </w:r>
      <w:r w:rsidRPr="00CC0319">
        <w:rPr>
          <w:rFonts w:hint="eastAsia"/>
          <w:rtl/>
        </w:rPr>
        <w:t>הסקר</w:t>
      </w:r>
      <w:r w:rsidRPr="00CC0319">
        <w:rPr>
          <w:rtl/>
        </w:rPr>
        <w:t xml:space="preserve"> </w:t>
      </w:r>
      <w:r>
        <w:rPr>
          <w:rFonts w:hint="cs"/>
          <w:rtl/>
        </w:rPr>
        <w:t xml:space="preserve">בתרשים </w:t>
      </w:r>
      <w:r w:rsidRPr="00CC0319">
        <w:rPr>
          <w:rFonts w:hint="eastAsia"/>
          <w:rtl/>
        </w:rPr>
        <w:t>מלמד</w:t>
      </w:r>
      <w:r>
        <w:rPr>
          <w:rFonts w:hint="cs"/>
          <w:rtl/>
        </w:rPr>
        <w:t>ות</w:t>
      </w:r>
      <w:r w:rsidRPr="00CC0319">
        <w:rPr>
          <w:rtl/>
        </w:rPr>
        <w:t xml:space="preserve"> </w:t>
      </w:r>
      <w:r w:rsidRPr="00CC0319">
        <w:rPr>
          <w:rFonts w:hint="eastAsia"/>
          <w:rtl/>
        </w:rPr>
        <w:t>כי</w:t>
      </w:r>
      <w:r w:rsidRPr="00CC0319">
        <w:rPr>
          <w:rtl/>
        </w:rPr>
        <w:t xml:space="preserve"> </w:t>
      </w:r>
      <w:r w:rsidRPr="00CC0319">
        <w:rPr>
          <w:rFonts w:hint="eastAsia"/>
          <w:rtl/>
        </w:rPr>
        <w:t>בשנת</w:t>
      </w:r>
      <w:r w:rsidRPr="00CC0319">
        <w:rPr>
          <w:rtl/>
        </w:rPr>
        <w:t xml:space="preserve"> 2020 </w:t>
      </w:r>
      <w:r w:rsidRPr="00CC0319">
        <w:rPr>
          <w:rFonts w:hint="eastAsia"/>
          <w:rtl/>
        </w:rPr>
        <w:t>ל</w:t>
      </w:r>
      <w:r w:rsidRPr="00CC0319">
        <w:rPr>
          <w:rtl/>
        </w:rPr>
        <w:t xml:space="preserve">-26% </w:t>
      </w:r>
      <w:r w:rsidRPr="00CC0319">
        <w:rPr>
          <w:rFonts w:hint="eastAsia"/>
          <w:rtl/>
        </w:rPr>
        <w:t>ממשרדי</w:t>
      </w:r>
      <w:r w:rsidRPr="00CC0319">
        <w:rPr>
          <w:rtl/>
        </w:rPr>
        <w:t xml:space="preserve"> </w:t>
      </w:r>
      <w:r w:rsidRPr="00CC0319">
        <w:rPr>
          <w:rFonts w:hint="eastAsia"/>
          <w:rtl/>
        </w:rPr>
        <w:t>האוצר</w:t>
      </w:r>
      <w:r w:rsidRPr="00CC0319">
        <w:rPr>
          <w:rtl/>
        </w:rPr>
        <w:t xml:space="preserve"> </w:t>
      </w:r>
      <w:r w:rsidRPr="00CC0319">
        <w:rPr>
          <w:rFonts w:hint="eastAsia"/>
          <w:rtl/>
        </w:rPr>
        <w:t>שהשתתפו</w:t>
      </w:r>
      <w:r w:rsidRPr="00CC0319">
        <w:rPr>
          <w:rtl/>
        </w:rPr>
        <w:t xml:space="preserve"> </w:t>
      </w:r>
      <w:r w:rsidRPr="00CC0319">
        <w:rPr>
          <w:rFonts w:hint="eastAsia"/>
          <w:rtl/>
        </w:rPr>
        <w:t>בו</w:t>
      </w:r>
      <w:r w:rsidRPr="00CC0319">
        <w:rPr>
          <w:rtl/>
        </w:rPr>
        <w:t xml:space="preserve"> </w:t>
      </w:r>
      <w:r w:rsidRPr="00CC0319">
        <w:rPr>
          <w:rFonts w:hint="eastAsia"/>
          <w:rtl/>
        </w:rPr>
        <w:t>הייתה</w:t>
      </w:r>
      <w:r w:rsidRPr="00CC0319">
        <w:rPr>
          <w:rtl/>
        </w:rPr>
        <w:t xml:space="preserve"> תוכנית או אסטרטגי</w:t>
      </w:r>
      <w:r>
        <w:rPr>
          <w:rFonts w:hint="cs"/>
          <w:rtl/>
        </w:rPr>
        <w:t>י</w:t>
      </w:r>
      <w:r w:rsidRPr="00CC0319">
        <w:rPr>
          <w:rtl/>
        </w:rPr>
        <w:t xml:space="preserve">ת אקלים, ובשנת 2021 שיעור זה </w:t>
      </w:r>
      <w:r>
        <w:rPr>
          <w:rFonts w:hint="cs"/>
          <w:rtl/>
        </w:rPr>
        <w:t>גדל</w:t>
      </w:r>
      <w:r w:rsidRPr="00CC0319">
        <w:rPr>
          <w:rtl/>
        </w:rPr>
        <w:t xml:space="preserve"> ל-64% (זינוק של 246%). </w:t>
      </w:r>
    </w:p>
    <w:p w:rsidR="00F20E3F" w:rsidP="00287CB1" w14:paraId="7E096096" w14:textId="77777777">
      <w:pPr>
        <w:pStyle w:val="7114"/>
        <w:numPr>
          <w:ilvl w:val="0"/>
          <w:numId w:val="57"/>
        </w:numPr>
      </w:pPr>
      <w:r w:rsidRPr="00EC18E9">
        <w:rPr>
          <w:rStyle w:val="7371"/>
          <w:rFonts w:hint="cs"/>
          <w:rtl/>
        </w:rPr>
        <w:t>"</w:t>
      </w:r>
      <w:r w:rsidRPr="00EC18E9">
        <w:rPr>
          <w:rStyle w:val="7371"/>
          <w:rFonts w:hint="eastAsia"/>
          <w:rtl/>
        </w:rPr>
        <w:t>שותפות</w:t>
      </w:r>
      <w:r w:rsidRPr="00EC18E9">
        <w:rPr>
          <w:rStyle w:val="7371"/>
          <w:rtl/>
        </w:rPr>
        <w:t xml:space="preserve"> </w:t>
      </w:r>
      <w:r w:rsidRPr="00EC18E9">
        <w:rPr>
          <w:rStyle w:val="7371"/>
          <w:b/>
          <w:bCs w:val="0"/>
        </w:rPr>
        <w:t>OECD</w:t>
      </w:r>
      <w:r w:rsidRPr="00EC18E9">
        <w:rPr>
          <w:rStyle w:val="7371"/>
          <w:rtl/>
        </w:rPr>
        <w:t xml:space="preserve"> פריז בנושא תקצ</w:t>
      </w:r>
      <w:r w:rsidRPr="00EC18E9">
        <w:rPr>
          <w:rStyle w:val="7371"/>
          <w:rFonts w:hint="eastAsia"/>
          <w:rtl/>
        </w:rPr>
        <w:t>ו</w:t>
      </w:r>
      <w:r w:rsidRPr="00EC18E9">
        <w:rPr>
          <w:rStyle w:val="7371"/>
          <w:rtl/>
        </w:rPr>
        <w:t>ב ירוק":</w:t>
      </w:r>
      <w:r w:rsidRPr="00EC18E9">
        <w:rPr>
          <w:rStyle w:val="7371"/>
          <w:rFonts w:hint="cs"/>
          <w:rtl/>
        </w:rPr>
        <w:t xml:space="preserve"> </w:t>
      </w:r>
      <w:r>
        <w:rPr>
          <w:rFonts w:hint="cs"/>
          <w:rtl/>
        </w:rPr>
        <w:t>יוזמה מרכזית אשר הושקה בשנת 2017 ומקדמת</w:t>
      </w:r>
      <w:r w:rsidRPr="00E64990">
        <w:rPr>
          <w:rtl/>
        </w:rPr>
        <w:t xml:space="preserve"> שותפות </w:t>
      </w:r>
      <w:r>
        <w:rPr>
          <w:rFonts w:hint="cs"/>
          <w:rtl/>
        </w:rPr>
        <w:t>של</w:t>
      </w:r>
      <w:r w:rsidRPr="00E64990">
        <w:rPr>
          <w:rtl/>
        </w:rPr>
        <w:t xml:space="preserve"> ממשלות </w:t>
      </w:r>
      <w:r>
        <w:rPr>
          <w:rFonts w:hint="cs"/>
          <w:rtl/>
        </w:rPr>
        <w:t>החברות</w:t>
      </w:r>
      <w:r w:rsidRPr="00E64990">
        <w:rPr>
          <w:rtl/>
        </w:rPr>
        <w:t xml:space="preserve"> </w:t>
      </w:r>
      <w:r>
        <w:rPr>
          <w:rFonts w:hint="cs"/>
          <w:rtl/>
        </w:rPr>
        <w:t>בארגון ה-</w:t>
      </w:r>
      <w:r w:rsidRPr="00E64990">
        <w:t>OECD</w:t>
      </w:r>
      <w:r w:rsidRPr="00E64990">
        <w:rPr>
          <w:rtl/>
        </w:rPr>
        <w:t xml:space="preserve"> ו</w:t>
      </w:r>
      <w:r>
        <w:rPr>
          <w:rFonts w:hint="cs"/>
          <w:rtl/>
        </w:rPr>
        <w:t xml:space="preserve">אף </w:t>
      </w:r>
      <w:r w:rsidRPr="00E64990">
        <w:rPr>
          <w:rtl/>
        </w:rPr>
        <w:t>מחו</w:t>
      </w:r>
      <w:r>
        <w:rPr>
          <w:rFonts w:hint="cs"/>
          <w:rtl/>
        </w:rPr>
        <w:t>צ</w:t>
      </w:r>
      <w:r w:rsidRPr="00E64990">
        <w:rPr>
          <w:rtl/>
        </w:rPr>
        <w:t xml:space="preserve">ה </w:t>
      </w:r>
      <w:r>
        <w:rPr>
          <w:rFonts w:hint="cs"/>
          <w:rtl/>
        </w:rPr>
        <w:t xml:space="preserve">לו, </w:t>
      </w:r>
      <w:r w:rsidRPr="00E64990">
        <w:rPr>
          <w:rtl/>
        </w:rPr>
        <w:t xml:space="preserve">כדי לתכנן במשותף גישות מעשיות ופרגמטיות להפעלת </w:t>
      </w:r>
      <w:r w:rsidRPr="00E64990">
        <w:rPr>
          <w:rtl/>
        </w:rPr>
        <w:t>ת</w:t>
      </w:r>
      <w:r>
        <w:rPr>
          <w:rFonts w:hint="cs"/>
          <w:rtl/>
        </w:rPr>
        <w:t>י</w:t>
      </w:r>
      <w:r w:rsidRPr="00E64990">
        <w:rPr>
          <w:rtl/>
        </w:rPr>
        <w:t>קצ</w:t>
      </w:r>
      <w:r>
        <w:rPr>
          <w:rFonts w:hint="cs"/>
          <w:rtl/>
        </w:rPr>
        <w:t>ו</w:t>
      </w:r>
      <w:r w:rsidRPr="00E64990">
        <w:rPr>
          <w:rtl/>
        </w:rPr>
        <w:t>ב</w:t>
      </w:r>
      <w:r w:rsidRPr="00E64990">
        <w:rPr>
          <w:rtl/>
        </w:rPr>
        <w:t xml:space="preserve"> </w:t>
      </w:r>
      <w:r w:rsidRPr="00EC18E9">
        <w:rPr>
          <w:rStyle w:val="7336"/>
          <w:rtl/>
        </w:rPr>
        <w:t>ירוק</w:t>
      </w:r>
      <w:r w:rsidRPr="00EC18E9">
        <w:rPr>
          <w:rStyle w:val="7336"/>
          <w:rFonts w:hint="cs"/>
          <w:rtl/>
        </w:rPr>
        <w:t xml:space="preserve"> (</w:t>
      </w:r>
      <w:r w:rsidRPr="00EC18E9">
        <w:rPr>
          <w:rStyle w:val="7336"/>
        </w:rPr>
        <w:t>Paris Collaborative on Green Budgeting</w:t>
      </w:r>
      <w:r w:rsidRPr="00EC18E9">
        <w:rPr>
          <w:rStyle w:val="7336"/>
          <w:rFonts w:hint="cs"/>
          <w:rtl/>
        </w:rPr>
        <w:t xml:space="preserve">, להלן - שותפות </w:t>
      </w:r>
      <w:r w:rsidRPr="00EC18E9">
        <w:rPr>
          <w:rStyle w:val="7336"/>
          <w:rFonts w:hint="cs"/>
        </w:rPr>
        <w:t>OECD</w:t>
      </w:r>
      <w:r w:rsidRPr="00EC18E9">
        <w:rPr>
          <w:rStyle w:val="7336"/>
          <w:rFonts w:hint="cs"/>
          <w:rtl/>
        </w:rPr>
        <w:t xml:space="preserve"> לתקצוב ירוק)</w:t>
      </w:r>
      <w:r w:rsidRPr="00EC18E9">
        <w:rPr>
          <w:rStyle w:val="7336"/>
          <w:rtl/>
        </w:rPr>
        <w:t>. מטרת</w:t>
      </w:r>
      <w:r w:rsidRPr="00EC18E9">
        <w:rPr>
          <w:rStyle w:val="7336"/>
          <w:rFonts w:hint="cs"/>
          <w:rtl/>
        </w:rPr>
        <w:t xml:space="preserve"> השותפות</w:t>
      </w:r>
      <w:r w:rsidRPr="00EC18E9">
        <w:rPr>
          <w:rStyle w:val="7336"/>
          <w:rtl/>
        </w:rPr>
        <w:t xml:space="preserve"> היא </w:t>
      </w:r>
      <w:r w:rsidRPr="00EC18E9">
        <w:rPr>
          <w:rStyle w:val="7336"/>
          <w:rFonts w:hint="cs"/>
          <w:rtl/>
        </w:rPr>
        <w:t>"</w:t>
      </w:r>
      <w:r w:rsidRPr="00EC18E9">
        <w:rPr>
          <w:rStyle w:val="7336"/>
          <w:rtl/>
        </w:rPr>
        <w:t xml:space="preserve">לתכנן כלים חדשים וחדשניים להעריך ולהניע שיפורים </w:t>
      </w:r>
      <w:r w:rsidRPr="00EC18E9">
        <w:rPr>
          <w:rStyle w:val="7336"/>
          <w:rFonts w:hint="cs"/>
          <w:rtl/>
        </w:rPr>
        <w:t>והתאמות (</w:t>
      </w:r>
      <w:r w:rsidRPr="00EC18E9">
        <w:rPr>
          <w:rStyle w:val="7336"/>
        </w:rPr>
        <w:t>alignment</w:t>
      </w:r>
      <w:r w:rsidRPr="00EC18E9">
        <w:rPr>
          <w:rStyle w:val="7336"/>
          <w:rFonts w:hint="cs"/>
          <w:rtl/>
        </w:rPr>
        <w:t xml:space="preserve">) של </w:t>
      </w:r>
      <w:r w:rsidRPr="00EC18E9">
        <w:rPr>
          <w:rStyle w:val="7336"/>
          <w:rtl/>
        </w:rPr>
        <w:t xml:space="preserve">תהליכי </w:t>
      </w:r>
      <w:r w:rsidRPr="00EC18E9">
        <w:rPr>
          <w:rStyle w:val="7336"/>
          <w:rFonts w:hint="cs"/>
          <w:rtl/>
        </w:rPr>
        <w:t>הכנסות וההוצאות</w:t>
      </w:r>
      <w:r w:rsidRPr="00EC18E9">
        <w:rPr>
          <w:rStyle w:val="7336"/>
          <w:rtl/>
        </w:rPr>
        <w:t xml:space="preserve"> הלאומיים </w:t>
      </w:r>
      <w:r w:rsidRPr="00EC18E9">
        <w:rPr>
          <w:rStyle w:val="7336"/>
          <w:rFonts w:hint="cs"/>
          <w:rtl/>
        </w:rPr>
        <w:t xml:space="preserve">על מנת שיעלו בקנה אחד </w:t>
      </w:r>
      <w:r w:rsidRPr="00EC18E9">
        <w:rPr>
          <w:rStyle w:val="7336"/>
          <w:rtl/>
        </w:rPr>
        <w:t xml:space="preserve">עם יעדי </w:t>
      </w:r>
      <w:r w:rsidRPr="00EC18E9">
        <w:rPr>
          <w:rStyle w:val="7336"/>
          <w:rFonts w:hint="cs"/>
          <w:rtl/>
        </w:rPr>
        <w:t>ה</w:t>
      </w:r>
      <w:r w:rsidRPr="00EC18E9">
        <w:rPr>
          <w:rStyle w:val="7336"/>
          <w:rtl/>
        </w:rPr>
        <w:t xml:space="preserve">אקלים </w:t>
      </w:r>
      <w:r w:rsidRPr="00EC18E9">
        <w:rPr>
          <w:rStyle w:val="7336"/>
          <w:rFonts w:hint="cs"/>
          <w:rtl/>
        </w:rPr>
        <w:t xml:space="preserve">ועם יעדים </w:t>
      </w:r>
      <w:r w:rsidRPr="00EC18E9">
        <w:rPr>
          <w:rStyle w:val="7336"/>
          <w:rtl/>
        </w:rPr>
        <w:t>סביב</w:t>
      </w:r>
      <w:r w:rsidRPr="00EC18E9">
        <w:rPr>
          <w:rStyle w:val="7336"/>
          <w:rFonts w:hint="cs"/>
          <w:rtl/>
        </w:rPr>
        <w:t>תיים</w:t>
      </w:r>
      <w:r w:rsidRPr="00EC18E9">
        <w:rPr>
          <w:rStyle w:val="7336"/>
          <w:rtl/>
        </w:rPr>
        <w:t xml:space="preserve"> </w:t>
      </w:r>
      <w:r w:rsidRPr="00EC18E9">
        <w:rPr>
          <w:rStyle w:val="7336"/>
          <w:rtl/>
        </w:rPr>
        <w:t>אחרים</w:t>
      </w:r>
      <w:r w:rsidRPr="00EC18E9">
        <w:rPr>
          <w:rStyle w:val="7336"/>
          <w:rFonts w:hint="cs"/>
          <w:rtl/>
        </w:rPr>
        <w:t>"</w:t>
      </w:r>
      <w:r w:rsidRPr="00EC18E9">
        <w:rPr>
          <w:rStyle w:val="7336"/>
          <w:rtl/>
        </w:rPr>
        <w:t xml:space="preserve">. </w:t>
      </w:r>
      <w:r w:rsidRPr="00EC18E9">
        <w:rPr>
          <w:rStyle w:val="7336"/>
          <w:rFonts w:hint="cs"/>
          <w:rtl/>
        </w:rPr>
        <w:t>התפיסה שמקדמת שותפוּת ה-</w:t>
      </w:r>
      <w:r w:rsidRPr="00EC18E9">
        <w:rPr>
          <w:rStyle w:val="7336"/>
          <w:rFonts w:hint="cs"/>
        </w:rPr>
        <w:t>OECD</w:t>
      </w:r>
      <w:r w:rsidRPr="00EC18E9">
        <w:rPr>
          <w:rStyle w:val="7336"/>
          <w:rFonts w:hint="cs"/>
          <w:rtl/>
        </w:rPr>
        <w:t xml:space="preserve"> האמורה היא שהתאמת</w:t>
      </w:r>
      <w:r>
        <w:rPr>
          <w:rFonts w:hint="cs"/>
          <w:rtl/>
        </w:rPr>
        <w:t xml:space="preserve"> התקציבים הלאומיים והמדיניות הפיסקלית של מדינות צריכה להיעשות באמצעות הטמעת היבטים</w:t>
      </w:r>
      <w:r w:rsidRPr="007B7A7E">
        <w:rPr>
          <w:rtl/>
        </w:rPr>
        <w:t xml:space="preserve"> סביבתיים במסגרות </w:t>
      </w:r>
      <w:r>
        <w:rPr>
          <w:rFonts w:hint="cs"/>
          <w:rtl/>
        </w:rPr>
        <w:t>ה</w:t>
      </w:r>
      <w:r w:rsidRPr="007B7A7E">
        <w:rPr>
          <w:rtl/>
        </w:rPr>
        <w:t xml:space="preserve">פיסקליות, </w:t>
      </w:r>
      <w:r>
        <w:rPr>
          <w:rFonts w:hint="cs"/>
          <w:rtl/>
        </w:rPr>
        <w:t>לרבות</w:t>
      </w:r>
      <w:r w:rsidRPr="007B7A7E">
        <w:rPr>
          <w:rtl/>
        </w:rPr>
        <w:t xml:space="preserve"> </w:t>
      </w:r>
      <w:r>
        <w:rPr>
          <w:rFonts w:hint="cs"/>
          <w:rtl/>
        </w:rPr>
        <w:t>ב</w:t>
      </w:r>
      <w:r w:rsidRPr="007B7A7E">
        <w:rPr>
          <w:rtl/>
        </w:rPr>
        <w:t>תקציב השנתי והרב-שנתי</w:t>
      </w:r>
      <w:r>
        <w:rPr>
          <w:rFonts w:hint="cs"/>
          <w:rtl/>
        </w:rPr>
        <w:t>;</w:t>
      </w:r>
      <w:r w:rsidRPr="007B7A7E">
        <w:rPr>
          <w:rtl/>
        </w:rPr>
        <w:t xml:space="preserve"> הערכת מדיניות מס והוצאות</w:t>
      </w:r>
      <w:r>
        <w:rPr>
          <w:rFonts w:hint="cs"/>
          <w:rtl/>
        </w:rPr>
        <w:t>;</w:t>
      </w:r>
      <w:r w:rsidRPr="007B7A7E">
        <w:rPr>
          <w:rtl/>
        </w:rPr>
        <w:t xml:space="preserve"> ו</w:t>
      </w:r>
      <w:r>
        <w:rPr>
          <w:rFonts w:hint="cs"/>
          <w:rtl/>
        </w:rPr>
        <w:t xml:space="preserve">ביצוע </w:t>
      </w:r>
      <w:r w:rsidRPr="007B7A7E">
        <w:rPr>
          <w:rtl/>
        </w:rPr>
        <w:t>ניתוח</w:t>
      </w:r>
      <w:r>
        <w:rPr>
          <w:rFonts w:hint="cs"/>
          <w:rtl/>
        </w:rPr>
        <w:t>י</w:t>
      </w:r>
      <w:r w:rsidRPr="007B7A7E">
        <w:rPr>
          <w:rtl/>
        </w:rPr>
        <w:t xml:space="preserve"> קיימות לטווח ארוך</w:t>
      </w:r>
      <w:r>
        <w:rPr>
          <w:rFonts w:hint="cs"/>
          <w:rtl/>
        </w:rPr>
        <w:t xml:space="preserve"> - הן </w:t>
      </w:r>
      <w:r w:rsidRPr="006E53BF">
        <w:rPr>
          <w:rFonts w:hint="cs"/>
          <w:sz w:val="24"/>
          <w:rtl/>
        </w:rPr>
        <w:t>צעדים הכרחיים להשגת יעדי</w:t>
      </w:r>
      <w:r w:rsidRPr="006E53BF">
        <w:rPr>
          <w:sz w:val="24"/>
          <w:rtl/>
        </w:rPr>
        <w:t xml:space="preserve"> הסכם פריז בנושא שינויי </w:t>
      </w:r>
      <w:r>
        <w:rPr>
          <w:rFonts w:hint="cs"/>
          <w:sz w:val="24"/>
          <w:rtl/>
        </w:rPr>
        <w:t>ה</w:t>
      </w:r>
      <w:r w:rsidRPr="006E53BF">
        <w:rPr>
          <w:sz w:val="24"/>
          <w:rtl/>
        </w:rPr>
        <w:t>אקלים</w:t>
      </w:r>
      <w:r w:rsidRPr="006E53BF">
        <w:rPr>
          <w:rFonts w:hint="cs"/>
          <w:sz w:val="24"/>
          <w:rtl/>
        </w:rPr>
        <w:t>,</w:t>
      </w:r>
      <w:r w:rsidRPr="006E53BF">
        <w:rPr>
          <w:sz w:val="24"/>
          <w:rtl/>
        </w:rPr>
        <w:t xml:space="preserve"> </w:t>
      </w:r>
      <w:r w:rsidRPr="006E53BF">
        <w:rPr>
          <w:rFonts w:hint="cs"/>
          <w:sz w:val="24"/>
          <w:rtl/>
        </w:rPr>
        <w:t xml:space="preserve">ולהשגת </w:t>
      </w:r>
      <w:r>
        <w:rPr>
          <w:rFonts w:hint="cs"/>
          <w:sz w:val="24"/>
          <w:rtl/>
        </w:rPr>
        <w:t>ה</w:t>
      </w:r>
      <w:r w:rsidRPr="006E53BF">
        <w:rPr>
          <w:sz w:val="24"/>
          <w:rtl/>
        </w:rPr>
        <w:t>יעדי</w:t>
      </w:r>
      <w:r w:rsidRPr="006E53BF">
        <w:rPr>
          <w:rFonts w:hint="cs"/>
          <w:sz w:val="24"/>
          <w:rtl/>
        </w:rPr>
        <w:t>ם הבי</w:t>
      </w:r>
      <w:r>
        <w:rPr>
          <w:rFonts w:hint="cs"/>
          <w:sz w:val="24"/>
          <w:rtl/>
        </w:rPr>
        <w:t>ן-</w:t>
      </w:r>
      <w:r w:rsidRPr="006E53BF">
        <w:rPr>
          <w:rFonts w:hint="cs"/>
          <w:sz w:val="24"/>
          <w:rtl/>
        </w:rPr>
        <w:t>לאומיים בנושאי</w:t>
      </w:r>
      <w:r w:rsidRPr="006E53BF">
        <w:rPr>
          <w:sz w:val="24"/>
          <w:rtl/>
        </w:rPr>
        <w:t xml:space="preserve"> המגוון הביולוגי ו</w:t>
      </w:r>
      <w:r w:rsidRPr="006E53BF">
        <w:rPr>
          <w:rFonts w:hint="cs"/>
          <w:sz w:val="24"/>
          <w:rtl/>
        </w:rPr>
        <w:t xml:space="preserve">יעדי </w:t>
      </w:r>
      <w:r w:rsidRPr="006E53BF">
        <w:rPr>
          <w:sz w:val="24"/>
          <w:rtl/>
        </w:rPr>
        <w:t>הפיתוח בר</w:t>
      </w:r>
      <w:r>
        <w:rPr>
          <w:rFonts w:hint="cs"/>
          <w:sz w:val="24"/>
          <w:rtl/>
        </w:rPr>
        <w:t xml:space="preserve"> </w:t>
      </w:r>
      <w:r w:rsidRPr="006E53BF">
        <w:rPr>
          <w:sz w:val="24"/>
          <w:rtl/>
        </w:rPr>
        <w:t>קיימ</w:t>
      </w:r>
      <w:r>
        <w:rPr>
          <w:rFonts w:hint="cs"/>
          <w:sz w:val="24"/>
          <w:rtl/>
        </w:rPr>
        <w:t>ה</w:t>
      </w:r>
      <w:r w:rsidRPr="006E53BF">
        <w:rPr>
          <w:sz w:val="24"/>
          <w:rtl/>
        </w:rPr>
        <w:t xml:space="preserve"> של האו"</w:t>
      </w:r>
      <w:r w:rsidRPr="00EC18E9">
        <w:rPr>
          <w:rStyle w:val="7336"/>
          <w:rtl/>
        </w:rPr>
        <w:t xml:space="preserve">ם </w:t>
      </w:r>
      <w:r w:rsidRPr="00EC18E9">
        <w:rPr>
          <w:rStyle w:val="7336"/>
          <w:rFonts w:hint="cs"/>
          <w:rtl/>
        </w:rPr>
        <w:t>(ה-</w:t>
      </w:r>
      <w:r w:rsidRPr="00EC18E9">
        <w:rPr>
          <w:rStyle w:val="7336"/>
        </w:rPr>
        <w:t>Sustainable Development Goals</w:t>
      </w:r>
      <w:r w:rsidRPr="00EC18E9">
        <w:rPr>
          <w:rStyle w:val="7336"/>
          <w:rFonts w:hint="cs"/>
          <w:rtl/>
        </w:rPr>
        <w:t xml:space="preserve">, להלן - </w:t>
      </w:r>
      <w:r w:rsidRPr="00EC18E9">
        <w:rPr>
          <w:rStyle w:val="7336"/>
        </w:rPr>
        <w:t>SDGs</w:t>
      </w:r>
      <w:r w:rsidRPr="00EC18E9">
        <w:rPr>
          <w:rStyle w:val="7336"/>
          <w:rFonts w:hint="cs"/>
          <w:rtl/>
        </w:rPr>
        <w:t>)</w:t>
      </w:r>
      <w:r>
        <w:rPr>
          <w:rStyle w:val="FootnoteReference2"/>
          <w:rtl/>
        </w:rPr>
        <w:footnoteReference w:id="12"/>
      </w:r>
      <w:r>
        <w:rPr>
          <w:rFonts w:hint="cs"/>
          <w:rtl/>
        </w:rPr>
        <w:t>.</w:t>
      </w:r>
      <w:r w:rsidRPr="00AF732F">
        <w:rPr>
          <w:rtl/>
        </w:rPr>
        <w:t xml:space="preserve"> </w:t>
      </w:r>
    </w:p>
    <w:p w:rsidR="00F20E3F" w:rsidP="00703BF5" w14:paraId="48CB4856" w14:textId="77777777">
      <w:pPr>
        <w:pStyle w:val="7316"/>
        <w:rPr>
          <w:rtl/>
        </w:rPr>
      </w:pPr>
      <w:r>
        <w:rPr>
          <w:rFonts w:hint="cs"/>
          <w:rtl/>
        </w:rPr>
        <w:t xml:space="preserve">במסגרת </w:t>
      </w:r>
      <w:r w:rsidRPr="005E4393">
        <w:rPr>
          <w:rtl/>
        </w:rPr>
        <w:t>שותפות</w:t>
      </w:r>
      <w:r>
        <w:rPr>
          <w:rFonts w:hint="cs"/>
          <w:rtl/>
        </w:rPr>
        <w:t xml:space="preserve"> </w:t>
      </w:r>
      <w:r w:rsidRPr="005E4393">
        <w:t>OECD</w:t>
      </w:r>
      <w:r>
        <w:rPr>
          <w:rFonts w:hint="cs"/>
          <w:rtl/>
        </w:rPr>
        <w:t xml:space="preserve"> </w:t>
      </w:r>
      <w:r w:rsidRPr="005E4393">
        <w:rPr>
          <w:rtl/>
        </w:rPr>
        <w:t>לתקצוב ירוק</w:t>
      </w:r>
      <w:r>
        <w:rPr>
          <w:rFonts w:hint="cs"/>
          <w:rtl/>
        </w:rPr>
        <w:t xml:space="preserve"> מקיימות המדינות השותפות התייעצויות שוטפות</w:t>
      </w:r>
      <w:r w:rsidRPr="00E64990">
        <w:rPr>
          <w:rtl/>
        </w:rPr>
        <w:t xml:space="preserve"> עם מומחי</w:t>
      </w:r>
      <w:r>
        <w:rPr>
          <w:rFonts w:hint="cs"/>
          <w:rtl/>
        </w:rPr>
        <w:t>ם פיננסיים ומומחים בתחום ה</w:t>
      </w:r>
      <w:r w:rsidRPr="00E64990">
        <w:rPr>
          <w:rtl/>
        </w:rPr>
        <w:t>סביבה כדי לפתח כלים ומתודולוגיות חדשות</w:t>
      </w:r>
      <w:r>
        <w:rPr>
          <w:rFonts w:hint="cs"/>
          <w:rtl/>
        </w:rPr>
        <w:t xml:space="preserve"> בנושא וכדי לפרסם </w:t>
      </w:r>
      <w:r>
        <w:rPr>
          <w:rFonts w:hint="cs"/>
          <w:rtl/>
        </w:rPr>
        <w:t>פרקטיקות</w:t>
      </w:r>
      <w:r>
        <w:rPr>
          <w:rFonts w:hint="cs"/>
          <w:rtl/>
        </w:rPr>
        <w:t xml:space="preserve"> </w:t>
      </w:r>
      <w:r w:rsidRPr="00CB665A">
        <w:rPr>
          <w:rFonts w:hint="cs"/>
          <w:rtl/>
        </w:rPr>
        <w:t>מיטביות</w:t>
      </w:r>
      <w:r w:rsidRPr="00EC18E9">
        <w:rPr>
          <w:rFonts w:hint="cs"/>
          <w:rtl/>
        </w:rPr>
        <w:t xml:space="preserve"> (</w:t>
      </w:r>
      <w:r w:rsidRPr="00EC18E9">
        <w:t>best practices</w:t>
      </w:r>
      <w:r w:rsidRPr="00EC18E9">
        <w:rPr>
          <w:rFonts w:hint="cs"/>
          <w:rtl/>
        </w:rPr>
        <w:t>) ועקרונות</w:t>
      </w:r>
      <w:r>
        <w:rPr>
          <w:rFonts w:hint="cs"/>
          <w:rtl/>
        </w:rPr>
        <w:t xml:space="preserve"> משותפים בתחום</w:t>
      </w:r>
      <w:r w:rsidRPr="00E64990">
        <w:rPr>
          <w:rtl/>
        </w:rPr>
        <w:t>.</w:t>
      </w:r>
      <w:r>
        <w:rPr>
          <w:rFonts w:hint="cs"/>
          <w:rtl/>
        </w:rPr>
        <w:t xml:space="preserve"> בפרסומים אלו השותפוּת מיפתה כלים לתקצוב ירוק וארגונים הרלוונטיי</w:t>
      </w:r>
      <w:r>
        <w:rPr>
          <w:rFonts w:hint="eastAsia"/>
          <w:rtl/>
        </w:rPr>
        <w:t>ם</w:t>
      </w:r>
      <w:r>
        <w:rPr>
          <w:rFonts w:hint="cs"/>
          <w:rtl/>
        </w:rPr>
        <w:t xml:space="preserve"> לכך. להלן בלוח חלקם: </w:t>
      </w:r>
    </w:p>
    <w:p w:rsidR="00F20E3F" w:rsidP="002F2907" w14:paraId="39A2F02C" w14:textId="77777777">
      <w:pPr>
        <w:pStyle w:val="733"/>
        <w:rPr>
          <w:rtl/>
        </w:rPr>
      </w:pPr>
      <w:r w:rsidRPr="00EC18E9">
        <w:rPr>
          <w:rFonts w:hint="eastAsia"/>
          <w:b w:val="0"/>
          <w:bCs w:val="0"/>
          <w:rtl/>
        </w:rPr>
        <w:t>לוח</w:t>
      </w:r>
      <w:r w:rsidRPr="00EC18E9">
        <w:rPr>
          <w:rFonts w:hint="cs"/>
          <w:b w:val="0"/>
          <w:bCs w:val="0"/>
          <w:rtl/>
        </w:rPr>
        <w:t xml:space="preserve"> 15</w:t>
      </w:r>
      <w:r w:rsidRPr="00EC18E9">
        <w:rPr>
          <w:b w:val="0"/>
          <w:bCs w:val="0"/>
          <w:rtl/>
        </w:rPr>
        <w:t>:</w:t>
      </w:r>
      <w:r w:rsidRPr="00D82779">
        <w:rPr>
          <w:rFonts w:hint="cs"/>
          <w:rtl/>
        </w:rPr>
        <w:t xml:space="preserve"> הכלים</w:t>
      </w:r>
      <w:r w:rsidRPr="005E5C62">
        <w:rPr>
          <w:rFonts w:hint="cs"/>
          <w:rtl/>
        </w:rPr>
        <w:t xml:space="preserve"> </w:t>
      </w:r>
      <w:r>
        <w:rPr>
          <w:rFonts w:hint="cs"/>
          <w:rtl/>
        </w:rPr>
        <w:t>ה</w:t>
      </w:r>
      <w:r w:rsidRPr="005E5C62">
        <w:rPr>
          <w:rFonts w:hint="cs"/>
          <w:rtl/>
        </w:rPr>
        <w:t>פיסקליים ו</w:t>
      </w:r>
      <w:r>
        <w:rPr>
          <w:rFonts w:hint="cs"/>
          <w:rtl/>
        </w:rPr>
        <w:t>ה</w:t>
      </w:r>
      <w:r w:rsidRPr="005E5C62">
        <w:rPr>
          <w:rFonts w:hint="cs"/>
          <w:rtl/>
        </w:rPr>
        <w:t xml:space="preserve">תקציביים </w:t>
      </w:r>
      <w:r>
        <w:rPr>
          <w:rFonts w:hint="cs"/>
          <w:rtl/>
        </w:rPr>
        <w:t xml:space="preserve">שבידי משרדי אוצר המוצעים </w:t>
      </w:r>
      <w:r w:rsidRPr="005E5C62">
        <w:rPr>
          <w:rFonts w:hint="cs"/>
          <w:rtl/>
        </w:rPr>
        <w:t>ל</w:t>
      </w:r>
      <w:r>
        <w:rPr>
          <w:rFonts w:hint="cs"/>
          <w:rtl/>
        </w:rPr>
        <w:t xml:space="preserve">הפעלת </w:t>
      </w:r>
      <w:r w:rsidRPr="005E5C62">
        <w:rPr>
          <w:rFonts w:hint="cs"/>
          <w:rtl/>
        </w:rPr>
        <w:t>תקצוב ירוק</w:t>
      </w:r>
      <w:r>
        <w:rPr>
          <w:rFonts w:hint="cs"/>
          <w:rtl/>
        </w:rPr>
        <w:t xml:space="preserve">, </w:t>
      </w:r>
      <w:r w:rsidRPr="005E5C62">
        <w:rPr>
          <w:rFonts w:hint="cs"/>
          <w:rtl/>
        </w:rPr>
        <w:t xml:space="preserve">לפי </w:t>
      </w:r>
      <w:r>
        <w:rPr>
          <w:rFonts w:hint="cs"/>
          <w:rtl/>
        </w:rPr>
        <w:t xml:space="preserve">ארגון </w:t>
      </w:r>
      <w:r w:rsidRPr="005E5C62">
        <w:rPr>
          <w:rFonts w:hint="cs"/>
          <w:rtl/>
        </w:rPr>
        <w:t>ה-</w:t>
      </w:r>
      <w:r w:rsidRPr="005E5C62">
        <w:rPr>
          <w:rFonts w:hint="cs"/>
        </w:rPr>
        <w:t>OECD</w:t>
      </w:r>
    </w:p>
    <w:tbl>
      <w:tblPr>
        <w:tblStyle w:val="TableGrid"/>
        <w:bidiVisual/>
        <w:tblW w:w="6974" w:type="dxa"/>
        <w:tblInd w:w="1056" w:type="dxa"/>
        <w:tblBorders>
          <w:top w:val="none" w:sz="0" w:space="0" w:color="auto"/>
          <w:left w:val="single" w:sz="4" w:space="0" w:color="000000" w:themeColor="text1"/>
          <w:bottom w:val="none" w:sz="0" w:space="0" w:color="auto"/>
          <w:right w:val="single" w:sz="4" w:space="0" w:color="000000" w:themeColor="text1"/>
          <w:insideH w:val="none" w:sz="0" w:space="0" w:color="auto"/>
          <w:insideV w:val="single" w:sz="4" w:space="0" w:color="000000" w:themeColor="text1"/>
        </w:tblBorders>
        <w:shd w:val="clear" w:color="auto" w:fill="F0F8F9"/>
        <w:tblLook w:val="04A0"/>
      </w:tblPr>
      <w:tblGrid>
        <w:gridCol w:w="1029"/>
        <w:gridCol w:w="5945"/>
      </w:tblGrid>
      <w:tr w14:paraId="375E8F04" w14:textId="77777777" w:rsidTr="00EC18E9">
        <w:tblPrEx>
          <w:tblW w:w="6974" w:type="dxa"/>
          <w:tblInd w:w="1056" w:type="dxa"/>
          <w:tblBorders>
            <w:top w:val="none" w:sz="0" w:space="0" w:color="auto"/>
            <w:left w:val="single" w:sz="4" w:space="0" w:color="000000" w:themeColor="text1"/>
            <w:bottom w:val="none" w:sz="0" w:space="0" w:color="auto"/>
            <w:right w:val="single" w:sz="4" w:space="0" w:color="000000" w:themeColor="text1"/>
            <w:insideH w:val="none" w:sz="0" w:space="0" w:color="auto"/>
            <w:insideV w:val="single" w:sz="4" w:space="0" w:color="000000" w:themeColor="text1"/>
          </w:tblBorders>
          <w:shd w:val="clear" w:color="auto" w:fill="F0F8F9"/>
          <w:tblLook w:val="04A0"/>
        </w:tblPrEx>
        <w:trPr>
          <w:trHeight w:val="1228"/>
        </w:trPr>
        <w:tc>
          <w:tcPr>
            <w:tcW w:w="1029" w:type="dxa"/>
            <w:shd w:val="clear" w:color="auto" w:fill="DFECEF"/>
          </w:tcPr>
          <w:p w:rsidR="00EC18E9" w:rsidRPr="00144D5F" w:rsidP="0086740C" w14:paraId="6530D1DC" w14:textId="474DAEB5">
            <w:pPr>
              <w:pStyle w:val="73R"/>
              <w:spacing w:line="240" w:lineRule="auto"/>
              <w:rPr>
                <w:b/>
                <w:bCs/>
                <w:rtl/>
              </w:rPr>
            </w:pPr>
            <w:r w:rsidRPr="00C45CA7">
              <w:rPr>
                <w:rFonts w:hint="cs"/>
                <w:b/>
                <w:bCs/>
                <w:rtl/>
              </w:rPr>
              <w:t>יצירת מסגרת פיסקלית ותקציבית לטווח הבינוני</w:t>
            </w:r>
          </w:p>
        </w:tc>
        <w:tc>
          <w:tcPr>
            <w:tcW w:w="5945" w:type="dxa"/>
            <w:shd w:val="clear" w:color="auto" w:fill="DFECEF"/>
          </w:tcPr>
          <w:p w:rsidR="00EC18E9" w:rsidRPr="00144D5F" w:rsidP="0086740C" w14:paraId="1CEFD22B" w14:textId="4DDB6640">
            <w:pPr>
              <w:pStyle w:val="73R"/>
              <w:spacing w:line="240" w:lineRule="auto"/>
              <w:rPr>
                <w:rtl/>
              </w:rPr>
            </w:pPr>
            <w:r w:rsidRPr="00C45CA7">
              <w:rPr>
                <w:rFonts w:hint="cs"/>
                <w:rtl/>
              </w:rPr>
              <w:t xml:space="preserve">מסגרת כזו מתאימה לעיסוק ביעדי האקלים והסביבה, הכוללים תמהיל של יעדים קצרי טווח וארוכי טווח כחלק מהאסטרטגיה של המדינה בתחום זה. נזקים אקלימיים וסביבתיים זוהו כבעלי משקל "מאקרו-קריטיים" משום שפעולות </w:t>
            </w:r>
            <w:r w:rsidRPr="00C45CA7">
              <w:rPr>
                <w:rFonts w:hint="cs"/>
                <w:rtl/>
              </w:rPr>
              <w:t>מיטיגציה</w:t>
            </w:r>
            <w:r w:rsidRPr="00C45CA7">
              <w:rPr>
                <w:rFonts w:hint="cs"/>
                <w:rtl/>
              </w:rPr>
              <w:t xml:space="preserve"> וההיערכות לשינויי אקלים מסייעות בהפחתת הסיכונים לצמיחה כלכלית וליציבות פיסקלית בת קיימה</w:t>
            </w:r>
            <w:r w:rsidRPr="00144D5F">
              <w:rPr>
                <w:rFonts w:hint="cs"/>
                <w:rtl/>
              </w:rPr>
              <w:t xml:space="preserve">. </w:t>
            </w:r>
          </w:p>
        </w:tc>
      </w:tr>
      <w:tr w14:paraId="2266744D" w14:textId="77777777" w:rsidTr="00EC18E9">
        <w:tblPrEx>
          <w:tblW w:w="6974" w:type="dxa"/>
          <w:tblInd w:w="1056" w:type="dxa"/>
          <w:shd w:val="clear" w:color="auto" w:fill="F0F8F9"/>
          <w:tblLook w:val="04A0"/>
        </w:tblPrEx>
        <w:trPr>
          <w:trHeight w:val="826"/>
        </w:trPr>
        <w:tc>
          <w:tcPr>
            <w:tcW w:w="1029" w:type="dxa"/>
            <w:shd w:val="clear" w:color="auto" w:fill="F0F8F9"/>
          </w:tcPr>
          <w:p w:rsidR="00EC18E9" w:rsidRPr="00144D5F" w:rsidP="0086740C" w14:paraId="41A16CA9" w14:textId="77777777">
            <w:pPr>
              <w:pStyle w:val="73R"/>
              <w:spacing w:line="240" w:lineRule="auto"/>
              <w:rPr>
                <w:b/>
                <w:bCs/>
                <w:rtl/>
              </w:rPr>
            </w:pPr>
            <w:r w:rsidRPr="00144D5F">
              <w:rPr>
                <w:rFonts w:hint="cs"/>
                <w:b/>
                <w:bCs/>
                <w:rtl/>
              </w:rPr>
              <w:t>ניהול סיכונים פיסקאלי</w:t>
            </w:r>
          </w:p>
        </w:tc>
        <w:tc>
          <w:tcPr>
            <w:tcW w:w="5945" w:type="dxa"/>
            <w:shd w:val="clear" w:color="auto" w:fill="F0F8F9"/>
          </w:tcPr>
          <w:p w:rsidR="00EC18E9" w:rsidRPr="00144D5F" w:rsidP="0086740C" w14:paraId="68D271EC" w14:textId="6BBD817F">
            <w:pPr>
              <w:pStyle w:val="73R"/>
              <w:spacing w:line="240" w:lineRule="auto"/>
              <w:rPr>
                <w:rtl/>
              </w:rPr>
            </w:pPr>
            <w:r w:rsidRPr="00C45CA7">
              <w:rPr>
                <w:rtl/>
              </w:rPr>
              <w:t xml:space="preserve">שינויי האקלים מציבים בפני ממשלות </w:t>
            </w:r>
            <w:r w:rsidRPr="00C45CA7">
              <w:rPr>
                <w:rFonts w:hint="cs"/>
                <w:rtl/>
              </w:rPr>
              <w:t>טווח רחב ו</w:t>
            </w:r>
            <w:r w:rsidRPr="00C45CA7">
              <w:rPr>
                <w:rtl/>
              </w:rPr>
              <w:t xml:space="preserve">מגוון </w:t>
            </w:r>
            <w:r w:rsidRPr="00C45CA7">
              <w:rPr>
                <w:rFonts w:hint="cs"/>
                <w:rtl/>
              </w:rPr>
              <w:t>של</w:t>
            </w:r>
            <w:r w:rsidRPr="00C45CA7">
              <w:rPr>
                <w:rtl/>
              </w:rPr>
              <w:t xml:space="preserve"> סיכונים פיסקליים</w:t>
            </w:r>
            <w:r w:rsidRPr="00C45CA7">
              <w:rPr>
                <w:rFonts w:hint="cs"/>
                <w:rtl/>
              </w:rPr>
              <w:t xml:space="preserve">: </w:t>
            </w:r>
            <w:r>
              <w:rPr>
                <w:rtl/>
              </w:rPr>
              <w:br/>
            </w:r>
            <w:r w:rsidRPr="00C45CA7">
              <w:rPr>
                <w:rFonts w:hint="cs"/>
                <w:rtl/>
              </w:rPr>
              <w:t>(א)</w:t>
            </w:r>
            <w:r w:rsidRPr="00C45CA7">
              <w:rPr>
                <w:rtl/>
              </w:rPr>
              <w:t xml:space="preserve"> סיכונים </w:t>
            </w:r>
            <w:r w:rsidRPr="00C45CA7">
              <w:rPr>
                <w:rFonts w:hint="cs"/>
                <w:rtl/>
              </w:rPr>
              <w:t xml:space="preserve">פיזיים </w:t>
            </w:r>
            <w:r w:rsidRPr="00C45CA7">
              <w:rPr>
                <w:rtl/>
              </w:rPr>
              <w:t xml:space="preserve">הקשורים לאירועי </w:t>
            </w:r>
            <w:r w:rsidRPr="00C45CA7">
              <w:rPr>
                <w:rFonts w:hint="cs"/>
                <w:rtl/>
              </w:rPr>
              <w:t>אקלים</w:t>
            </w:r>
            <w:r w:rsidRPr="00C45CA7">
              <w:rPr>
                <w:rtl/>
              </w:rPr>
              <w:t xml:space="preserve"> ו</w:t>
            </w:r>
            <w:r w:rsidRPr="00C45CA7">
              <w:rPr>
                <w:rFonts w:hint="cs"/>
                <w:rtl/>
              </w:rPr>
              <w:t>ל</w:t>
            </w:r>
            <w:r w:rsidRPr="00C45CA7">
              <w:rPr>
                <w:rtl/>
              </w:rPr>
              <w:t>מזג אוויר</w:t>
            </w:r>
            <w:r w:rsidRPr="00C45CA7">
              <w:rPr>
                <w:rFonts w:hint="cs"/>
                <w:rtl/>
              </w:rPr>
              <w:t xml:space="preserve"> קיצוני (למשל </w:t>
            </w:r>
            <w:r w:rsidRPr="00C45CA7">
              <w:rPr>
                <w:rtl/>
              </w:rPr>
              <w:t>שיטפונות וסופות הפוגעות ברכוש או משבשות את המסחר</w:t>
            </w:r>
            <w:r w:rsidRPr="00C45CA7">
              <w:rPr>
                <w:rFonts w:hint="cs"/>
                <w:rtl/>
              </w:rPr>
              <w:t>); (ב)</w:t>
            </w:r>
            <w:r w:rsidRPr="00C45CA7">
              <w:rPr>
                <w:rtl/>
              </w:rPr>
              <w:t xml:space="preserve"> סיכוני</w:t>
            </w:r>
            <w:r w:rsidRPr="00C45CA7">
              <w:rPr>
                <w:rFonts w:hint="cs"/>
                <w:rtl/>
              </w:rPr>
              <w:t xml:space="preserve"> מעבר הנוצרים מנקיטת כלי </w:t>
            </w:r>
            <w:r w:rsidRPr="00C45CA7">
              <w:rPr>
                <w:rtl/>
              </w:rPr>
              <w:t>מדיניות ו</w:t>
            </w:r>
            <w:r w:rsidRPr="00C45CA7">
              <w:rPr>
                <w:rFonts w:hint="cs"/>
                <w:rtl/>
              </w:rPr>
              <w:t>מ</w:t>
            </w:r>
            <w:r w:rsidRPr="00C45CA7">
              <w:rPr>
                <w:rtl/>
              </w:rPr>
              <w:t xml:space="preserve">טכנולוגיה </w:t>
            </w:r>
            <w:r w:rsidRPr="00C45CA7">
              <w:rPr>
                <w:rFonts w:hint="cs"/>
                <w:rtl/>
              </w:rPr>
              <w:t xml:space="preserve">המשפיעים על </w:t>
            </w:r>
            <w:r w:rsidRPr="00C45CA7">
              <w:rPr>
                <w:rtl/>
              </w:rPr>
              <w:t>שווי</w:t>
            </w:r>
            <w:r w:rsidRPr="00C45CA7">
              <w:rPr>
                <w:rFonts w:hint="cs"/>
                <w:rtl/>
              </w:rPr>
              <w:t>ים</w:t>
            </w:r>
            <w:r w:rsidRPr="00C45CA7">
              <w:rPr>
                <w:rFonts w:hint="cs"/>
                <w:rtl/>
              </w:rPr>
              <w:t xml:space="preserve"> של </w:t>
            </w:r>
            <w:r w:rsidRPr="00C45CA7">
              <w:rPr>
                <w:rtl/>
              </w:rPr>
              <w:t>נכסים</w:t>
            </w:r>
            <w:r w:rsidRPr="00144D5F">
              <w:rPr>
                <w:rtl/>
              </w:rPr>
              <w:t>.</w:t>
            </w:r>
            <w:r w:rsidRPr="00144D5F">
              <w:rPr>
                <w:rFonts w:hint="cs"/>
                <w:rtl/>
              </w:rPr>
              <w:t xml:space="preserve"> </w:t>
            </w:r>
          </w:p>
          <w:p w:rsidR="00EC18E9" w:rsidRPr="00144D5F" w:rsidP="0086740C" w14:paraId="6C696577" w14:textId="55FBC6B3">
            <w:pPr>
              <w:pStyle w:val="73R"/>
              <w:spacing w:line="240" w:lineRule="auto"/>
            </w:pPr>
            <w:r w:rsidRPr="00C45CA7">
              <w:rPr>
                <w:rtl/>
              </w:rPr>
              <w:t>ככל ש</w:t>
            </w:r>
            <w:r w:rsidRPr="00C45CA7">
              <w:rPr>
                <w:rFonts w:hint="cs"/>
                <w:rtl/>
              </w:rPr>
              <w:t xml:space="preserve">מתגברות </w:t>
            </w:r>
            <w:r w:rsidRPr="00C45CA7">
              <w:rPr>
                <w:rtl/>
              </w:rPr>
              <w:t xml:space="preserve">התדירות והעוצמה של אירועי מזג אוויר קיצוניים ברחבי העולם, </w:t>
            </w:r>
            <w:r w:rsidRPr="00C45CA7">
              <w:rPr>
                <w:rFonts w:hint="cs"/>
                <w:rtl/>
              </w:rPr>
              <w:t>כך גדלים</w:t>
            </w:r>
            <w:r w:rsidRPr="00C45CA7">
              <w:rPr>
                <w:rtl/>
              </w:rPr>
              <w:t xml:space="preserve"> </w:t>
            </w:r>
            <w:r w:rsidRPr="00C45CA7">
              <w:rPr>
                <w:rFonts w:hint="cs"/>
                <w:rtl/>
              </w:rPr>
              <w:t>ה</w:t>
            </w:r>
            <w:r w:rsidRPr="00C45CA7">
              <w:rPr>
                <w:rtl/>
              </w:rPr>
              <w:t xml:space="preserve">הפסדים </w:t>
            </w:r>
            <w:r w:rsidRPr="00C45CA7">
              <w:rPr>
                <w:rFonts w:hint="cs"/>
                <w:rtl/>
              </w:rPr>
              <w:t>ה</w:t>
            </w:r>
            <w:r w:rsidRPr="00C45CA7">
              <w:rPr>
                <w:rtl/>
              </w:rPr>
              <w:t xml:space="preserve">כלכליים </w:t>
            </w:r>
            <w:r w:rsidRPr="00C45CA7">
              <w:rPr>
                <w:rFonts w:hint="cs"/>
                <w:rtl/>
              </w:rPr>
              <w:t>ב</w:t>
            </w:r>
            <w:r w:rsidRPr="00C45CA7">
              <w:rPr>
                <w:rtl/>
              </w:rPr>
              <w:t xml:space="preserve">מגזר הציבורי </w:t>
            </w:r>
            <w:r w:rsidRPr="00C45CA7">
              <w:rPr>
                <w:rFonts w:hint="cs"/>
                <w:rtl/>
              </w:rPr>
              <w:t>(</w:t>
            </w:r>
            <w:r w:rsidRPr="00C45CA7">
              <w:rPr>
                <w:rtl/>
              </w:rPr>
              <w:t>והפרטי</w:t>
            </w:r>
            <w:r w:rsidRPr="00C45CA7">
              <w:rPr>
                <w:rFonts w:hint="cs"/>
                <w:rtl/>
              </w:rPr>
              <w:t>), ונפגעות ה</w:t>
            </w:r>
            <w:r w:rsidRPr="00C45CA7">
              <w:rPr>
                <w:rtl/>
              </w:rPr>
              <w:t>התאוששות ו</w:t>
            </w:r>
            <w:r w:rsidRPr="00C45CA7">
              <w:rPr>
                <w:rFonts w:hint="cs"/>
                <w:rtl/>
              </w:rPr>
              <w:t>ה</w:t>
            </w:r>
            <w:r w:rsidRPr="00C45CA7">
              <w:rPr>
                <w:rtl/>
              </w:rPr>
              <w:t xml:space="preserve">צמיחה </w:t>
            </w:r>
            <w:r w:rsidRPr="00C45CA7">
              <w:rPr>
                <w:rFonts w:hint="cs"/>
                <w:rtl/>
              </w:rPr>
              <w:t>ה</w:t>
            </w:r>
            <w:r w:rsidRPr="00C45CA7">
              <w:rPr>
                <w:rtl/>
              </w:rPr>
              <w:t>כלכלית.</w:t>
            </w:r>
            <w:r w:rsidRPr="00C45CA7">
              <w:rPr>
                <w:rFonts w:hint="cs"/>
                <w:rtl/>
              </w:rPr>
              <w:t xml:space="preserve"> לכן, לפי ארגון ה-</w:t>
            </w:r>
            <w:r w:rsidRPr="00C45CA7">
              <w:rPr>
                <w:rFonts w:hint="cs"/>
              </w:rPr>
              <w:t>OECD</w:t>
            </w:r>
            <w:r w:rsidRPr="00C45CA7">
              <w:rPr>
                <w:rFonts w:hint="cs"/>
                <w:rtl/>
              </w:rPr>
              <w:t xml:space="preserve">, </w:t>
            </w:r>
            <w:r w:rsidRPr="00C45CA7">
              <w:rPr>
                <w:rtl/>
              </w:rPr>
              <w:t xml:space="preserve">כדי להבטיח שהמסגרת הפיסקלית תישאר אמינה, ממשלות צריכות לנתח </w:t>
            </w:r>
            <w:r w:rsidRPr="00C45CA7">
              <w:rPr>
                <w:rFonts w:hint="cs"/>
                <w:rtl/>
              </w:rPr>
              <w:t>את הסיכונים ה</w:t>
            </w:r>
            <w:r w:rsidRPr="00C45CA7">
              <w:rPr>
                <w:rtl/>
              </w:rPr>
              <w:t xml:space="preserve">פיסקליים </w:t>
            </w:r>
            <w:r w:rsidRPr="00C45CA7">
              <w:rPr>
                <w:rFonts w:hint="cs"/>
                <w:rtl/>
              </w:rPr>
              <w:t>ה</w:t>
            </w:r>
            <w:r w:rsidRPr="00C45CA7">
              <w:rPr>
                <w:rtl/>
              </w:rPr>
              <w:t xml:space="preserve">קשורים </w:t>
            </w:r>
            <w:r w:rsidRPr="00C45CA7">
              <w:rPr>
                <w:rFonts w:hint="cs"/>
                <w:rtl/>
              </w:rPr>
              <w:t>ב</w:t>
            </w:r>
            <w:r w:rsidRPr="00C45CA7">
              <w:rPr>
                <w:rtl/>
              </w:rPr>
              <w:t xml:space="preserve">אקלים </w:t>
            </w:r>
            <w:r w:rsidRPr="00C45CA7">
              <w:rPr>
                <w:rFonts w:hint="cs"/>
                <w:rtl/>
              </w:rPr>
              <w:t>ולנהלם</w:t>
            </w:r>
            <w:r w:rsidRPr="00C45CA7">
              <w:rPr>
                <w:rtl/>
              </w:rPr>
              <w:t xml:space="preserve">. </w:t>
            </w:r>
            <w:r w:rsidRPr="00C45CA7">
              <w:rPr>
                <w:rFonts w:hint="cs"/>
                <w:rtl/>
              </w:rPr>
              <w:t xml:space="preserve">הוא ממליץ על </w:t>
            </w:r>
            <w:r w:rsidRPr="00C45CA7">
              <w:rPr>
                <w:rtl/>
              </w:rPr>
              <w:t>ניתוח תרחישים מקרו-פיסקליים ו</w:t>
            </w:r>
            <w:r w:rsidRPr="00C45CA7">
              <w:rPr>
                <w:rFonts w:hint="cs"/>
                <w:rtl/>
              </w:rPr>
              <w:t xml:space="preserve">על ביצוע </w:t>
            </w:r>
            <w:r w:rsidRPr="00C45CA7">
              <w:rPr>
                <w:rtl/>
              </w:rPr>
              <w:t>מבחני קיצון פיסקליים</w:t>
            </w:r>
            <w:r w:rsidRPr="00C45CA7">
              <w:rPr>
                <w:rFonts w:hint="cs"/>
                <w:rtl/>
              </w:rPr>
              <w:t xml:space="preserve"> ככלי מועיל ל</w:t>
            </w:r>
            <w:r w:rsidRPr="00C45CA7">
              <w:rPr>
                <w:rtl/>
              </w:rPr>
              <w:t>ניתוח</w:t>
            </w:r>
            <w:r w:rsidRPr="00C45CA7">
              <w:rPr>
                <w:rFonts w:hint="cs"/>
                <w:rtl/>
              </w:rPr>
              <w:t xml:space="preserve"> </w:t>
            </w:r>
            <w:r w:rsidRPr="00C45CA7">
              <w:rPr>
                <w:rtl/>
              </w:rPr>
              <w:t>ו</w:t>
            </w:r>
            <w:r w:rsidRPr="00C45CA7">
              <w:rPr>
                <w:rFonts w:hint="cs"/>
                <w:rtl/>
              </w:rPr>
              <w:t>ל</w:t>
            </w:r>
            <w:r w:rsidRPr="00C45CA7">
              <w:rPr>
                <w:rtl/>
              </w:rPr>
              <w:t xml:space="preserve">ניהול </w:t>
            </w:r>
            <w:r w:rsidRPr="00C45CA7">
              <w:rPr>
                <w:rFonts w:hint="cs"/>
                <w:rtl/>
              </w:rPr>
              <w:t xml:space="preserve">של </w:t>
            </w:r>
            <w:r w:rsidRPr="00C45CA7">
              <w:rPr>
                <w:rtl/>
              </w:rPr>
              <w:t xml:space="preserve">סיכונים </w:t>
            </w:r>
            <w:r w:rsidRPr="00C45CA7">
              <w:rPr>
                <w:rFonts w:hint="cs"/>
                <w:rtl/>
              </w:rPr>
              <w:t>אלו</w:t>
            </w:r>
            <w:r w:rsidRPr="00C45CA7">
              <w:rPr>
                <w:rtl/>
              </w:rPr>
              <w:t>.</w:t>
            </w:r>
            <w:r w:rsidRPr="00C45CA7">
              <w:rPr>
                <w:rFonts w:hint="cs"/>
                <w:rtl/>
              </w:rPr>
              <w:t xml:space="preserve"> עוד ממליץ הארגון על הכללת </w:t>
            </w:r>
            <w:r w:rsidRPr="00C45CA7">
              <w:rPr>
                <w:rtl/>
              </w:rPr>
              <w:t xml:space="preserve">סיכונים </w:t>
            </w:r>
            <w:r w:rsidRPr="00C45CA7">
              <w:rPr>
                <w:rFonts w:hint="cs"/>
                <w:rtl/>
              </w:rPr>
              <w:t>אלו בנ</w:t>
            </w:r>
            <w:r w:rsidRPr="00C45CA7">
              <w:rPr>
                <w:rtl/>
              </w:rPr>
              <w:t xml:space="preserve">יתוח הקיימות הפיסקלית לטווח </w:t>
            </w:r>
            <w:r w:rsidRPr="00C45CA7">
              <w:rPr>
                <w:rFonts w:hint="cs"/>
                <w:rtl/>
              </w:rPr>
              <w:t>ה</w:t>
            </w:r>
            <w:r w:rsidRPr="00C45CA7">
              <w:rPr>
                <w:rtl/>
              </w:rPr>
              <w:t>ארוך</w:t>
            </w:r>
            <w:r w:rsidRPr="00C45CA7">
              <w:rPr>
                <w:rFonts w:hint="cs"/>
                <w:rtl/>
              </w:rPr>
              <w:t xml:space="preserve"> (</w:t>
            </w:r>
            <w:r w:rsidRPr="00C45CA7">
              <w:t>long-term fiscal</w:t>
            </w:r>
            <w:r w:rsidRPr="00144D5F">
              <w:rPr>
                <w:rFonts w:hint="cs"/>
                <w:rtl/>
              </w:rPr>
              <w:t>)</w:t>
            </w:r>
            <w:r w:rsidRPr="00144D5F">
              <w:rPr>
                <w:rtl/>
              </w:rPr>
              <w:t>.</w:t>
            </w:r>
          </w:p>
        </w:tc>
      </w:tr>
      <w:tr w14:paraId="6CD42C96" w14:textId="77777777" w:rsidTr="00EC18E9">
        <w:tblPrEx>
          <w:tblW w:w="6974" w:type="dxa"/>
          <w:tblInd w:w="1056" w:type="dxa"/>
          <w:shd w:val="clear" w:color="auto" w:fill="F0F8F9"/>
          <w:tblLook w:val="04A0"/>
        </w:tblPrEx>
        <w:trPr>
          <w:trHeight w:val="832"/>
        </w:trPr>
        <w:tc>
          <w:tcPr>
            <w:tcW w:w="1029" w:type="dxa"/>
            <w:shd w:val="clear" w:color="auto" w:fill="DFECEF"/>
          </w:tcPr>
          <w:p w:rsidR="00EC18E9" w:rsidRPr="00144D5F" w:rsidP="0086740C" w14:paraId="4F88815E" w14:textId="77777777">
            <w:pPr>
              <w:pStyle w:val="73R"/>
              <w:spacing w:line="240" w:lineRule="auto"/>
              <w:rPr>
                <w:b/>
                <w:bCs/>
              </w:rPr>
            </w:pPr>
            <w:r w:rsidRPr="00144D5F">
              <w:rPr>
                <w:rFonts w:hint="cs"/>
                <w:b/>
                <w:bCs/>
                <w:rtl/>
              </w:rPr>
              <w:t>תיוג ירוק של אמצעי תקצוב</w:t>
            </w:r>
          </w:p>
        </w:tc>
        <w:tc>
          <w:tcPr>
            <w:tcW w:w="5945" w:type="dxa"/>
            <w:shd w:val="clear" w:color="auto" w:fill="DFECEF"/>
          </w:tcPr>
          <w:p w:rsidR="00EC18E9" w:rsidRPr="00144D5F" w:rsidP="0086740C" w14:paraId="42D7D35B" w14:textId="039D2ABB">
            <w:pPr>
              <w:pStyle w:val="73R"/>
              <w:spacing w:line="240" w:lineRule="auto"/>
              <w:rPr>
                <w:rtl/>
              </w:rPr>
            </w:pPr>
            <w:r w:rsidRPr="00C45CA7">
              <w:rPr>
                <w:rFonts w:hint="cs"/>
                <w:rtl/>
              </w:rPr>
              <w:t>הכוונה בתיוג ירוק היא לתיוג (</w:t>
            </w:r>
            <w:r w:rsidRPr="00C45CA7">
              <w:t>tagging</w:t>
            </w:r>
            <w:r w:rsidRPr="00C45CA7">
              <w:rPr>
                <w:rFonts w:hint="cs"/>
                <w:rtl/>
              </w:rPr>
              <w:t>) כל פעולה הקשורה בתקציב המדינה ולסימון של מידת השפעתה על הסביבה (</w:t>
            </w:r>
            <w:r w:rsidRPr="00C45CA7">
              <w:t>environmental impact</w:t>
            </w:r>
            <w:r w:rsidRPr="00C45CA7">
              <w:rPr>
                <w:rFonts w:hint="cs"/>
                <w:rtl/>
              </w:rPr>
              <w:t xml:space="preserve">) ועל השגת יעדי האקלים, לרבות בכל הקשור להכנסות המדינה ולהוצאותיה. נציבות האיחוד האירופי גיבשה פרקטיקה הכוללת רשימה מפורטת של פריטי תקציב "ירוקים" </w:t>
            </w:r>
            <w:r>
              <w:rPr>
                <w:rtl/>
              </w:rPr>
              <w:br/>
            </w:r>
            <w:r w:rsidRPr="00C45CA7">
              <w:rPr>
                <w:rFonts w:hint="cs"/>
                <w:rtl/>
              </w:rPr>
              <w:t>ו-"חומים" (פריטים המשפיעים באופן שלילי על השגת יעדי האקלים והסביבה)</w:t>
            </w:r>
            <w:r>
              <w:rPr>
                <w:vertAlign w:val="superscript"/>
                <w:rtl/>
              </w:rPr>
              <w:footnoteReference w:id="13"/>
            </w:r>
            <w:r w:rsidRPr="00144D5F">
              <w:rPr>
                <w:rFonts w:hint="cs"/>
                <w:rtl/>
              </w:rPr>
              <w:t xml:space="preserve">. </w:t>
            </w:r>
          </w:p>
        </w:tc>
      </w:tr>
      <w:tr w14:paraId="3125920F" w14:textId="77777777" w:rsidTr="00EC18E9">
        <w:tblPrEx>
          <w:tblW w:w="6974" w:type="dxa"/>
          <w:tblInd w:w="1056" w:type="dxa"/>
          <w:shd w:val="clear" w:color="auto" w:fill="F0F8F9"/>
          <w:tblLook w:val="04A0"/>
        </w:tblPrEx>
        <w:trPr>
          <w:trHeight w:val="1845"/>
        </w:trPr>
        <w:tc>
          <w:tcPr>
            <w:tcW w:w="1029" w:type="dxa"/>
            <w:shd w:val="clear" w:color="auto" w:fill="F0F8F9"/>
          </w:tcPr>
          <w:p w:rsidR="00EC18E9" w:rsidRPr="00144D5F" w:rsidP="0086740C" w14:paraId="22BF713A" w14:textId="77777777">
            <w:pPr>
              <w:pStyle w:val="73R"/>
              <w:spacing w:line="240" w:lineRule="auto"/>
              <w:rPr>
                <w:b/>
                <w:bCs/>
                <w:rtl/>
              </w:rPr>
            </w:pPr>
            <w:r w:rsidRPr="00144D5F">
              <w:rPr>
                <w:rFonts w:hint="cs"/>
                <w:b/>
                <w:bCs/>
                <w:rtl/>
              </w:rPr>
              <w:t>הערכת ביצועים והערכת השפעות סביבתיות</w:t>
            </w:r>
          </w:p>
        </w:tc>
        <w:tc>
          <w:tcPr>
            <w:tcW w:w="5945" w:type="dxa"/>
            <w:shd w:val="clear" w:color="auto" w:fill="F0F8F9"/>
          </w:tcPr>
          <w:p w:rsidR="0086740C" w:rsidRPr="00C45CA7" w:rsidP="00287CB1" w14:paraId="7A947F27" w14:textId="77777777">
            <w:pPr>
              <w:pStyle w:val="73R"/>
              <w:numPr>
                <w:ilvl w:val="0"/>
                <w:numId w:val="58"/>
              </w:numPr>
              <w:spacing w:line="240" w:lineRule="auto"/>
            </w:pPr>
            <w:r w:rsidRPr="0086740C">
              <w:rPr>
                <w:rFonts w:hint="cs"/>
                <w:b/>
                <w:bCs/>
                <w:rtl/>
              </w:rPr>
              <w:t>מסגרות להערכת ביצועים</w:t>
            </w:r>
            <w:r w:rsidRPr="0086740C">
              <w:rPr>
                <w:b/>
                <w:bCs/>
                <w:rtl/>
              </w:rPr>
              <w:t>:</w:t>
            </w:r>
            <w:r w:rsidRPr="00C45CA7">
              <w:rPr>
                <w:rFonts w:hint="cs"/>
                <w:rtl/>
              </w:rPr>
              <w:t xml:space="preserve"> מסגרות התומכות בתקצוב ירוק באמצעות מדידת תוצאות ותוצרים.</w:t>
            </w:r>
          </w:p>
          <w:p w:rsidR="00EC18E9" w:rsidRPr="00144D5F" w:rsidP="00287CB1" w14:paraId="0F89B65C" w14:textId="2DDEE9D7">
            <w:pPr>
              <w:pStyle w:val="73R"/>
              <w:numPr>
                <w:ilvl w:val="0"/>
                <w:numId w:val="58"/>
              </w:numPr>
              <w:spacing w:line="240" w:lineRule="auto"/>
              <w:rPr>
                <w:rtl/>
              </w:rPr>
            </w:pPr>
            <w:r w:rsidRPr="0086740C">
              <w:rPr>
                <w:rFonts w:hint="cs"/>
                <w:b/>
                <w:bCs/>
                <w:rtl/>
              </w:rPr>
              <w:t>הערכת ההשפעה של מדיניות (</w:t>
            </w:r>
            <w:r w:rsidRPr="0086740C">
              <w:rPr>
                <w:b/>
                <w:bCs/>
              </w:rPr>
              <w:t>policy impact assessment</w:t>
            </w:r>
            <w:r w:rsidRPr="0086740C">
              <w:rPr>
                <w:rFonts w:hint="cs"/>
                <w:b/>
                <w:bCs/>
                <w:rtl/>
              </w:rPr>
              <w:t>):</w:t>
            </w:r>
            <w:r w:rsidRPr="00C45CA7">
              <w:rPr>
                <w:rFonts w:hint="cs"/>
                <w:rtl/>
              </w:rPr>
              <w:t xml:space="preserve"> הערכה מוקדמת של השפעה סביבתית של מדיניות מסוימת, המאפשרת לממשלות להטמיע שיקולים הקשורים בהשפעות של אמצעים שהן נוקטות על השגת יעדי אקלים וסביבה, נוסף על שיקולי יעילות. באמצעות תמחור מוקדם של ההשפעות הסביבתיות החיצוניות, אמצעי מדיניות עם השפעות שליליות על השגת מטרות סביבתיות ואקלימיות יוערכו בעלות גבוהה יותר מאמצעי מדיניות עם השפעות חיוביות. הדבר חיוני </w:t>
            </w:r>
            <w:r w:rsidRPr="00C45CA7">
              <w:rPr>
                <w:rtl/>
              </w:rPr>
              <w:t>כדי ש</w:t>
            </w:r>
            <w:r w:rsidRPr="00C45CA7">
              <w:rPr>
                <w:rFonts w:hint="cs"/>
                <w:rtl/>
              </w:rPr>
              <w:t>ה</w:t>
            </w:r>
            <w:r w:rsidRPr="00C45CA7">
              <w:rPr>
                <w:rtl/>
              </w:rPr>
              <w:t>ממשלה תבין כיצד</w:t>
            </w:r>
            <w:r w:rsidRPr="00C45CA7">
              <w:rPr>
                <w:rFonts w:hint="cs"/>
                <w:rtl/>
              </w:rPr>
              <w:t xml:space="preserve"> </w:t>
            </w:r>
            <w:r w:rsidRPr="00C45CA7">
              <w:rPr>
                <w:rtl/>
              </w:rPr>
              <w:t>צעדי</w:t>
            </w:r>
            <w:r w:rsidRPr="00C45CA7">
              <w:rPr>
                <w:rFonts w:hint="cs"/>
                <w:rtl/>
              </w:rPr>
              <w:t>ה</w:t>
            </w:r>
            <w:r w:rsidRPr="00C45CA7">
              <w:rPr>
                <w:rtl/>
              </w:rPr>
              <w:t xml:space="preserve"> השפיעו על </w:t>
            </w:r>
            <w:r w:rsidRPr="00C45CA7">
              <w:rPr>
                <w:rFonts w:hint="cs"/>
                <w:rtl/>
              </w:rPr>
              <w:t>השגת ה</w:t>
            </w:r>
            <w:r w:rsidRPr="00C45CA7">
              <w:rPr>
                <w:rtl/>
              </w:rPr>
              <w:t>תחייבויות</w:t>
            </w:r>
            <w:r w:rsidRPr="00C45CA7">
              <w:rPr>
                <w:rFonts w:hint="cs"/>
                <w:rtl/>
              </w:rPr>
              <w:t xml:space="preserve"> סביבתיות ואקלימיות של המדינה</w:t>
            </w:r>
            <w:r w:rsidRPr="00C45CA7">
              <w:rPr>
                <w:rtl/>
              </w:rPr>
              <w:t>.</w:t>
            </w:r>
          </w:p>
        </w:tc>
      </w:tr>
      <w:tr w14:paraId="1B51FA2B" w14:textId="77777777" w:rsidTr="00EC18E9">
        <w:tblPrEx>
          <w:tblW w:w="6974" w:type="dxa"/>
          <w:tblInd w:w="1056" w:type="dxa"/>
          <w:shd w:val="clear" w:color="auto" w:fill="F0F8F9"/>
          <w:tblLook w:val="04A0"/>
        </w:tblPrEx>
        <w:trPr>
          <w:trHeight w:val="1134"/>
        </w:trPr>
        <w:tc>
          <w:tcPr>
            <w:tcW w:w="1029" w:type="dxa"/>
            <w:shd w:val="clear" w:color="auto" w:fill="DFECEF"/>
          </w:tcPr>
          <w:p w:rsidR="00EC18E9" w:rsidRPr="00144D5F" w:rsidP="0086740C" w14:paraId="09610A7E" w14:textId="77777777">
            <w:pPr>
              <w:pStyle w:val="73R"/>
              <w:spacing w:before="100" w:after="100" w:line="240" w:lineRule="auto"/>
              <w:rPr>
                <w:b/>
                <w:bCs/>
                <w:rtl/>
              </w:rPr>
            </w:pPr>
            <w:r w:rsidRPr="00144D5F">
              <w:rPr>
                <w:rFonts w:hint="cs"/>
                <w:b/>
                <w:bCs/>
                <w:rtl/>
              </w:rPr>
              <w:t>סקירה ירוקה של ההוצאה הלאומית</w:t>
            </w:r>
          </w:p>
        </w:tc>
        <w:tc>
          <w:tcPr>
            <w:tcW w:w="5945" w:type="dxa"/>
            <w:shd w:val="clear" w:color="auto" w:fill="DFECEF"/>
          </w:tcPr>
          <w:p w:rsidR="00EC18E9" w:rsidRPr="00144D5F" w:rsidP="0086740C" w14:paraId="6ADC2A5C" w14:textId="0449C32A">
            <w:pPr>
              <w:pStyle w:val="73R"/>
              <w:spacing w:before="100" w:after="100" w:line="240" w:lineRule="auto"/>
              <w:rPr>
                <w:rtl/>
              </w:rPr>
            </w:pPr>
            <w:r w:rsidRPr="00C45CA7">
              <w:rPr>
                <w:rtl/>
              </w:rPr>
              <w:t xml:space="preserve">תהליך שבוחן את ההוצאה </w:t>
            </w:r>
            <w:r w:rsidRPr="00C45CA7">
              <w:rPr>
                <w:rFonts w:hint="cs"/>
                <w:rtl/>
              </w:rPr>
              <w:t xml:space="preserve">הלאומית </w:t>
            </w:r>
            <w:r w:rsidRPr="00C45CA7">
              <w:rPr>
                <w:rtl/>
              </w:rPr>
              <w:t xml:space="preserve">הבסיסית של הממשלה כדי להעריך עד כמה ההוצאה תואמת את מדיניות הממשלה הנוכחית בנושא שינויי </w:t>
            </w:r>
            <w:r w:rsidRPr="00C45CA7">
              <w:rPr>
                <w:rFonts w:hint="cs"/>
                <w:rtl/>
              </w:rPr>
              <w:t>ה</w:t>
            </w:r>
            <w:r w:rsidRPr="00C45CA7">
              <w:rPr>
                <w:rtl/>
              </w:rPr>
              <w:t>אקלים והסביבה.</w:t>
            </w:r>
            <w:r w:rsidRPr="00C45CA7">
              <w:rPr>
                <w:rFonts w:hint="cs"/>
                <w:rtl/>
              </w:rPr>
              <w:t xml:space="preserve"> הדבר</w:t>
            </w:r>
            <w:r w:rsidRPr="00C45CA7">
              <w:rPr>
                <w:rtl/>
              </w:rPr>
              <w:t xml:space="preserve"> משמש לגיבוש </w:t>
            </w:r>
            <w:r w:rsidRPr="00C45CA7">
              <w:rPr>
                <w:rFonts w:hint="cs"/>
                <w:rtl/>
              </w:rPr>
              <w:t>חלופות</w:t>
            </w:r>
            <w:r w:rsidRPr="00C45CA7">
              <w:rPr>
                <w:rtl/>
              </w:rPr>
              <w:t xml:space="preserve"> </w:t>
            </w:r>
            <w:r w:rsidRPr="00C45CA7">
              <w:rPr>
                <w:rFonts w:hint="cs"/>
                <w:rtl/>
              </w:rPr>
              <w:t>שיסייעו</w:t>
            </w:r>
            <w:r w:rsidRPr="00C45CA7">
              <w:rPr>
                <w:rtl/>
              </w:rPr>
              <w:t xml:space="preserve"> לממשלה להשיג את יעדי</w:t>
            </w:r>
            <w:r w:rsidRPr="00C45CA7">
              <w:rPr>
                <w:rFonts w:hint="cs"/>
                <w:rtl/>
              </w:rPr>
              <w:t>ה</w:t>
            </w:r>
            <w:r w:rsidRPr="00C45CA7">
              <w:rPr>
                <w:rtl/>
              </w:rPr>
              <w:t xml:space="preserve"> והתחייבויותיה הבי</w:t>
            </w:r>
            <w:r w:rsidRPr="00C45CA7">
              <w:rPr>
                <w:rFonts w:hint="cs"/>
                <w:rtl/>
              </w:rPr>
              <w:t>ן-</w:t>
            </w:r>
            <w:r w:rsidRPr="00C45CA7">
              <w:rPr>
                <w:rtl/>
              </w:rPr>
              <w:t xml:space="preserve">לאומיות בנושא שינויי </w:t>
            </w:r>
            <w:r w:rsidRPr="00C45CA7">
              <w:rPr>
                <w:rFonts w:hint="cs"/>
                <w:rtl/>
              </w:rPr>
              <w:t>ה</w:t>
            </w:r>
            <w:r w:rsidRPr="00C45CA7">
              <w:rPr>
                <w:rtl/>
              </w:rPr>
              <w:t>אקלים</w:t>
            </w:r>
            <w:r w:rsidRPr="00C45CA7">
              <w:rPr>
                <w:rFonts w:hint="cs"/>
                <w:rtl/>
              </w:rPr>
              <w:t xml:space="preserve"> </w:t>
            </w:r>
            <w:r w:rsidRPr="00C45CA7">
              <w:rPr>
                <w:rtl/>
              </w:rPr>
              <w:t>והסביבה</w:t>
            </w:r>
            <w:r w:rsidRPr="00C45CA7">
              <w:rPr>
                <w:rFonts w:hint="cs"/>
                <w:rtl/>
              </w:rPr>
              <w:t xml:space="preserve"> </w:t>
            </w:r>
            <w:r w:rsidRPr="00C45CA7">
              <w:rPr>
                <w:rFonts w:hint="cs"/>
                <w:rtl/>
              </w:rPr>
              <w:t>ולתעדף</w:t>
            </w:r>
            <w:r w:rsidRPr="00C45CA7">
              <w:rPr>
                <w:rtl/>
              </w:rPr>
              <w:t xml:space="preserve"> השקעות התומכות ביעדים סביבתיים</w:t>
            </w:r>
            <w:r w:rsidRPr="00C45CA7">
              <w:rPr>
                <w:rFonts w:hint="cs"/>
                <w:rtl/>
              </w:rPr>
              <w:t xml:space="preserve"> באמצעות בחינה דרך ממדים</w:t>
            </w:r>
            <w:r w:rsidRPr="00C45CA7">
              <w:rPr>
                <w:rtl/>
              </w:rPr>
              <w:t xml:space="preserve"> סביבתיים לצד יעילות ואפקטיביות</w:t>
            </w:r>
            <w:r w:rsidRPr="00144D5F">
              <w:rPr>
                <w:rtl/>
              </w:rPr>
              <w:t xml:space="preserve">. </w:t>
            </w:r>
          </w:p>
        </w:tc>
      </w:tr>
      <w:tr w14:paraId="1551CCB3" w14:textId="77777777" w:rsidTr="00EC18E9">
        <w:tblPrEx>
          <w:tblW w:w="6974" w:type="dxa"/>
          <w:tblInd w:w="1056" w:type="dxa"/>
          <w:shd w:val="clear" w:color="auto" w:fill="F0F8F9"/>
          <w:tblLook w:val="04A0"/>
        </w:tblPrEx>
        <w:trPr>
          <w:trHeight w:val="549"/>
        </w:trPr>
        <w:tc>
          <w:tcPr>
            <w:tcW w:w="1029" w:type="dxa"/>
            <w:shd w:val="clear" w:color="auto" w:fill="F0F8F9"/>
          </w:tcPr>
          <w:p w:rsidR="00EC18E9" w:rsidRPr="00144D5F" w:rsidP="0086740C" w14:paraId="32F70915" w14:textId="77777777">
            <w:pPr>
              <w:pStyle w:val="73R"/>
              <w:spacing w:before="100" w:after="100" w:line="240" w:lineRule="auto"/>
              <w:rPr>
                <w:b/>
                <w:bCs/>
                <w:rtl/>
              </w:rPr>
            </w:pPr>
            <w:r w:rsidRPr="00144D5F">
              <w:rPr>
                <w:rFonts w:hint="cs"/>
                <w:b/>
                <w:bCs/>
                <w:rtl/>
              </w:rPr>
              <w:t>עיצוב וארגון מוסדי</w:t>
            </w:r>
          </w:p>
        </w:tc>
        <w:tc>
          <w:tcPr>
            <w:tcW w:w="5945" w:type="dxa"/>
            <w:shd w:val="clear" w:color="auto" w:fill="F0F8F9"/>
          </w:tcPr>
          <w:p w:rsidR="0086740C" w:rsidRPr="00C45CA7" w:rsidP="00287CB1" w14:paraId="22BE80CF" w14:textId="77777777">
            <w:pPr>
              <w:pStyle w:val="ListParagraph"/>
              <w:numPr>
                <w:ilvl w:val="0"/>
                <w:numId w:val="58"/>
              </w:numPr>
              <w:spacing w:line="269" w:lineRule="auto"/>
              <w:jc w:val="left"/>
              <w:rPr>
                <w:rFonts w:ascii="Tahoma" w:hAnsi="Tahoma" w:eastAsiaTheme="minorEastAsia" w:cs="Tahoma"/>
                <w:sz w:val="16"/>
                <w:szCs w:val="16"/>
              </w:rPr>
            </w:pPr>
            <w:r w:rsidRPr="0086740C">
              <w:rPr>
                <w:rFonts w:ascii="Tahoma" w:hAnsi="Tahoma" w:eastAsiaTheme="minorEastAsia" w:cs="Tahoma" w:hint="cs"/>
                <w:b/>
                <w:bCs/>
                <w:sz w:val="16"/>
                <w:szCs w:val="16"/>
                <w:rtl/>
              </w:rPr>
              <w:t>עיגון מ</w:t>
            </w:r>
            <w:r w:rsidRPr="0086740C">
              <w:rPr>
                <w:rFonts w:ascii="Tahoma" w:hAnsi="Tahoma" w:eastAsiaTheme="minorEastAsia" w:cs="Tahoma"/>
                <w:b/>
                <w:bCs/>
                <w:sz w:val="16"/>
                <w:szCs w:val="16"/>
                <w:rtl/>
              </w:rPr>
              <w:t xml:space="preserve">סגרת </w:t>
            </w:r>
            <w:r w:rsidRPr="0086740C">
              <w:rPr>
                <w:rFonts w:ascii="Tahoma" w:hAnsi="Tahoma" w:eastAsiaTheme="minorEastAsia" w:cs="Tahoma" w:hint="cs"/>
                <w:b/>
                <w:bCs/>
                <w:sz w:val="16"/>
                <w:szCs w:val="16"/>
                <w:rtl/>
              </w:rPr>
              <w:t>עקרונית</w:t>
            </w:r>
            <w:r w:rsidRPr="0086740C">
              <w:rPr>
                <w:rFonts w:ascii="Tahoma" w:hAnsi="Tahoma" w:eastAsiaTheme="minorEastAsia" w:cs="Tahoma"/>
                <w:b/>
                <w:bCs/>
                <w:sz w:val="16"/>
                <w:szCs w:val="16"/>
                <w:rtl/>
              </w:rPr>
              <w:t xml:space="preserve"> </w:t>
            </w:r>
            <w:r w:rsidRPr="0086740C">
              <w:rPr>
                <w:rFonts w:ascii="Tahoma" w:hAnsi="Tahoma" w:eastAsiaTheme="minorEastAsia" w:cs="Tahoma" w:hint="cs"/>
                <w:b/>
                <w:bCs/>
                <w:sz w:val="16"/>
                <w:szCs w:val="16"/>
                <w:rtl/>
              </w:rPr>
              <w:t xml:space="preserve">בנושא </w:t>
            </w:r>
            <w:r w:rsidRPr="0086740C">
              <w:rPr>
                <w:rFonts w:ascii="Tahoma" w:hAnsi="Tahoma" w:eastAsiaTheme="minorEastAsia" w:cs="Tahoma"/>
                <w:b/>
                <w:bCs/>
                <w:sz w:val="16"/>
                <w:szCs w:val="16"/>
                <w:rtl/>
              </w:rPr>
              <w:t xml:space="preserve">תקצוב ירוק </w:t>
            </w:r>
            <w:r w:rsidRPr="0086740C">
              <w:rPr>
                <w:rFonts w:ascii="Tahoma" w:hAnsi="Tahoma" w:eastAsiaTheme="minorEastAsia" w:cs="Tahoma" w:hint="cs"/>
                <w:b/>
                <w:bCs/>
                <w:sz w:val="16"/>
                <w:szCs w:val="16"/>
                <w:rtl/>
              </w:rPr>
              <w:t>ב</w:t>
            </w:r>
            <w:r w:rsidRPr="0086740C">
              <w:rPr>
                <w:rFonts w:ascii="Tahoma" w:hAnsi="Tahoma" w:eastAsiaTheme="minorEastAsia" w:cs="Tahoma"/>
                <w:b/>
                <w:bCs/>
                <w:sz w:val="16"/>
                <w:szCs w:val="16"/>
                <w:rtl/>
              </w:rPr>
              <w:t>חקיקה:</w:t>
            </w:r>
            <w:r w:rsidRPr="00C45CA7">
              <w:rPr>
                <w:rFonts w:ascii="Tahoma" w:hAnsi="Tahoma" w:eastAsiaTheme="minorEastAsia" w:cs="Tahoma"/>
                <w:sz w:val="16"/>
                <w:szCs w:val="16"/>
                <w:rtl/>
              </w:rPr>
              <w:t xml:space="preserve"> </w:t>
            </w:r>
            <w:r w:rsidRPr="00C45CA7">
              <w:rPr>
                <w:rFonts w:ascii="Tahoma" w:hAnsi="Tahoma" w:eastAsiaTheme="minorEastAsia" w:cs="Tahoma" w:hint="cs"/>
                <w:sz w:val="16"/>
                <w:szCs w:val="16"/>
                <w:rtl/>
              </w:rPr>
              <w:t>מ</w:t>
            </w:r>
            <w:r w:rsidRPr="00C45CA7">
              <w:rPr>
                <w:rFonts w:ascii="Tahoma" w:hAnsi="Tahoma" w:eastAsiaTheme="minorEastAsia" w:cs="Tahoma"/>
                <w:sz w:val="16"/>
                <w:szCs w:val="16"/>
                <w:rtl/>
              </w:rPr>
              <w:t xml:space="preserve">ספק </w:t>
            </w:r>
            <w:r w:rsidRPr="00C45CA7">
              <w:rPr>
                <w:rFonts w:ascii="Tahoma" w:hAnsi="Tahoma" w:eastAsiaTheme="minorEastAsia" w:cs="Tahoma" w:hint="cs"/>
                <w:sz w:val="16"/>
                <w:szCs w:val="16"/>
                <w:rtl/>
              </w:rPr>
              <w:t xml:space="preserve">עוגן </w:t>
            </w:r>
            <w:r w:rsidRPr="00C45CA7">
              <w:rPr>
                <w:rFonts w:ascii="Tahoma" w:hAnsi="Tahoma" w:eastAsiaTheme="minorEastAsia" w:cs="Tahoma"/>
                <w:sz w:val="16"/>
                <w:szCs w:val="16"/>
                <w:rtl/>
              </w:rPr>
              <w:t>חזק</w:t>
            </w:r>
            <w:r w:rsidRPr="00C45CA7">
              <w:rPr>
                <w:rFonts w:ascii="Tahoma" w:hAnsi="Tahoma" w:eastAsiaTheme="minorEastAsia" w:cs="Tahoma" w:hint="cs"/>
                <w:sz w:val="16"/>
                <w:szCs w:val="16"/>
                <w:rtl/>
              </w:rPr>
              <w:t xml:space="preserve"> למוסדות ולבעלי תפקידים לרוחב הממשלה כדי לבצע את</w:t>
            </w:r>
            <w:r w:rsidRPr="00C45CA7">
              <w:rPr>
                <w:rFonts w:ascii="Tahoma" w:hAnsi="Tahoma" w:eastAsiaTheme="minorEastAsia" w:cs="Tahoma"/>
                <w:sz w:val="16"/>
                <w:szCs w:val="16"/>
                <w:rtl/>
              </w:rPr>
              <w:t xml:space="preserve"> תפקידם </w:t>
            </w:r>
            <w:r w:rsidRPr="00C45CA7">
              <w:rPr>
                <w:rFonts w:ascii="Tahoma" w:hAnsi="Tahoma" w:eastAsiaTheme="minorEastAsia" w:cs="Tahoma" w:hint="cs"/>
                <w:sz w:val="16"/>
                <w:szCs w:val="16"/>
                <w:rtl/>
              </w:rPr>
              <w:t xml:space="preserve">ולממש את </w:t>
            </w:r>
            <w:r w:rsidRPr="00C45CA7">
              <w:rPr>
                <w:rFonts w:ascii="Tahoma" w:hAnsi="Tahoma" w:eastAsiaTheme="minorEastAsia" w:cs="Tahoma"/>
                <w:sz w:val="16"/>
                <w:szCs w:val="16"/>
                <w:rtl/>
              </w:rPr>
              <w:t>אחריות</w:t>
            </w:r>
            <w:r w:rsidRPr="00C45CA7">
              <w:rPr>
                <w:rFonts w:ascii="Tahoma" w:hAnsi="Tahoma" w:eastAsiaTheme="minorEastAsia" w:cs="Tahoma" w:hint="cs"/>
                <w:sz w:val="16"/>
                <w:szCs w:val="16"/>
                <w:rtl/>
              </w:rPr>
              <w:t>ם</w:t>
            </w:r>
            <w:r w:rsidRPr="00C45CA7">
              <w:rPr>
                <w:rFonts w:ascii="Tahoma" w:hAnsi="Tahoma" w:eastAsiaTheme="minorEastAsia" w:cs="Tahoma"/>
                <w:sz w:val="16"/>
                <w:szCs w:val="16"/>
                <w:rtl/>
              </w:rPr>
              <w:t>.</w:t>
            </w:r>
            <w:r w:rsidRPr="00C45CA7">
              <w:rPr>
                <w:rFonts w:ascii="Tahoma" w:hAnsi="Tahoma" w:eastAsiaTheme="minorEastAsia" w:cs="Tahoma" w:hint="cs"/>
                <w:sz w:val="16"/>
                <w:szCs w:val="16"/>
                <w:rtl/>
              </w:rPr>
              <w:t xml:space="preserve"> </w:t>
            </w:r>
            <w:r w:rsidRPr="00C45CA7">
              <w:rPr>
                <w:rFonts w:ascii="Tahoma" w:hAnsi="Tahoma" w:eastAsiaTheme="minorEastAsia" w:cs="Tahoma"/>
                <w:sz w:val="16"/>
                <w:szCs w:val="16"/>
                <w:rtl/>
              </w:rPr>
              <w:t xml:space="preserve">חקיקה </w:t>
            </w:r>
            <w:r w:rsidRPr="00C45CA7">
              <w:rPr>
                <w:rFonts w:ascii="Tahoma" w:hAnsi="Tahoma" w:eastAsiaTheme="minorEastAsia" w:cs="Tahoma" w:hint="cs"/>
                <w:sz w:val="16"/>
                <w:szCs w:val="16"/>
                <w:rtl/>
              </w:rPr>
              <w:t>כזו יכולה לתמוך בבניית</w:t>
            </w:r>
            <w:r w:rsidRPr="00C45CA7">
              <w:rPr>
                <w:rFonts w:ascii="Tahoma" w:hAnsi="Tahoma" w:eastAsiaTheme="minorEastAsia" w:cs="Tahoma"/>
                <w:sz w:val="16"/>
                <w:szCs w:val="16"/>
                <w:rtl/>
              </w:rPr>
              <w:t xml:space="preserve"> יכולת</w:t>
            </w:r>
            <w:r w:rsidRPr="00C45CA7">
              <w:rPr>
                <w:rFonts w:ascii="Tahoma" w:hAnsi="Tahoma" w:eastAsiaTheme="minorEastAsia" w:cs="Tahoma" w:hint="cs"/>
                <w:sz w:val="16"/>
                <w:szCs w:val="16"/>
                <w:rtl/>
              </w:rPr>
              <w:t xml:space="preserve"> בתחום</w:t>
            </w:r>
            <w:r w:rsidRPr="00C45CA7">
              <w:rPr>
                <w:rFonts w:ascii="Tahoma" w:hAnsi="Tahoma" w:eastAsiaTheme="minorEastAsia" w:cs="Tahoma"/>
                <w:sz w:val="16"/>
                <w:szCs w:val="16"/>
                <w:rtl/>
              </w:rPr>
              <w:t xml:space="preserve"> </w:t>
            </w:r>
            <w:r w:rsidRPr="00C45CA7">
              <w:rPr>
                <w:rFonts w:ascii="Tahoma" w:hAnsi="Tahoma" w:eastAsiaTheme="minorEastAsia" w:cs="Tahoma" w:hint="cs"/>
                <w:sz w:val="16"/>
                <w:szCs w:val="16"/>
                <w:rtl/>
              </w:rPr>
              <w:t>ול</w:t>
            </w:r>
            <w:r w:rsidRPr="00C45CA7">
              <w:rPr>
                <w:rFonts w:ascii="Tahoma" w:hAnsi="Tahoma" w:eastAsiaTheme="minorEastAsia" w:cs="Tahoma"/>
                <w:sz w:val="16"/>
                <w:szCs w:val="16"/>
                <w:rtl/>
              </w:rPr>
              <w:t>גשר בין תכנון אסטרטגי לבין</w:t>
            </w:r>
            <w:r w:rsidRPr="00C45CA7">
              <w:rPr>
                <w:rFonts w:ascii="Tahoma" w:hAnsi="Tahoma" w:eastAsiaTheme="minorEastAsia" w:cs="Tahoma" w:hint="cs"/>
                <w:sz w:val="16"/>
                <w:szCs w:val="16"/>
                <w:rtl/>
              </w:rPr>
              <w:t xml:space="preserve"> </w:t>
            </w:r>
            <w:r w:rsidRPr="00C45CA7">
              <w:rPr>
                <w:rFonts w:ascii="Tahoma" w:hAnsi="Tahoma" w:eastAsiaTheme="minorEastAsia" w:cs="Tahoma"/>
                <w:sz w:val="16"/>
                <w:szCs w:val="16"/>
                <w:rtl/>
              </w:rPr>
              <w:t>תִקצוּב</w:t>
            </w:r>
            <w:r>
              <w:rPr>
                <w:rFonts w:ascii="Tahoma" w:hAnsi="Tahoma" w:eastAsiaTheme="minorEastAsia" w:cs="Tahoma"/>
                <w:sz w:val="16"/>
                <w:szCs w:val="16"/>
                <w:vertAlign w:val="superscript"/>
                <w:rtl/>
              </w:rPr>
              <w:footnoteReference w:id="14"/>
            </w:r>
            <w:r w:rsidRPr="00C45CA7">
              <w:rPr>
                <w:rFonts w:ascii="Tahoma" w:hAnsi="Tahoma" w:eastAsiaTheme="minorEastAsia" w:cs="Tahoma"/>
                <w:sz w:val="16"/>
                <w:szCs w:val="16"/>
                <w:rtl/>
              </w:rPr>
              <w:t xml:space="preserve">. </w:t>
            </w:r>
            <w:r w:rsidRPr="00C45CA7">
              <w:rPr>
                <w:rFonts w:ascii="Tahoma" w:hAnsi="Tahoma" w:eastAsiaTheme="minorEastAsia" w:cs="Tahoma" w:hint="cs"/>
                <w:sz w:val="16"/>
                <w:szCs w:val="16"/>
                <w:rtl/>
              </w:rPr>
              <w:t>ארגון</w:t>
            </w:r>
            <w:r w:rsidRPr="00C45CA7">
              <w:rPr>
                <w:rFonts w:ascii="Tahoma" w:hAnsi="Tahoma" w:eastAsiaTheme="minorEastAsia" w:cs="Tahoma"/>
                <w:sz w:val="16"/>
                <w:szCs w:val="16"/>
                <w:rtl/>
              </w:rPr>
              <w:t xml:space="preserve"> מוסדי </w:t>
            </w:r>
            <w:r w:rsidRPr="00C45CA7">
              <w:rPr>
                <w:rFonts w:ascii="Tahoma" w:hAnsi="Tahoma" w:eastAsiaTheme="minorEastAsia" w:cs="Tahoma" w:hint="cs"/>
                <w:sz w:val="16"/>
                <w:szCs w:val="16"/>
                <w:rtl/>
              </w:rPr>
              <w:t>ש</w:t>
            </w:r>
            <w:r w:rsidRPr="00C45CA7">
              <w:rPr>
                <w:rFonts w:ascii="Tahoma" w:hAnsi="Tahoma" w:eastAsiaTheme="minorEastAsia" w:cs="Tahoma"/>
                <w:sz w:val="16"/>
                <w:szCs w:val="16"/>
                <w:rtl/>
              </w:rPr>
              <w:t xml:space="preserve">מוגדר היטב </w:t>
            </w:r>
            <w:r w:rsidRPr="00C45CA7">
              <w:rPr>
                <w:rFonts w:ascii="Tahoma" w:hAnsi="Tahoma" w:eastAsiaTheme="minorEastAsia" w:cs="Tahoma" w:hint="cs"/>
                <w:sz w:val="16"/>
                <w:szCs w:val="16"/>
                <w:rtl/>
              </w:rPr>
              <w:t>ייצור סביבה המאפשרת שימוש בכלי</w:t>
            </w:r>
            <w:r w:rsidRPr="00C45CA7">
              <w:rPr>
                <w:rFonts w:ascii="Tahoma" w:hAnsi="Tahoma" w:eastAsiaTheme="minorEastAsia" w:cs="Tahoma"/>
                <w:sz w:val="16"/>
                <w:szCs w:val="16"/>
                <w:rtl/>
              </w:rPr>
              <w:t xml:space="preserve"> תקצוב ירוק</w:t>
            </w:r>
            <w:r w:rsidRPr="00C45CA7">
              <w:rPr>
                <w:rFonts w:ascii="Tahoma" w:hAnsi="Tahoma" w:eastAsiaTheme="minorEastAsia" w:cs="Tahoma" w:hint="cs"/>
                <w:sz w:val="16"/>
                <w:szCs w:val="16"/>
                <w:rtl/>
              </w:rPr>
              <w:t xml:space="preserve">, דבר חיוני שכן </w:t>
            </w:r>
            <w:r w:rsidRPr="00C45CA7">
              <w:rPr>
                <w:rFonts w:ascii="Tahoma" w:hAnsi="Tahoma" w:eastAsiaTheme="minorEastAsia" w:cs="Tahoma"/>
                <w:sz w:val="16"/>
                <w:szCs w:val="16"/>
                <w:rtl/>
              </w:rPr>
              <w:t xml:space="preserve">תקצוב ירוק דורש </w:t>
            </w:r>
            <w:r w:rsidRPr="00C45CA7">
              <w:rPr>
                <w:rFonts w:ascii="Tahoma" w:hAnsi="Tahoma" w:eastAsiaTheme="minorEastAsia" w:cs="Tahoma" w:hint="cs"/>
                <w:sz w:val="16"/>
                <w:szCs w:val="16"/>
                <w:rtl/>
              </w:rPr>
              <w:t xml:space="preserve">הפעלה של </w:t>
            </w:r>
            <w:r w:rsidRPr="00C45CA7">
              <w:rPr>
                <w:rFonts w:ascii="Tahoma" w:hAnsi="Tahoma" w:eastAsiaTheme="minorEastAsia" w:cs="Tahoma"/>
                <w:sz w:val="16"/>
                <w:szCs w:val="16"/>
                <w:rtl/>
              </w:rPr>
              <w:t>גיש</w:t>
            </w:r>
            <w:r w:rsidRPr="00C45CA7">
              <w:rPr>
                <w:rFonts w:ascii="Tahoma" w:hAnsi="Tahoma" w:eastAsiaTheme="minorEastAsia" w:cs="Tahoma" w:hint="cs"/>
                <w:sz w:val="16"/>
                <w:szCs w:val="16"/>
                <w:rtl/>
              </w:rPr>
              <w:t>ת</w:t>
            </w:r>
            <w:r w:rsidRPr="00C45CA7">
              <w:rPr>
                <w:rFonts w:ascii="Tahoma" w:hAnsi="Tahoma" w:eastAsiaTheme="minorEastAsia" w:cs="Tahoma"/>
                <w:sz w:val="16"/>
                <w:szCs w:val="16"/>
                <w:rtl/>
              </w:rPr>
              <w:t xml:space="preserve"> </w:t>
            </w:r>
            <w:r w:rsidRPr="00C45CA7">
              <w:rPr>
                <w:rFonts w:ascii="Tahoma" w:hAnsi="Tahoma" w:eastAsiaTheme="minorEastAsia" w:cs="Tahoma" w:hint="cs"/>
                <w:sz w:val="16"/>
                <w:szCs w:val="16"/>
                <w:rtl/>
              </w:rPr>
              <w:t>"</w:t>
            </w:r>
            <w:r w:rsidRPr="00C45CA7">
              <w:rPr>
                <w:rFonts w:ascii="Tahoma" w:hAnsi="Tahoma" w:eastAsiaTheme="minorEastAsia" w:cs="Tahoma"/>
                <w:sz w:val="16"/>
                <w:szCs w:val="16"/>
                <w:rtl/>
              </w:rPr>
              <w:t>הממשלה השלמה</w:t>
            </w:r>
            <w:r w:rsidRPr="00C45CA7">
              <w:rPr>
                <w:rFonts w:ascii="Tahoma" w:hAnsi="Tahoma" w:eastAsiaTheme="minorEastAsia" w:cs="Tahoma" w:hint="cs"/>
                <w:sz w:val="16"/>
                <w:szCs w:val="16"/>
                <w:rtl/>
              </w:rPr>
              <w:t>" (</w:t>
            </w:r>
            <w:r w:rsidRPr="00C45CA7">
              <w:rPr>
                <w:rFonts w:ascii="Tahoma" w:hAnsi="Tahoma" w:eastAsiaTheme="minorEastAsia" w:cs="Tahoma"/>
                <w:sz w:val="16"/>
                <w:szCs w:val="16"/>
              </w:rPr>
              <w:t>the whole government approach</w:t>
            </w:r>
            <w:r w:rsidRPr="00C45CA7">
              <w:rPr>
                <w:rFonts w:ascii="Tahoma" w:hAnsi="Tahoma" w:eastAsiaTheme="minorEastAsia" w:cs="Tahoma" w:hint="cs"/>
                <w:sz w:val="16"/>
                <w:szCs w:val="16"/>
                <w:rtl/>
              </w:rPr>
              <w:t>), לרבות בנוגע להגדרת</w:t>
            </w:r>
            <w:r w:rsidRPr="00C45CA7">
              <w:rPr>
                <w:rFonts w:ascii="Tahoma" w:hAnsi="Tahoma" w:eastAsiaTheme="minorEastAsia" w:cs="Tahoma"/>
                <w:sz w:val="16"/>
                <w:szCs w:val="16"/>
                <w:rtl/>
              </w:rPr>
              <w:t xml:space="preserve"> קשרים בין תכנון אסטרטגי לתקציב</w:t>
            </w:r>
            <w:r w:rsidRPr="00C45CA7">
              <w:rPr>
                <w:rFonts w:ascii="Tahoma" w:hAnsi="Tahoma" w:eastAsiaTheme="minorEastAsia" w:cs="Tahoma" w:hint="cs"/>
                <w:sz w:val="16"/>
                <w:szCs w:val="16"/>
                <w:rtl/>
              </w:rPr>
              <w:t xml:space="preserve">; הגדרת </w:t>
            </w:r>
            <w:r w:rsidRPr="00C45CA7">
              <w:rPr>
                <w:rFonts w:ascii="Tahoma" w:hAnsi="Tahoma" w:eastAsiaTheme="minorEastAsia" w:cs="Tahoma"/>
                <w:sz w:val="16"/>
                <w:szCs w:val="16"/>
                <w:rtl/>
              </w:rPr>
              <w:t>תהליכים מבוססי ראיות</w:t>
            </w:r>
            <w:r w:rsidRPr="00C45CA7">
              <w:rPr>
                <w:rFonts w:ascii="Tahoma" w:hAnsi="Tahoma" w:eastAsiaTheme="minorEastAsia" w:cs="Tahoma" w:hint="cs"/>
                <w:sz w:val="16"/>
                <w:szCs w:val="16"/>
                <w:rtl/>
              </w:rPr>
              <w:t>;</w:t>
            </w:r>
            <w:r w:rsidRPr="00C45CA7">
              <w:rPr>
                <w:rFonts w:ascii="Tahoma" w:hAnsi="Tahoma" w:eastAsiaTheme="minorEastAsia" w:cs="Tahoma"/>
                <w:sz w:val="16"/>
                <w:szCs w:val="16"/>
                <w:rtl/>
              </w:rPr>
              <w:t xml:space="preserve"> </w:t>
            </w:r>
            <w:r w:rsidRPr="00C45CA7">
              <w:rPr>
                <w:rFonts w:ascii="Tahoma" w:hAnsi="Tahoma" w:eastAsiaTheme="minorEastAsia" w:cs="Tahoma" w:hint="cs"/>
                <w:sz w:val="16"/>
                <w:szCs w:val="16"/>
                <w:rtl/>
              </w:rPr>
              <w:t xml:space="preserve">וחלוקת </w:t>
            </w:r>
            <w:r w:rsidRPr="00C45CA7">
              <w:rPr>
                <w:rFonts w:ascii="Tahoma" w:hAnsi="Tahoma" w:eastAsiaTheme="minorEastAsia" w:cs="Tahoma"/>
                <w:sz w:val="16"/>
                <w:szCs w:val="16"/>
                <w:rtl/>
              </w:rPr>
              <w:t>התפקידים והאחריות של כל הצדדים הרלוונטיים</w:t>
            </w:r>
            <w:r w:rsidRPr="00C45CA7">
              <w:rPr>
                <w:rFonts w:ascii="Tahoma" w:hAnsi="Tahoma" w:eastAsiaTheme="minorEastAsia" w:cs="Tahoma" w:hint="cs"/>
                <w:sz w:val="16"/>
                <w:szCs w:val="16"/>
                <w:rtl/>
              </w:rPr>
              <w:t>.</w:t>
            </w:r>
            <w:r w:rsidRPr="00C45CA7">
              <w:rPr>
                <w:rFonts w:ascii="Tahoma" w:hAnsi="Tahoma" w:eastAsiaTheme="minorEastAsia" w:cs="Tahoma"/>
                <w:sz w:val="16"/>
                <w:szCs w:val="16"/>
                <w:rtl/>
              </w:rPr>
              <w:t xml:space="preserve"> </w:t>
            </w:r>
          </w:p>
          <w:p w:rsidR="0086740C" w:rsidRPr="00C45CA7" w:rsidP="00287CB1" w14:paraId="01603E73" w14:textId="77777777">
            <w:pPr>
              <w:pStyle w:val="ListParagraph"/>
              <w:numPr>
                <w:ilvl w:val="0"/>
                <w:numId w:val="58"/>
              </w:numPr>
              <w:spacing w:line="269" w:lineRule="auto"/>
              <w:jc w:val="left"/>
              <w:rPr>
                <w:rFonts w:ascii="Tahoma" w:hAnsi="Tahoma" w:eastAsiaTheme="minorEastAsia" w:cs="Tahoma"/>
                <w:sz w:val="16"/>
                <w:szCs w:val="16"/>
              </w:rPr>
            </w:pPr>
            <w:r w:rsidRPr="0086740C">
              <w:rPr>
                <w:rFonts w:ascii="Tahoma" w:hAnsi="Tahoma" w:eastAsiaTheme="minorEastAsia" w:cs="Tahoma" w:hint="cs"/>
                <w:b/>
                <w:bCs/>
                <w:sz w:val="16"/>
                <w:szCs w:val="16"/>
                <w:rtl/>
              </w:rPr>
              <w:t>מחויבות של דרג מקבלי ההחלטות ותפקידו של משרד האוצר</w:t>
            </w:r>
            <w:r w:rsidRPr="0086740C">
              <w:rPr>
                <w:rFonts w:ascii="Tahoma" w:hAnsi="Tahoma" w:eastAsiaTheme="minorEastAsia" w:cs="Tahoma"/>
                <w:b/>
                <w:bCs/>
                <w:sz w:val="16"/>
                <w:szCs w:val="16"/>
                <w:rtl/>
              </w:rPr>
              <w:t>:</w:t>
            </w:r>
            <w:r w:rsidRPr="00C45CA7">
              <w:rPr>
                <w:rFonts w:ascii="Tahoma" w:hAnsi="Tahoma" w:eastAsiaTheme="minorEastAsia" w:cs="Tahoma" w:hint="cs"/>
                <w:sz w:val="16"/>
                <w:szCs w:val="16"/>
                <w:rtl/>
              </w:rPr>
              <w:t xml:space="preserve"> לפי ארגון ה-</w:t>
            </w:r>
            <w:r w:rsidRPr="00C45CA7">
              <w:rPr>
                <w:rFonts w:ascii="Tahoma" w:hAnsi="Tahoma" w:eastAsiaTheme="minorEastAsia" w:cs="Tahoma"/>
                <w:sz w:val="16"/>
                <w:szCs w:val="16"/>
              </w:rPr>
              <w:t>OECD</w:t>
            </w:r>
            <w:r w:rsidRPr="00C45CA7">
              <w:rPr>
                <w:rFonts w:ascii="Tahoma" w:hAnsi="Tahoma" w:eastAsiaTheme="minorEastAsia" w:cs="Tahoma" w:hint="cs"/>
                <w:sz w:val="16"/>
                <w:szCs w:val="16"/>
                <w:rtl/>
              </w:rPr>
              <w:t>, הנהגת ת</w:t>
            </w:r>
            <w:r w:rsidRPr="00C45CA7">
              <w:rPr>
                <w:rFonts w:ascii="Tahoma" w:hAnsi="Tahoma" w:eastAsiaTheme="minorEastAsia" w:cs="Tahoma"/>
                <w:sz w:val="16"/>
                <w:szCs w:val="16"/>
                <w:rtl/>
              </w:rPr>
              <w:t xml:space="preserve">קצוב ירוק </w:t>
            </w:r>
            <w:r w:rsidRPr="00C45CA7">
              <w:rPr>
                <w:rFonts w:ascii="Tahoma" w:hAnsi="Tahoma" w:eastAsiaTheme="minorEastAsia" w:cs="Tahoma" w:hint="cs"/>
                <w:sz w:val="16"/>
                <w:szCs w:val="16"/>
                <w:rtl/>
              </w:rPr>
              <w:t>נשענת</w:t>
            </w:r>
            <w:r w:rsidRPr="00C45CA7">
              <w:rPr>
                <w:rFonts w:ascii="Tahoma" w:hAnsi="Tahoma" w:eastAsiaTheme="minorEastAsia" w:cs="Tahoma"/>
                <w:sz w:val="16"/>
                <w:szCs w:val="16"/>
                <w:rtl/>
              </w:rPr>
              <w:t xml:space="preserve"> </w:t>
            </w:r>
            <w:r w:rsidRPr="00C45CA7">
              <w:rPr>
                <w:rFonts w:ascii="Tahoma" w:hAnsi="Tahoma" w:eastAsiaTheme="minorEastAsia" w:cs="Tahoma" w:hint="cs"/>
                <w:sz w:val="16"/>
                <w:szCs w:val="16"/>
                <w:rtl/>
              </w:rPr>
              <w:t xml:space="preserve">על </w:t>
            </w:r>
            <w:r w:rsidRPr="00C45CA7">
              <w:rPr>
                <w:rFonts w:ascii="Tahoma" w:hAnsi="Tahoma" w:eastAsiaTheme="minorEastAsia" w:cs="Tahoma"/>
                <w:sz w:val="16"/>
                <w:szCs w:val="16"/>
                <w:rtl/>
              </w:rPr>
              <w:t xml:space="preserve">מחויבות פוליטית </w:t>
            </w:r>
            <w:r w:rsidRPr="00C45CA7">
              <w:rPr>
                <w:rFonts w:ascii="Tahoma" w:hAnsi="Tahoma" w:eastAsiaTheme="minorEastAsia" w:cs="Tahoma" w:hint="cs"/>
                <w:sz w:val="16"/>
                <w:szCs w:val="16"/>
                <w:rtl/>
              </w:rPr>
              <w:t>רמת דרג</w:t>
            </w:r>
            <w:r w:rsidRPr="00C45CA7">
              <w:rPr>
                <w:rFonts w:ascii="Tahoma" w:hAnsi="Tahoma" w:eastAsiaTheme="minorEastAsia" w:cs="Tahoma"/>
                <w:sz w:val="16"/>
                <w:szCs w:val="16"/>
                <w:rtl/>
              </w:rPr>
              <w:t xml:space="preserve">, </w:t>
            </w:r>
            <w:r w:rsidRPr="00C45CA7">
              <w:rPr>
                <w:rFonts w:ascii="Tahoma" w:hAnsi="Tahoma" w:eastAsiaTheme="minorEastAsia" w:cs="Tahoma" w:hint="cs"/>
                <w:sz w:val="16"/>
                <w:szCs w:val="16"/>
                <w:rtl/>
              </w:rPr>
              <w:t xml:space="preserve">ומשרדי האוצר </w:t>
            </w:r>
            <w:r w:rsidRPr="00C45CA7">
              <w:rPr>
                <w:rFonts w:ascii="Tahoma" w:hAnsi="Tahoma" w:eastAsiaTheme="minorEastAsia" w:cs="Tahoma" w:hint="cs"/>
                <w:sz w:val="16"/>
                <w:szCs w:val="16"/>
                <w:rtl/>
              </w:rPr>
              <w:t>והג"ס</w:t>
            </w:r>
            <w:r w:rsidRPr="00C45CA7">
              <w:rPr>
                <w:rFonts w:ascii="Tahoma" w:hAnsi="Tahoma" w:eastAsiaTheme="minorEastAsia" w:cs="Tahoma" w:hint="cs"/>
                <w:sz w:val="16"/>
                <w:szCs w:val="16"/>
                <w:rtl/>
              </w:rPr>
              <w:t xml:space="preserve"> (או האקלים)</w:t>
            </w:r>
            <w:r w:rsidRPr="00C45CA7">
              <w:rPr>
                <w:rFonts w:ascii="Tahoma" w:hAnsi="Tahoma" w:eastAsiaTheme="minorEastAsia" w:cs="Tahoma"/>
                <w:sz w:val="16"/>
                <w:szCs w:val="16"/>
                <w:rtl/>
              </w:rPr>
              <w:t xml:space="preserve"> </w:t>
            </w:r>
            <w:r w:rsidRPr="00C45CA7">
              <w:rPr>
                <w:rFonts w:ascii="Tahoma" w:hAnsi="Tahoma" w:eastAsiaTheme="minorEastAsia" w:cs="Tahoma" w:hint="cs"/>
                <w:sz w:val="16"/>
                <w:szCs w:val="16"/>
                <w:rtl/>
              </w:rPr>
              <w:t xml:space="preserve">מצויים בחזית, וניתן להם </w:t>
            </w:r>
            <w:r w:rsidRPr="00C45CA7">
              <w:rPr>
                <w:rFonts w:ascii="Tahoma" w:hAnsi="Tahoma" w:eastAsiaTheme="minorEastAsia" w:cs="Tahoma"/>
                <w:sz w:val="16"/>
                <w:szCs w:val="16"/>
                <w:rtl/>
              </w:rPr>
              <w:t>תפקיד מפתח</w:t>
            </w:r>
            <w:r w:rsidRPr="00C45CA7">
              <w:rPr>
                <w:rFonts w:ascii="Tahoma" w:hAnsi="Tahoma" w:eastAsiaTheme="minorEastAsia" w:cs="Tahoma" w:hint="cs"/>
                <w:sz w:val="16"/>
                <w:szCs w:val="16"/>
                <w:rtl/>
              </w:rPr>
              <w:t xml:space="preserve"> בנושא</w:t>
            </w:r>
            <w:r w:rsidRPr="00C45CA7">
              <w:rPr>
                <w:rFonts w:ascii="Tahoma" w:hAnsi="Tahoma" w:eastAsiaTheme="minorEastAsia" w:cs="Tahoma"/>
                <w:sz w:val="16"/>
                <w:szCs w:val="16"/>
                <w:rtl/>
              </w:rPr>
              <w:t>.</w:t>
            </w:r>
            <w:r w:rsidRPr="00C45CA7">
              <w:rPr>
                <w:rFonts w:ascii="Tahoma" w:hAnsi="Tahoma" w:eastAsiaTheme="minorEastAsia" w:cs="Tahoma" w:hint="cs"/>
                <w:sz w:val="16"/>
                <w:szCs w:val="16"/>
                <w:rtl/>
              </w:rPr>
              <w:t xml:space="preserve"> </w:t>
            </w:r>
            <w:r w:rsidRPr="00C45CA7">
              <w:rPr>
                <w:rFonts w:ascii="Tahoma" w:hAnsi="Tahoma" w:eastAsiaTheme="minorEastAsia" w:cs="Tahoma"/>
                <w:sz w:val="16"/>
                <w:szCs w:val="16"/>
                <w:rtl/>
              </w:rPr>
              <w:t xml:space="preserve">ברוב </w:t>
            </w:r>
            <w:r w:rsidRPr="00C45CA7">
              <w:rPr>
                <w:rFonts w:ascii="Tahoma" w:hAnsi="Tahoma" w:eastAsiaTheme="minorEastAsia" w:cs="Tahoma" w:hint="cs"/>
                <w:sz w:val="16"/>
                <w:szCs w:val="16"/>
                <w:rtl/>
              </w:rPr>
              <w:t>מדינות ה</w:t>
            </w:r>
            <w:r w:rsidRPr="00C45CA7">
              <w:rPr>
                <w:rFonts w:ascii="Tahoma" w:hAnsi="Tahoma" w:eastAsiaTheme="minorEastAsia" w:cs="Tahoma"/>
                <w:sz w:val="16"/>
                <w:szCs w:val="16"/>
                <w:rtl/>
              </w:rPr>
              <w:t>-</w:t>
            </w:r>
            <w:r w:rsidRPr="00C45CA7">
              <w:rPr>
                <w:rFonts w:ascii="Tahoma" w:hAnsi="Tahoma" w:eastAsiaTheme="minorEastAsia" w:cs="Tahoma"/>
                <w:sz w:val="16"/>
                <w:szCs w:val="16"/>
              </w:rPr>
              <w:t>OECD</w:t>
            </w:r>
            <w:r w:rsidRPr="00C45CA7">
              <w:rPr>
                <w:rFonts w:ascii="Tahoma" w:hAnsi="Tahoma" w:eastAsiaTheme="minorEastAsia" w:cs="Tahoma"/>
                <w:sz w:val="16"/>
                <w:szCs w:val="16"/>
                <w:rtl/>
              </w:rPr>
              <w:t xml:space="preserve"> והאיחוד האירופי</w:t>
            </w:r>
            <w:r w:rsidRPr="00C45CA7">
              <w:rPr>
                <w:rFonts w:ascii="Tahoma" w:hAnsi="Tahoma" w:eastAsiaTheme="minorEastAsia" w:cs="Tahoma" w:hint="cs"/>
                <w:sz w:val="16"/>
                <w:szCs w:val="16"/>
                <w:rtl/>
              </w:rPr>
              <w:t xml:space="preserve"> </w:t>
            </w:r>
            <w:r w:rsidRPr="00C45CA7">
              <w:rPr>
                <w:rFonts w:ascii="Tahoma" w:hAnsi="Tahoma" w:eastAsiaTheme="minorEastAsia" w:cs="Tahoma"/>
                <w:sz w:val="16"/>
                <w:szCs w:val="16"/>
                <w:rtl/>
              </w:rPr>
              <w:t>משרדי האוצר</w:t>
            </w:r>
            <w:r w:rsidRPr="00C45CA7">
              <w:rPr>
                <w:rFonts w:ascii="Tahoma" w:hAnsi="Tahoma" w:eastAsiaTheme="minorEastAsia" w:cs="Tahoma" w:hint="cs"/>
                <w:sz w:val="16"/>
                <w:szCs w:val="16"/>
                <w:rtl/>
              </w:rPr>
              <w:t xml:space="preserve"> ו</w:t>
            </w:r>
            <w:r w:rsidRPr="00C45CA7">
              <w:rPr>
                <w:rFonts w:ascii="Tahoma" w:hAnsi="Tahoma" w:eastAsiaTheme="minorEastAsia" w:cs="Tahoma"/>
                <w:sz w:val="16"/>
                <w:szCs w:val="16"/>
                <w:rtl/>
              </w:rPr>
              <w:t>רשויות התקציב המרכזיות</w:t>
            </w:r>
            <w:r w:rsidRPr="00C45CA7">
              <w:rPr>
                <w:rFonts w:ascii="Tahoma" w:hAnsi="Tahoma" w:eastAsiaTheme="minorEastAsia" w:cs="Tahoma" w:hint="cs"/>
                <w:sz w:val="16"/>
                <w:szCs w:val="16"/>
                <w:rtl/>
              </w:rPr>
              <w:t xml:space="preserve"> מובילים את הנושא, שכן ביכולתם</w:t>
            </w:r>
            <w:r w:rsidRPr="00C45CA7">
              <w:rPr>
                <w:rFonts w:ascii="Tahoma" w:hAnsi="Tahoma" w:eastAsiaTheme="minorEastAsia" w:cs="Tahoma"/>
                <w:sz w:val="16"/>
                <w:szCs w:val="16"/>
                <w:rtl/>
              </w:rPr>
              <w:t xml:space="preserve"> להאיץ את העשייה הירוקה </w:t>
            </w:r>
            <w:r w:rsidRPr="00C45CA7">
              <w:rPr>
                <w:rFonts w:ascii="Tahoma" w:hAnsi="Tahoma" w:eastAsiaTheme="minorEastAsia" w:cs="Tahoma" w:hint="cs"/>
                <w:sz w:val="16"/>
                <w:szCs w:val="16"/>
                <w:rtl/>
              </w:rPr>
              <w:t xml:space="preserve">ולהניע </w:t>
            </w:r>
            <w:r w:rsidRPr="00C45CA7">
              <w:rPr>
                <w:rFonts w:ascii="Tahoma" w:hAnsi="Tahoma" w:eastAsiaTheme="minorEastAsia" w:cs="Tahoma"/>
                <w:sz w:val="16"/>
                <w:szCs w:val="16"/>
                <w:rtl/>
              </w:rPr>
              <w:t>י</w:t>
            </w:r>
            <w:r w:rsidRPr="00C45CA7">
              <w:rPr>
                <w:rFonts w:ascii="Tahoma" w:hAnsi="Tahoma" w:eastAsiaTheme="minorEastAsia" w:cs="Tahoma" w:hint="cs"/>
                <w:sz w:val="16"/>
                <w:szCs w:val="16"/>
                <w:rtl/>
              </w:rPr>
              <w:t>י</w:t>
            </w:r>
            <w:r w:rsidRPr="00C45CA7">
              <w:rPr>
                <w:rFonts w:ascii="Tahoma" w:hAnsi="Tahoma" w:eastAsiaTheme="minorEastAsia" w:cs="Tahoma"/>
                <w:sz w:val="16"/>
                <w:szCs w:val="16"/>
                <w:rtl/>
              </w:rPr>
              <w:t>ר</w:t>
            </w:r>
            <w:r w:rsidRPr="00C45CA7">
              <w:rPr>
                <w:rFonts w:ascii="Tahoma" w:hAnsi="Tahoma" w:eastAsiaTheme="minorEastAsia" w:cs="Tahoma" w:hint="cs"/>
                <w:sz w:val="16"/>
                <w:szCs w:val="16"/>
                <w:rtl/>
              </w:rPr>
              <w:t>וּ</w:t>
            </w:r>
            <w:r w:rsidRPr="00C45CA7">
              <w:rPr>
                <w:rFonts w:ascii="Tahoma" w:hAnsi="Tahoma" w:eastAsiaTheme="minorEastAsia" w:cs="Tahoma"/>
                <w:sz w:val="16"/>
                <w:szCs w:val="16"/>
                <w:rtl/>
              </w:rPr>
              <w:t>ק</w:t>
            </w:r>
            <w:r w:rsidRPr="00C45CA7">
              <w:rPr>
                <w:rFonts w:ascii="Tahoma" w:hAnsi="Tahoma" w:eastAsiaTheme="minorEastAsia" w:cs="Tahoma" w:hint="cs"/>
                <w:sz w:val="16"/>
                <w:szCs w:val="16"/>
                <w:rtl/>
              </w:rPr>
              <w:t xml:space="preserve"> של </w:t>
            </w:r>
            <w:r w:rsidRPr="00C45CA7">
              <w:rPr>
                <w:rFonts w:ascii="Tahoma" w:hAnsi="Tahoma" w:eastAsiaTheme="minorEastAsia" w:cs="Tahoma"/>
                <w:sz w:val="16"/>
                <w:szCs w:val="16"/>
                <w:rtl/>
              </w:rPr>
              <w:t xml:space="preserve">תקני חשבונאות, סיווג ודיווח. </w:t>
            </w:r>
          </w:p>
          <w:p w:rsidR="0086740C" w:rsidRPr="00C45CA7" w:rsidP="00287CB1" w14:paraId="64486C8F" w14:textId="77777777">
            <w:pPr>
              <w:pStyle w:val="ListParagraph"/>
              <w:numPr>
                <w:ilvl w:val="0"/>
                <w:numId w:val="58"/>
              </w:numPr>
              <w:spacing w:line="269" w:lineRule="auto"/>
              <w:jc w:val="left"/>
              <w:rPr>
                <w:rFonts w:ascii="Tahoma" w:hAnsi="Tahoma" w:eastAsiaTheme="minorEastAsia" w:cs="Tahoma"/>
                <w:sz w:val="16"/>
                <w:szCs w:val="16"/>
              </w:rPr>
            </w:pPr>
            <w:r w:rsidRPr="0086740C">
              <w:rPr>
                <w:rFonts w:ascii="Tahoma" w:hAnsi="Tahoma" w:eastAsiaTheme="minorEastAsia" w:cs="Tahoma" w:hint="cs"/>
                <w:b/>
                <w:bCs/>
                <w:sz w:val="16"/>
                <w:szCs w:val="16"/>
                <w:rtl/>
              </w:rPr>
              <w:t>שלטון מקומי וחברות ממשלתיות</w:t>
            </w:r>
            <w:r w:rsidRPr="0086740C">
              <w:rPr>
                <w:rFonts w:ascii="Tahoma" w:hAnsi="Tahoma" w:eastAsiaTheme="minorEastAsia" w:cs="Tahoma"/>
                <w:b/>
                <w:bCs/>
                <w:sz w:val="16"/>
                <w:szCs w:val="16"/>
                <w:rtl/>
              </w:rPr>
              <w:t>:</w:t>
            </w:r>
            <w:r w:rsidRPr="00C45CA7">
              <w:rPr>
                <w:rFonts w:ascii="Tahoma" w:hAnsi="Tahoma" w:eastAsiaTheme="minorEastAsia" w:cs="Tahoma" w:hint="cs"/>
                <w:sz w:val="16"/>
                <w:szCs w:val="16"/>
                <w:rtl/>
              </w:rPr>
              <w:t xml:space="preserve"> רשויות וממשלות מקומיות וחברות ממשלתיות </w:t>
            </w:r>
            <w:r w:rsidRPr="00C45CA7">
              <w:rPr>
                <w:rFonts w:ascii="Tahoma" w:hAnsi="Tahoma" w:eastAsiaTheme="minorEastAsia" w:cs="Tahoma"/>
                <w:sz w:val="16"/>
                <w:szCs w:val="16"/>
                <w:rtl/>
              </w:rPr>
              <w:t>אחראי</w:t>
            </w:r>
            <w:r w:rsidRPr="00C45CA7">
              <w:rPr>
                <w:rFonts w:ascii="Tahoma" w:hAnsi="Tahoma" w:eastAsiaTheme="minorEastAsia" w:cs="Tahoma" w:hint="cs"/>
                <w:sz w:val="16"/>
                <w:szCs w:val="16"/>
                <w:rtl/>
              </w:rPr>
              <w:t xml:space="preserve">ות לפליטות ניכרות של </w:t>
            </w:r>
            <w:r w:rsidRPr="00C45CA7">
              <w:rPr>
                <w:rFonts w:ascii="Tahoma" w:hAnsi="Tahoma" w:eastAsiaTheme="minorEastAsia" w:cs="Tahoma" w:hint="cs"/>
                <w:sz w:val="16"/>
                <w:szCs w:val="16"/>
                <w:rtl/>
              </w:rPr>
              <w:t>גז"ח</w:t>
            </w:r>
            <w:r w:rsidRPr="00C45CA7">
              <w:rPr>
                <w:rFonts w:ascii="Tahoma" w:hAnsi="Tahoma" w:eastAsiaTheme="minorEastAsia" w:cs="Tahoma" w:hint="cs"/>
                <w:sz w:val="16"/>
                <w:szCs w:val="16"/>
                <w:rtl/>
              </w:rPr>
              <w:t>.</w:t>
            </w:r>
            <w:r w:rsidRPr="00C45CA7">
              <w:rPr>
                <w:rFonts w:ascii="Tahoma" w:hAnsi="Tahoma" w:eastAsiaTheme="minorEastAsia" w:cs="Tahoma"/>
                <w:sz w:val="16"/>
                <w:szCs w:val="16"/>
                <w:rtl/>
              </w:rPr>
              <w:t xml:space="preserve"> </w:t>
            </w:r>
            <w:r w:rsidRPr="00C45CA7">
              <w:rPr>
                <w:rFonts w:ascii="Tahoma" w:hAnsi="Tahoma" w:eastAsiaTheme="minorEastAsia" w:cs="Tahoma" w:hint="cs"/>
                <w:sz w:val="16"/>
                <w:szCs w:val="16"/>
                <w:rtl/>
              </w:rPr>
              <w:t>לפיכך ארגון ה-</w:t>
            </w:r>
            <w:r w:rsidRPr="00C45CA7">
              <w:rPr>
                <w:rFonts w:ascii="Tahoma" w:hAnsi="Tahoma" w:eastAsiaTheme="minorEastAsia" w:cs="Tahoma"/>
                <w:sz w:val="16"/>
                <w:szCs w:val="16"/>
              </w:rPr>
              <w:t>OECD</w:t>
            </w:r>
            <w:r w:rsidRPr="00C45CA7">
              <w:rPr>
                <w:rFonts w:ascii="Tahoma" w:hAnsi="Tahoma" w:eastAsiaTheme="minorEastAsia" w:cs="Tahoma"/>
                <w:sz w:val="16"/>
                <w:szCs w:val="16"/>
                <w:rtl/>
              </w:rPr>
              <w:t xml:space="preserve"> </w:t>
            </w:r>
            <w:r w:rsidRPr="00C45CA7">
              <w:rPr>
                <w:rFonts w:ascii="Tahoma" w:hAnsi="Tahoma" w:eastAsiaTheme="minorEastAsia" w:cs="Tahoma" w:hint="cs"/>
                <w:sz w:val="16"/>
                <w:szCs w:val="16"/>
                <w:rtl/>
              </w:rPr>
              <w:t>מציע לכלול י</w:t>
            </w:r>
            <w:r w:rsidRPr="00C45CA7">
              <w:rPr>
                <w:rFonts w:ascii="Tahoma" w:hAnsi="Tahoma" w:eastAsiaTheme="minorEastAsia" w:cs="Tahoma"/>
                <w:sz w:val="16"/>
                <w:szCs w:val="16"/>
                <w:rtl/>
              </w:rPr>
              <w:t>שויות אלה</w:t>
            </w:r>
            <w:r w:rsidRPr="00C45CA7">
              <w:rPr>
                <w:rFonts w:ascii="Tahoma" w:hAnsi="Tahoma" w:eastAsiaTheme="minorEastAsia" w:cs="Tahoma" w:hint="cs"/>
                <w:sz w:val="16"/>
                <w:szCs w:val="16"/>
                <w:rtl/>
              </w:rPr>
              <w:t xml:space="preserve"> במסגרות תקצוב ירוק</w:t>
            </w:r>
            <w:r w:rsidRPr="00C45CA7">
              <w:rPr>
                <w:rFonts w:ascii="Tahoma" w:hAnsi="Tahoma" w:eastAsiaTheme="minorEastAsia" w:cs="Tahoma"/>
                <w:sz w:val="16"/>
                <w:szCs w:val="16"/>
                <w:rtl/>
              </w:rPr>
              <w:t xml:space="preserve"> </w:t>
            </w:r>
            <w:r w:rsidRPr="00C45CA7">
              <w:rPr>
                <w:rFonts w:ascii="Tahoma" w:hAnsi="Tahoma" w:eastAsiaTheme="minorEastAsia" w:cs="Tahoma" w:hint="cs"/>
                <w:sz w:val="16"/>
                <w:szCs w:val="16"/>
                <w:rtl/>
              </w:rPr>
              <w:t>וב</w:t>
            </w:r>
            <w:r w:rsidRPr="00C45CA7">
              <w:rPr>
                <w:rFonts w:ascii="Tahoma" w:hAnsi="Tahoma" w:eastAsiaTheme="minorEastAsia" w:cs="Tahoma"/>
                <w:sz w:val="16"/>
                <w:szCs w:val="16"/>
                <w:rtl/>
              </w:rPr>
              <w:t>אסטרטגיות של שינויי אקלים</w:t>
            </w:r>
            <w:r w:rsidRPr="00C45CA7">
              <w:rPr>
                <w:rFonts w:ascii="Tahoma" w:hAnsi="Tahoma" w:eastAsiaTheme="minorEastAsia" w:cs="Tahoma" w:hint="cs"/>
                <w:sz w:val="16"/>
                <w:szCs w:val="16"/>
                <w:rtl/>
              </w:rPr>
              <w:t xml:space="preserve"> כדי להבהיר את</w:t>
            </w:r>
            <w:r w:rsidRPr="00C45CA7">
              <w:rPr>
                <w:rFonts w:ascii="Tahoma" w:hAnsi="Tahoma" w:eastAsiaTheme="minorEastAsia" w:cs="Tahoma"/>
                <w:sz w:val="16"/>
                <w:szCs w:val="16"/>
                <w:rtl/>
              </w:rPr>
              <w:t xml:space="preserve"> תפקידן</w:t>
            </w:r>
            <w:r w:rsidRPr="00C45CA7">
              <w:rPr>
                <w:rFonts w:ascii="Tahoma" w:hAnsi="Tahoma" w:eastAsiaTheme="minorEastAsia" w:cs="Tahoma" w:hint="cs"/>
                <w:sz w:val="16"/>
                <w:szCs w:val="16"/>
                <w:rtl/>
              </w:rPr>
              <w:t xml:space="preserve"> בנושא</w:t>
            </w:r>
            <w:r w:rsidRPr="00C45CA7">
              <w:rPr>
                <w:rFonts w:ascii="Tahoma" w:hAnsi="Tahoma" w:eastAsiaTheme="minorEastAsia" w:cs="Tahoma"/>
                <w:sz w:val="16"/>
                <w:szCs w:val="16"/>
                <w:rtl/>
              </w:rPr>
              <w:t xml:space="preserve">, </w:t>
            </w:r>
            <w:r w:rsidRPr="00C45CA7">
              <w:rPr>
                <w:rFonts w:ascii="Tahoma" w:hAnsi="Tahoma" w:eastAsiaTheme="minorEastAsia" w:cs="Tahoma" w:hint="cs"/>
                <w:sz w:val="16"/>
                <w:szCs w:val="16"/>
                <w:rtl/>
              </w:rPr>
              <w:t xml:space="preserve">לוודא שהן </w:t>
            </w:r>
            <w:r w:rsidRPr="00C45CA7">
              <w:rPr>
                <w:rFonts w:ascii="Tahoma" w:hAnsi="Tahoma" w:eastAsiaTheme="minorEastAsia" w:cs="Tahoma"/>
                <w:sz w:val="16"/>
                <w:szCs w:val="16"/>
                <w:rtl/>
              </w:rPr>
              <w:t xml:space="preserve">מדווחות </w:t>
            </w:r>
            <w:r w:rsidRPr="00C45CA7">
              <w:rPr>
                <w:rFonts w:ascii="Tahoma" w:hAnsi="Tahoma" w:eastAsiaTheme="minorEastAsia" w:cs="Tahoma" w:hint="cs"/>
                <w:sz w:val="16"/>
                <w:szCs w:val="16"/>
                <w:rtl/>
              </w:rPr>
              <w:t xml:space="preserve">על </w:t>
            </w:r>
            <w:r w:rsidRPr="00C45CA7">
              <w:rPr>
                <w:rFonts w:ascii="Tahoma" w:hAnsi="Tahoma" w:eastAsiaTheme="minorEastAsia" w:cs="Tahoma"/>
                <w:sz w:val="16"/>
                <w:szCs w:val="16"/>
                <w:rtl/>
              </w:rPr>
              <w:t xml:space="preserve">ביצועיהם </w:t>
            </w:r>
            <w:r w:rsidRPr="00C45CA7">
              <w:rPr>
                <w:rFonts w:ascii="Tahoma" w:hAnsi="Tahoma" w:eastAsiaTheme="minorEastAsia" w:cs="Tahoma" w:hint="cs"/>
                <w:sz w:val="16"/>
                <w:szCs w:val="16"/>
                <w:rtl/>
              </w:rPr>
              <w:t>בתחום</w:t>
            </w:r>
            <w:r w:rsidRPr="00C45CA7">
              <w:rPr>
                <w:rFonts w:ascii="Tahoma" w:hAnsi="Tahoma" w:eastAsiaTheme="minorEastAsia" w:cs="Tahoma"/>
                <w:sz w:val="16"/>
                <w:szCs w:val="16"/>
                <w:rtl/>
              </w:rPr>
              <w:t xml:space="preserve"> ולה</w:t>
            </w:r>
            <w:r w:rsidRPr="00C45CA7">
              <w:rPr>
                <w:rFonts w:ascii="Tahoma" w:hAnsi="Tahoma" w:eastAsiaTheme="minorEastAsia" w:cs="Tahoma" w:hint="cs"/>
                <w:sz w:val="16"/>
                <w:szCs w:val="16"/>
                <w:rtl/>
              </w:rPr>
              <w:t>כפיפן</w:t>
            </w:r>
            <w:r w:rsidRPr="00C45CA7">
              <w:rPr>
                <w:rFonts w:ascii="Tahoma" w:hAnsi="Tahoma" w:eastAsiaTheme="minorEastAsia" w:cs="Tahoma"/>
                <w:sz w:val="16"/>
                <w:szCs w:val="16"/>
                <w:rtl/>
              </w:rPr>
              <w:t xml:space="preserve"> לתקצוב ירוק.</w:t>
            </w:r>
            <w:r w:rsidRPr="00C45CA7">
              <w:rPr>
                <w:rFonts w:ascii="Tahoma" w:hAnsi="Tahoma" w:eastAsiaTheme="minorEastAsia" w:cs="Tahoma" w:hint="cs"/>
                <w:sz w:val="16"/>
                <w:szCs w:val="16"/>
                <w:rtl/>
              </w:rPr>
              <w:t xml:space="preserve"> </w:t>
            </w:r>
          </w:p>
          <w:p w:rsidR="00EC18E9" w:rsidRPr="00144D5F" w:rsidP="00287CB1" w14:paraId="17C901AB" w14:textId="49799F4A">
            <w:pPr>
              <w:pStyle w:val="73R"/>
              <w:numPr>
                <w:ilvl w:val="0"/>
                <w:numId w:val="58"/>
              </w:numPr>
              <w:spacing w:before="100" w:after="100" w:line="240" w:lineRule="auto"/>
            </w:pPr>
            <w:r w:rsidRPr="0086740C">
              <w:rPr>
                <w:rFonts w:hint="cs"/>
                <w:b/>
                <w:bCs/>
                <w:rtl/>
              </w:rPr>
              <w:t>פיקוח בלתי תלוי</w:t>
            </w:r>
            <w:r w:rsidRPr="0086740C">
              <w:rPr>
                <w:b/>
                <w:bCs/>
                <w:rtl/>
              </w:rPr>
              <w:t>:</w:t>
            </w:r>
            <w:r w:rsidRPr="00C45CA7">
              <w:rPr>
                <w:rFonts w:hint="cs"/>
                <w:rtl/>
              </w:rPr>
              <w:t xml:space="preserve"> לפי ארגון ה-</w:t>
            </w:r>
            <w:r w:rsidRPr="00C45CA7">
              <w:t>OECD</w:t>
            </w:r>
            <w:r w:rsidRPr="00C45CA7">
              <w:rPr>
                <w:rFonts w:hint="cs"/>
                <w:rtl/>
              </w:rPr>
              <w:t>, מועצת</w:t>
            </w:r>
            <w:r w:rsidRPr="00C45CA7">
              <w:rPr>
                <w:rtl/>
              </w:rPr>
              <w:t xml:space="preserve"> סביבה ואקלים עצמאית לאומית יכול</w:t>
            </w:r>
            <w:r w:rsidRPr="00C45CA7">
              <w:rPr>
                <w:rFonts w:hint="cs"/>
                <w:rtl/>
              </w:rPr>
              <w:t>ה</w:t>
            </w:r>
            <w:r w:rsidRPr="00C45CA7">
              <w:rPr>
                <w:rtl/>
              </w:rPr>
              <w:t xml:space="preserve"> לחזק את האחריות</w:t>
            </w:r>
            <w:r w:rsidRPr="00C45CA7">
              <w:rPr>
                <w:rFonts w:hint="cs"/>
                <w:rtl/>
              </w:rPr>
              <w:t xml:space="preserve">יות </w:t>
            </w:r>
            <w:r w:rsidRPr="00C45CA7">
              <w:rPr>
                <w:rtl/>
              </w:rPr>
              <w:t>ו</w:t>
            </w:r>
            <w:r w:rsidRPr="00C45CA7">
              <w:rPr>
                <w:rFonts w:hint="cs"/>
                <w:rtl/>
              </w:rPr>
              <w:t>ה</w:t>
            </w:r>
            <w:r w:rsidRPr="00C45CA7">
              <w:rPr>
                <w:rtl/>
              </w:rPr>
              <w:t>שקיפות של תהליך התקצוב הירוק</w:t>
            </w:r>
            <w:r w:rsidRPr="00C45CA7">
              <w:rPr>
                <w:rFonts w:hint="cs"/>
                <w:rtl/>
              </w:rPr>
              <w:t>, ואף, בהיותה גוף עצמאי, היא יכולה</w:t>
            </w:r>
            <w:r w:rsidRPr="00C45CA7">
              <w:rPr>
                <w:rtl/>
              </w:rPr>
              <w:t xml:space="preserve"> לבצע הערכות כוללות של המידה שבה </w:t>
            </w:r>
            <w:r w:rsidRPr="00C45CA7">
              <w:rPr>
                <w:rFonts w:hint="cs"/>
                <w:rtl/>
              </w:rPr>
              <w:t xml:space="preserve">ההיערכות לשינויי </w:t>
            </w:r>
            <w:r w:rsidRPr="00C45CA7">
              <w:rPr>
                <w:rtl/>
              </w:rPr>
              <w:t>האקלים ו</w:t>
            </w:r>
            <w:r w:rsidRPr="00C45CA7">
              <w:rPr>
                <w:rFonts w:hint="cs"/>
                <w:rtl/>
              </w:rPr>
              <w:t>ה</w:t>
            </w:r>
            <w:r w:rsidRPr="00C45CA7">
              <w:rPr>
                <w:rtl/>
              </w:rPr>
              <w:t xml:space="preserve">יעדים </w:t>
            </w:r>
            <w:r w:rsidRPr="00C45CA7">
              <w:rPr>
                <w:rFonts w:hint="cs"/>
                <w:rtl/>
              </w:rPr>
              <w:t>ה</w:t>
            </w:r>
            <w:r w:rsidRPr="00C45CA7">
              <w:rPr>
                <w:rtl/>
              </w:rPr>
              <w:t>סביבתיים מקודמים למעשה על ידי המדיניות שנקבעה</w:t>
            </w:r>
            <w:r>
              <w:rPr>
                <w:vertAlign w:val="superscript"/>
                <w:rtl/>
              </w:rPr>
              <w:footnoteReference w:id="15"/>
            </w:r>
            <w:r w:rsidRPr="00C45CA7">
              <w:rPr>
                <w:rtl/>
              </w:rPr>
              <w:t>.</w:t>
            </w:r>
          </w:p>
        </w:tc>
      </w:tr>
    </w:tbl>
    <w:p w:rsidR="00F20E3F" w:rsidRPr="00EC18E9" w:rsidP="00EC18E9" w14:paraId="40C8AAE5" w14:textId="1B27101A">
      <w:pPr>
        <w:pStyle w:val="737"/>
        <w:ind w:left="397"/>
        <w:rPr>
          <w:rtl/>
        </w:rPr>
      </w:pPr>
      <w:r w:rsidRPr="00EC18E9">
        <w:rPr>
          <w:rFonts w:hint="cs"/>
          <w:rtl/>
        </w:rPr>
        <w:t>על פי נתוני ארגון ה-</w:t>
      </w:r>
      <w:r w:rsidRPr="00EC18E9">
        <w:t>OECD</w:t>
      </w:r>
      <w:r w:rsidRPr="00EC18E9" w:rsidR="00EC18E9">
        <w:rPr>
          <w:rFonts w:hint="cs"/>
          <w:sz w:val="2"/>
          <w:szCs w:val="2"/>
          <w:rtl/>
        </w:rPr>
        <w:t xml:space="preserve"> </w:t>
      </w:r>
      <w:r>
        <w:rPr>
          <w:vertAlign w:val="superscript"/>
        </w:rPr>
        <w:footnoteReference w:id="16"/>
      </w:r>
      <w:r w:rsidRPr="00EC18E9">
        <w:rPr>
          <w:rFonts w:hint="cs"/>
          <w:rtl/>
        </w:rPr>
        <w:t>, בעיבוד משרד מבקר המדינה.</w:t>
      </w:r>
    </w:p>
    <w:p w:rsidR="00F20E3F" w:rsidP="00703BF5" w14:paraId="6D50E3F6" w14:textId="77777777">
      <w:pPr>
        <w:pStyle w:val="7316"/>
        <w:rPr>
          <w:rtl/>
        </w:rPr>
      </w:pPr>
      <w:r w:rsidRPr="00703BF5">
        <w:rPr>
          <w:rFonts w:hint="cs"/>
          <w:rtl/>
        </w:rPr>
        <w:t>הגורם המוביל את הפעולות הקשורות בתקצוב ירוק הוא לרוב הגורם האחראי במדינה לתקציב של השלטון המרכזי, כמו משרד האוצר - לבדו (כמו למשל בדנמרק, אירלנד ומקסיקו) או עם המשרד האחראי לסביבה ולאקלים (כמו למשל באוסטריה, קנדה, צרפת, איטליה, הולנד, פורטוגל, שוודיה וקולומביה), והוא נסמך על מומחיותו של המשרד האחראי לסביבה ולאקלים בתחומים אלו</w:t>
      </w:r>
      <w:r>
        <w:rPr>
          <w:rStyle w:val="FootnoteReference2"/>
          <w:rtl/>
        </w:rPr>
        <w:footnoteReference w:id="17"/>
      </w:r>
      <w:r w:rsidRPr="00703BF5">
        <w:rPr>
          <w:rFonts w:hint="cs"/>
          <w:vertAlign w:val="superscript"/>
          <w:rtl/>
        </w:rPr>
        <w:t>.</w:t>
      </w:r>
      <w:r w:rsidRPr="00703BF5">
        <w:rPr>
          <w:rFonts w:hint="cs"/>
          <w:rtl/>
        </w:rPr>
        <w:t xml:space="preserve"> בפרסום של אחד האגפים ב-</w:t>
      </w:r>
      <w:r w:rsidRPr="00703BF5">
        <w:rPr>
          <w:rFonts w:hint="cs"/>
        </w:rPr>
        <w:t>O</w:t>
      </w:r>
      <w:r w:rsidRPr="00703BF5">
        <w:t>ECD</w:t>
      </w:r>
      <w:r w:rsidRPr="00703BF5">
        <w:rPr>
          <w:rFonts w:hint="cs"/>
          <w:rtl/>
        </w:rPr>
        <w:t xml:space="preserve"> בנושא זה, הוא הציג מודל מסגרת להטמעה ויישום תקציב ירוק, המתבסס על לימוד של </w:t>
      </w:r>
      <w:r w:rsidRPr="00703BF5">
        <w:rPr>
          <w:rFonts w:hint="cs"/>
          <w:rtl/>
        </w:rPr>
        <w:t>פרקטיקות</w:t>
      </w:r>
      <w:r w:rsidRPr="00703BF5">
        <w:rPr>
          <w:rFonts w:hint="cs"/>
          <w:rtl/>
        </w:rPr>
        <w:t xml:space="preserve"> בנושא במדינות החברות בארגון ואשר כולל ארבעה תחומי פעולות. להלן עיקריו:</w:t>
      </w:r>
    </w:p>
    <w:p w:rsidR="001B31B5" w:rsidRPr="002F2907" w:rsidP="001B31B5" w14:paraId="6502A1C8" w14:textId="77777777">
      <w:pPr>
        <w:pStyle w:val="733"/>
        <w:rPr>
          <w:rtl/>
        </w:rPr>
      </w:pPr>
      <w:r w:rsidRPr="00EC18E9">
        <w:rPr>
          <w:rFonts w:hint="eastAsia"/>
          <w:b w:val="0"/>
          <w:bCs w:val="0"/>
          <w:rtl/>
        </w:rPr>
        <w:t>תרשים</w:t>
      </w:r>
      <w:r w:rsidRPr="00EC18E9">
        <w:rPr>
          <w:b w:val="0"/>
          <w:bCs w:val="0"/>
          <w:rtl/>
        </w:rPr>
        <w:t xml:space="preserve"> </w:t>
      </w:r>
      <w:r w:rsidRPr="00EC18E9">
        <w:rPr>
          <w:rFonts w:hint="cs"/>
          <w:b w:val="0"/>
          <w:bCs w:val="0"/>
          <w:rtl/>
        </w:rPr>
        <w:t>32</w:t>
      </w:r>
      <w:r w:rsidRPr="00EC18E9">
        <w:rPr>
          <w:b w:val="0"/>
          <w:bCs w:val="0"/>
          <w:rtl/>
        </w:rPr>
        <w:t>:</w:t>
      </w:r>
      <w:r w:rsidRPr="006D55EE">
        <w:rPr>
          <w:rFonts w:hint="cs"/>
          <w:rtl/>
        </w:rPr>
        <w:t xml:space="preserve"> </w:t>
      </w:r>
      <w:r>
        <w:rPr>
          <w:rFonts w:hint="cs"/>
          <w:rtl/>
        </w:rPr>
        <w:t xml:space="preserve">מודל </w:t>
      </w:r>
      <w:r w:rsidRPr="006D55EE">
        <w:rPr>
          <w:rFonts w:hint="cs"/>
          <w:rtl/>
        </w:rPr>
        <w:t>מסגרת לתקצוב ירוק</w:t>
      </w:r>
      <w:r>
        <w:rPr>
          <w:rFonts w:hint="cs"/>
          <w:rtl/>
        </w:rPr>
        <w:t xml:space="preserve"> של ארגון ה-</w:t>
      </w:r>
      <w:r w:rsidRPr="002F2907">
        <w:rPr>
          <w:rFonts w:hint="cs"/>
        </w:rPr>
        <w:t xml:space="preserve"> </w:t>
      </w:r>
      <w:r>
        <w:rPr>
          <w:rStyle w:val="FootnoteReference2"/>
        </w:rPr>
        <w:footnoteReference w:id="18"/>
      </w:r>
      <w:r>
        <w:rPr>
          <w:rFonts w:hint="cs"/>
        </w:rPr>
        <w:t>OECD</w:t>
      </w:r>
      <w:r w:rsidRPr="002F2907">
        <w:rPr>
          <w:sz w:val="2"/>
          <w:szCs w:val="2"/>
        </w:rPr>
        <w:t xml:space="preserve"> </w:t>
      </w:r>
    </w:p>
    <w:p w:rsidR="001B31B5" w:rsidRPr="00EE2D57" w:rsidP="001B31B5" w14:paraId="31056B85" w14:textId="77777777">
      <w:pPr>
        <w:spacing w:line="269" w:lineRule="auto"/>
        <w:ind w:left="397"/>
        <w:jc w:val="center"/>
        <w:rPr>
          <w:b/>
          <w:bCs/>
          <w:rtl/>
        </w:rPr>
      </w:pPr>
      <w:r>
        <w:rPr>
          <w:noProof/>
        </w:rPr>
        <w:drawing>
          <wp:inline distT="0" distB="0" distL="0" distR="0">
            <wp:extent cx="4112132" cy="5037082"/>
            <wp:effectExtent l="0" t="0" r="3175" b="0"/>
            <wp:docPr id="225" name="תמונה 225" descr="תמונה שמכילה טקסט, צילום מסך, גופן&#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526013" name="תמונה 225" descr="תמונה שמכילה טקסט, צילום מסך, גופן&#10;&#10;התיאור נוצר באופן אוטומטי"/>
                    <pic:cNvPicPr>
                      <a:picLocks noChangeAspect="1" noChangeArrowheads="1"/>
                    </pic:cNvPicPr>
                  </pic:nvPicPr>
                  <pic:blipFill>
                    <a:blip xmlns:r="http://schemas.openxmlformats.org/officeDocument/2006/relationships" r:embed="rId3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4112132" cy="5037082"/>
                    </a:xfrm>
                    <a:prstGeom prst="rect">
                      <a:avLst/>
                    </a:prstGeom>
                    <a:noFill/>
                    <a:ln>
                      <a:noFill/>
                    </a:ln>
                  </pic:spPr>
                </pic:pic>
              </a:graphicData>
            </a:graphic>
          </wp:inline>
        </w:drawing>
      </w:r>
    </w:p>
    <w:p w:rsidR="001B31B5" w:rsidP="001B31B5" w14:paraId="37FA9C71" w14:textId="77777777">
      <w:pPr>
        <w:pStyle w:val="737"/>
        <w:ind w:left="397"/>
        <w:rPr>
          <w:rtl/>
        </w:rPr>
      </w:pPr>
      <w:r w:rsidRPr="00EB66C1">
        <w:rPr>
          <w:rFonts w:hint="cs"/>
          <w:rtl/>
        </w:rPr>
        <w:t>על פי נתוני ארגון ה-</w:t>
      </w:r>
      <w:r w:rsidRPr="00EB66C1">
        <w:t>OECD</w:t>
      </w:r>
      <w:r w:rsidRPr="00EB66C1">
        <w:rPr>
          <w:rFonts w:hint="cs"/>
          <w:rtl/>
        </w:rPr>
        <w:t>, בעיבוד משרד מבקר המדינה.</w:t>
      </w:r>
    </w:p>
    <w:p w:rsidR="001B31B5" w14:paraId="459CB4E0" w14:textId="77777777">
      <w:pPr>
        <w:bidi w:val="0"/>
        <w:spacing w:after="200" w:line="276" w:lineRule="auto"/>
        <w:rPr>
          <w:rStyle w:val="7336"/>
          <w:b/>
          <w:bCs/>
          <w:rtl/>
        </w:rPr>
      </w:pPr>
      <w:r>
        <w:rPr>
          <w:rStyle w:val="7336"/>
          <w:b/>
          <w:bCs/>
          <w:rtl/>
        </w:rPr>
        <w:br w:type="page"/>
      </w:r>
    </w:p>
    <w:p w:rsidR="00F20E3F" w:rsidRPr="005D776F" w:rsidP="00287CB1" w14:paraId="2004A879" w14:textId="4FBAA019">
      <w:pPr>
        <w:pStyle w:val="7114"/>
        <w:numPr>
          <w:ilvl w:val="0"/>
          <w:numId w:val="57"/>
        </w:numPr>
        <w:rPr>
          <w:b/>
          <w:bCs/>
        </w:rPr>
      </w:pPr>
      <w:r w:rsidRPr="00EB66C1">
        <w:rPr>
          <w:rStyle w:val="7336"/>
          <w:b/>
          <w:bCs/>
          <w:rtl/>
        </w:rPr>
        <w:t>קרן</w:t>
      </w:r>
      <w:r w:rsidRPr="009108BF">
        <w:rPr>
          <w:b/>
          <w:bCs/>
          <w:rtl/>
        </w:rPr>
        <w:t xml:space="preserve"> המטבע הבי</w:t>
      </w:r>
      <w:r>
        <w:rPr>
          <w:rFonts w:hint="cs"/>
          <w:b/>
          <w:bCs/>
          <w:rtl/>
        </w:rPr>
        <w:t>ן-</w:t>
      </w:r>
      <w:r w:rsidRPr="005D776F">
        <w:rPr>
          <w:b/>
          <w:bCs/>
          <w:rtl/>
        </w:rPr>
        <w:t>לאומית (</w:t>
      </w:r>
      <w:r w:rsidRPr="005D776F">
        <w:rPr>
          <w:b/>
          <w:bCs/>
        </w:rPr>
        <w:t>International Monetary Fund</w:t>
      </w:r>
      <w:r w:rsidRPr="005D776F">
        <w:rPr>
          <w:b/>
          <w:bCs/>
          <w:rtl/>
        </w:rPr>
        <w:t xml:space="preserve">, להלן - </w:t>
      </w:r>
      <w:r w:rsidRPr="005D776F">
        <w:rPr>
          <w:b/>
          <w:bCs/>
        </w:rPr>
        <w:t>IMF</w:t>
      </w:r>
      <w:r w:rsidRPr="005D776F">
        <w:rPr>
          <w:b/>
          <w:bCs/>
          <w:rtl/>
        </w:rPr>
        <w:t>):</w:t>
      </w:r>
      <w:r w:rsidRPr="005D776F">
        <w:rPr>
          <w:rFonts w:hint="cs"/>
          <w:b/>
          <w:bCs/>
          <w:rtl/>
        </w:rPr>
        <w:t xml:space="preserve"> </w:t>
      </w:r>
    </w:p>
    <w:p w:rsidR="00F20E3F" w:rsidRPr="005276BC" w:rsidP="00287CB1" w14:paraId="6DBFF5EF" w14:textId="77777777">
      <w:pPr>
        <w:pStyle w:val="7310"/>
        <w:numPr>
          <w:ilvl w:val="1"/>
          <w:numId w:val="59"/>
        </w:numPr>
        <w:rPr>
          <w:rtl/>
        </w:rPr>
      </w:pPr>
      <w:r>
        <w:rPr>
          <w:rFonts w:hint="cs"/>
          <w:rtl/>
        </w:rPr>
        <w:t>ה-</w:t>
      </w:r>
      <w:r>
        <w:rPr>
          <w:rFonts w:hint="cs"/>
        </w:rPr>
        <w:t>IMF</w:t>
      </w:r>
      <w:r>
        <w:rPr>
          <w:rFonts w:hint="cs"/>
          <w:rtl/>
        </w:rPr>
        <w:t xml:space="preserve"> נוקט עמדה דומה בכל הנוגע לקידום יעדי אקלים באמצעות התאמת כלים המיועדים לניהול כספי ציבור. לפי מסמך שפרסם בנושא בשנת 2021, ניהול כספי ציבור </w:t>
      </w:r>
      <w:r w:rsidRPr="00EB66C1">
        <w:rPr>
          <w:rFonts w:hint="cs"/>
          <w:rtl/>
        </w:rPr>
        <w:t>(</w:t>
      </w:r>
      <w:r w:rsidRPr="00EB66C1">
        <w:t>Public financial management</w:t>
      </w:r>
      <w:r w:rsidRPr="00EB66C1">
        <w:rPr>
          <w:rFonts w:hint="cs"/>
          <w:rtl/>
        </w:rPr>
        <w:t xml:space="preserve"> - </w:t>
      </w:r>
      <w:r w:rsidRPr="00EB66C1">
        <w:t>PFM</w:t>
      </w:r>
      <w:r w:rsidRPr="00EB66C1">
        <w:rPr>
          <w:rFonts w:hint="cs"/>
          <w:rtl/>
        </w:rPr>
        <w:t>)</w:t>
      </w:r>
      <w:r w:rsidRPr="005276BC">
        <w:rPr>
          <w:rtl/>
        </w:rPr>
        <w:t xml:space="preserve"> </w:t>
      </w:r>
      <w:r w:rsidRPr="00EB66C1">
        <w:rPr>
          <w:rFonts w:hint="cs"/>
          <w:rtl/>
        </w:rPr>
        <w:t>הוא</w:t>
      </w:r>
      <w:r w:rsidRPr="009108BF">
        <w:rPr>
          <w:rFonts w:hint="cs"/>
          <w:sz w:val="24"/>
          <w:rtl/>
        </w:rPr>
        <w:t xml:space="preserve"> </w:t>
      </w:r>
      <w:r w:rsidRPr="009108BF">
        <w:rPr>
          <w:sz w:val="24"/>
          <w:rtl/>
        </w:rPr>
        <w:t>מ</w:t>
      </w:r>
      <w:r w:rsidRPr="009108BF">
        <w:rPr>
          <w:rFonts w:hint="cs"/>
          <w:sz w:val="24"/>
          <w:rtl/>
        </w:rPr>
        <w:t>כלול</w:t>
      </w:r>
      <w:r w:rsidRPr="009108BF">
        <w:rPr>
          <w:sz w:val="24"/>
          <w:rtl/>
        </w:rPr>
        <w:t xml:space="preserve"> </w:t>
      </w:r>
      <w:r w:rsidRPr="009108BF">
        <w:rPr>
          <w:rFonts w:hint="cs"/>
          <w:sz w:val="24"/>
          <w:rtl/>
        </w:rPr>
        <w:t>התהליכיים</w:t>
      </w:r>
      <w:r w:rsidRPr="009108BF">
        <w:rPr>
          <w:sz w:val="24"/>
          <w:rtl/>
        </w:rPr>
        <w:t xml:space="preserve"> המוסדיים </w:t>
      </w:r>
      <w:r w:rsidRPr="009108BF">
        <w:rPr>
          <w:rFonts w:hint="cs"/>
          <w:sz w:val="24"/>
          <w:rtl/>
        </w:rPr>
        <w:t>הקיימים ב</w:t>
      </w:r>
      <w:r w:rsidRPr="009108BF">
        <w:rPr>
          <w:sz w:val="24"/>
          <w:rtl/>
        </w:rPr>
        <w:t xml:space="preserve">ממשלה </w:t>
      </w:r>
      <w:r w:rsidRPr="009108BF">
        <w:rPr>
          <w:rFonts w:hint="cs"/>
          <w:sz w:val="24"/>
          <w:rtl/>
        </w:rPr>
        <w:t>לצורך</w:t>
      </w:r>
      <w:r w:rsidRPr="009108BF">
        <w:rPr>
          <w:sz w:val="24"/>
          <w:rtl/>
        </w:rPr>
        <w:t xml:space="preserve"> יישום מדיניות פיסקלית. </w:t>
      </w:r>
      <w:r w:rsidRPr="009108BF">
        <w:rPr>
          <w:rFonts w:hint="cs"/>
          <w:sz w:val="24"/>
          <w:rtl/>
        </w:rPr>
        <w:t xml:space="preserve">ניהול כספי ציבור אשר מותאם למאבק </w:t>
      </w:r>
      <w:r w:rsidRPr="009108BF">
        <w:rPr>
          <w:sz w:val="24"/>
          <w:rtl/>
        </w:rPr>
        <w:t>בשינויי האקלים שוא</w:t>
      </w:r>
      <w:r w:rsidRPr="009108BF">
        <w:rPr>
          <w:rFonts w:hint="cs"/>
          <w:sz w:val="24"/>
          <w:rtl/>
        </w:rPr>
        <w:t>ף</w:t>
      </w:r>
      <w:r w:rsidRPr="009108BF">
        <w:rPr>
          <w:sz w:val="24"/>
          <w:rtl/>
        </w:rPr>
        <w:t xml:space="preserve"> להתאים </w:t>
      </w:r>
      <w:r w:rsidRPr="009108BF">
        <w:rPr>
          <w:rFonts w:hint="cs"/>
          <w:sz w:val="24"/>
          <w:rtl/>
        </w:rPr>
        <w:t xml:space="preserve">בהדרגה </w:t>
      </w:r>
      <w:r w:rsidRPr="009108BF">
        <w:rPr>
          <w:sz w:val="24"/>
          <w:rtl/>
        </w:rPr>
        <w:t xml:space="preserve">את שיטות </w:t>
      </w:r>
      <w:r w:rsidRPr="009108BF">
        <w:rPr>
          <w:rFonts w:hint="cs"/>
          <w:sz w:val="24"/>
          <w:rtl/>
        </w:rPr>
        <w:t>הניהול</w:t>
      </w:r>
      <w:r w:rsidRPr="009108BF">
        <w:rPr>
          <w:sz w:val="24"/>
          <w:rtl/>
        </w:rPr>
        <w:t xml:space="preserve"> הקיימות </w:t>
      </w:r>
      <w:r w:rsidRPr="009108BF">
        <w:rPr>
          <w:rFonts w:hint="cs"/>
          <w:sz w:val="24"/>
          <w:rtl/>
        </w:rPr>
        <w:t>כך שיתמכו</w:t>
      </w:r>
      <w:r w:rsidRPr="009108BF">
        <w:rPr>
          <w:sz w:val="24"/>
          <w:rtl/>
        </w:rPr>
        <w:t xml:space="preserve"> </w:t>
      </w:r>
      <w:r w:rsidRPr="00EB66C1">
        <w:rPr>
          <w:rtl/>
        </w:rPr>
        <w:t xml:space="preserve">במדיניות </w:t>
      </w:r>
      <w:r w:rsidRPr="00EB66C1">
        <w:rPr>
          <w:rFonts w:hint="cs"/>
          <w:rtl/>
        </w:rPr>
        <w:t>זו (</w:t>
      </w:r>
      <w:r w:rsidRPr="00EB66C1">
        <w:t>"Green PFM"</w:t>
      </w:r>
      <w:r w:rsidRPr="00EB66C1">
        <w:rPr>
          <w:rFonts w:hint="cs"/>
          <w:rtl/>
        </w:rPr>
        <w:t>,</w:t>
      </w:r>
      <w:r w:rsidRPr="009108BF">
        <w:rPr>
          <w:rFonts w:hint="cs"/>
          <w:sz w:val="24"/>
          <w:rtl/>
        </w:rPr>
        <w:t xml:space="preserve"> להלן - ניהול ירוק של כספי ציבור), והוא </w:t>
      </w:r>
      <w:r>
        <w:rPr>
          <w:rFonts w:hint="cs"/>
          <w:sz w:val="24"/>
          <w:rtl/>
        </w:rPr>
        <w:t>משמש</w:t>
      </w:r>
      <w:r w:rsidRPr="009108BF">
        <w:rPr>
          <w:rFonts w:hint="cs"/>
          <w:sz w:val="24"/>
          <w:rtl/>
        </w:rPr>
        <w:t xml:space="preserve"> </w:t>
      </w:r>
      <w:r w:rsidRPr="009108BF">
        <w:rPr>
          <w:b/>
          <w:bCs/>
          <w:sz w:val="24"/>
          <w:rtl/>
        </w:rPr>
        <w:t xml:space="preserve">גורם מפתח </w:t>
      </w:r>
      <w:r w:rsidRPr="009108BF">
        <w:rPr>
          <w:rFonts w:hint="cs"/>
          <w:b/>
          <w:bCs/>
          <w:sz w:val="24"/>
          <w:rtl/>
        </w:rPr>
        <w:t>ב</w:t>
      </w:r>
      <w:r w:rsidRPr="009108BF">
        <w:rPr>
          <w:b/>
          <w:bCs/>
          <w:sz w:val="24"/>
          <w:rtl/>
        </w:rPr>
        <w:t>אסטרטגיה ממשלתית משולבת למאבק בשינויי האקלים</w:t>
      </w:r>
      <w:r>
        <w:rPr>
          <w:rFonts w:hint="cs"/>
          <w:sz w:val="24"/>
          <w:rtl/>
        </w:rPr>
        <w:t>;</w:t>
      </w:r>
      <w:r w:rsidRPr="009108BF">
        <w:rPr>
          <w:rFonts w:hint="cs"/>
          <w:sz w:val="24"/>
          <w:rtl/>
        </w:rPr>
        <w:t xml:space="preserve"> ו</w:t>
      </w:r>
      <w:r w:rsidRPr="009108BF">
        <w:rPr>
          <w:sz w:val="24"/>
          <w:rtl/>
        </w:rPr>
        <w:t>ניתן להגדיר</w:t>
      </w:r>
      <w:r w:rsidRPr="009108BF">
        <w:rPr>
          <w:rFonts w:hint="cs"/>
          <w:sz w:val="24"/>
          <w:rtl/>
        </w:rPr>
        <w:t>ו</w:t>
      </w:r>
      <w:r w:rsidRPr="009108BF">
        <w:rPr>
          <w:sz w:val="24"/>
          <w:rtl/>
        </w:rPr>
        <w:t xml:space="preserve"> כשילוב של פרספקטיבה </w:t>
      </w:r>
      <w:r w:rsidRPr="009108BF">
        <w:rPr>
          <w:rFonts w:hint="cs"/>
          <w:sz w:val="24"/>
          <w:rtl/>
        </w:rPr>
        <w:t xml:space="preserve">סביבתית-אקלימית </w:t>
      </w:r>
      <w:r w:rsidRPr="009108BF">
        <w:rPr>
          <w:sz w:val="24"/>
          <w:rtl/>
        </w:rPr>
        <w:t>בפרקטיקות</w:t>
      </w:r>
      <w:r w:rsidRPr="009108BF">
        <w:rPr>
          <w:sz w:val="24"/>
          <w:rtl/>
        </w:rPr>
        <w:t xml:space="preserve">, מערכות ומסגרות של </w:t>
      </w:r>
      <w:r w:rsidRPr="009108BF">
        <w:rPr>
          <w:rFonts w:hint="cs"/>
          <w:sz w:val="24"/>
          <w:rtl/>
        </w:rPr>
        <w:t>ניהול כספי ציבור</w:t>
      </w:r>
      <w:r w:rsidRPr="009108BF">
        <w:rPr>
          <w:sz w:val="24"/>
          <w:rtl/>
        </w:rPr>
        <w:t xml:space="preserve"> - במיוחד תהליך התקציב - במטרה לקדם מדיניות פיסקלית המגיבה</w:t>
      </w:r>
      <w:r w:rsidRPr="009108BF">
        <w:rPr>
          <w:rFonts w:hint="cs"/>
          <w:sz w:val="24"/>
          <w:rtl/>
        </w:rPr>
        <w:t xml:space="preserve"> לסוגיות בעייתיות בתחום</w:t>
      </w:r>
      <w:r>
        <w:rPr>
          <w:rStyle w:val="FootnoteReference2"/>
          <w:sz w:val="24"/>
          <w:rtl/>
        </w:rPr>
        <w:footnoteReference w:id="19"/>
      </w:r>
      <w:r w:rsidRPr="009108BF">
        <w:rPr>
          <w:sz w:val="24"/>
          <w:rtl/>
        </w:rPr>
        <w:t>.</w:t>
      </w:r>
      <w:r w:rsidRPr="009108BF">
        <w:rPr>
          <w:rFonts w:hint="cs"/>
          <w:sz w:val="24"/>
          <w:rtl/>
        </w:rPr>
        <w:t xml:space="preserve"> המסמך האמור התווה </w:t>
      </w:r>
      <w:r w:rsidRPr="009108BF">
        <w:rPr>
          <w:sz w:val="24"/>
          <w:rtl/>
        </w:rPr>
        <w:t xml:space="preserve">מסגרת </w:t>
      </w:r>
      <w:r w:rsidRPr="009108BF">
        <w:rPr>
          <w:rFonts w:hint="cs"/>
          <w:sz w:val="24"/>
          <w:rtl/>
        </w:rPr>
        <w:t>ניהול</w:t>
      </w:r>
      <w:r w:rsidRPr="009108BF">
        <w:rPr>
          <w:sz w:val="24"/>
          <w:rtl/>
        </w:rPr>
        <w:t xml:space="preserve"> ירוק</w:t>
      </w:r>
      <w:r w:rsidRPr="009108BF">
        <w:rPr>
          <w:rFonts w:hint="cs"/>
          <w:sz w:val="24"/>
          <w:rtl/>
        </w:rPr>
        <w:t xml:space="preserve"> של כספי ציבור בשים לב ל</w:t>
      </w:r>
      <w:r w:rsidRPr="009108BF">
        <w:rPr>
          <w:sz w:val="24"/>
          <w:rtl/>
        </w:rPr>
        <w:t>מחזור התקציב</w:t>
      </w:r>
      <w:r>
        <w:rPr>
          <w:rStyle w:val="FootnoteReference2"/>
          <w:rtl/>
        </w:rPr>
        <w:footnoteReference w:id="20"/>
      </w:r>
      <w:r w:rsidRPr="009108BF">
        <w:rPr>
          <w:rFonts w:hint="cs"/>
          <w:sz w:val="24"/>
          <w:rtl/>
        </w:rPr>
        <w:t>.</w:t>
      </w:r>
    </w:p>
    <w:p w:rsidR="00F20E3F" w:rsidP="00287CB1" w14:paraId="784AB2B4" w14:textId="77777777">
      <w:pPr>
        <w:pStyle w:val="7310"/>
        <w:numPr>
          <w:ilvl w:val="1"/>
          <w:numId w:val="59"/>
        </w:numPr>
      </w:pPr>
      <w:r>
        <w:rPr>
          <w:rFonts w:hint="cs"/>
          <w:rtl/>
        </w:rPr>
        <w:t xml:space="preserve">בדבריה של </w:t>
      </w:r>
      <w:r w:rsidRPr="00E246BD">
        <w:rPr>
          <w:rtl/>
        </w:rPr>
        <w:t xml:space="preserve">יו"ר </w:t>
      </w:r>
      <w:r>
        <w:rPr>
          <w:rFonts w:hint="cs"/>
          <w:rtl/>
        </w:rPr>
        <w:t>ה-</w:t>
      </w:r>
      <w:r>
        <w:rPr>
          <w:rFonts w:hint="cs"/>
        </w:rPr>
        <w:t>IMF</w:t>
      </w:r>
      <w:r>
        <w:rPr>
          <w:rFonts w:hint="cs"/>
          <w:rtl/>
        </w:rPr>
        <w:t>, מאוקטובר 2020, במפגש שרי האוצר של קואליציית שרי האוצר לאקלים היא הדגישה כי "</w:t>
      </w:r>
      <w:r>
        <w:rPr>
          <w:rtl/>
        </w:rPr>
        <w:t xml:space="preserve">שינויי האקלים </w:t>
      </w:r>
      <w:r>
        <w:rPr>
          <w:rFonts w:hint="cs"/>
          <w:rtl/>
        </w:rPr>
        <w:t>מהווים</w:t>
      </w:r>
      <w:r>
        <w:rPr>
          <w:rtl/>
        </w:rPr>
        <w:t xml:space="preserve"> איום </w:t>
      </w:r>
      <w:r>
        <w:rPr>
          <w:rFonts w:hint="cs"/>
          <w:rtl/>
        </w:rPr>
        <w:t>עומק</w:t>
      </w:r>
      <w:r>
        <w:rPr>
          <w:rtl/>
        </w:rPr>
        <w:t xml:space="preserve"> על צמיחה ושגשוג</w:t>
      </w:r>
      <w:r>
        <w:rPr>
          <w:rFonts w:hint="cs"/>
          <w:rtl/>
        </w:rPr>
        <w:t>,</w:t>
      </w:r>
      <w:r>
        <w:rPr>
          <w:rtl/>
        </w:rPr>
        <w:t xml:space="preserve"> זה מאקרו</w:t>
      </w:r>
      <w:r>
        <w:rPr>
          <w:rFonts w:hint="cs"/>
          <w:rtl/>
        </w:rPr>
        <w:t>-</w:t>
      </w:r>
      <w:r>
        <w:rPr>
          <w:rtl/>
        </w:rPr>
        <w:t>קריטי.</w:t>
      </w:r>
      <w:r>
        <w:rPr>
          <w:rFonts w:hint="cs"/>
          <w:rtl/>
        </w:rPr>
        <w:t xml:space="preserve">.. </w:t>
      </w:r>
      <w:r>
        <w:rPr>
          <w:rtl/>
        </w:rPr>
        <w:t>מדיניות מאקרו-כלכלית היא מרכזית במאבק בשינויי האקלים.</w:t>
      </w:r>
      <w:r>
        <w:rPr>
          <w:rFonts w:hint="cs"/>
          <w:rtl/>
        </w:rPr>
        <w:t xml:space="preserve"> </w:t>
      </w:r>
      <w:r>
        <w:rPr>
          <w:rtl/>
        </w:rPr>
        <w:t xml:space="preserve">זה מציב את שרי האוצר ואת מוסדות </w:t>
      </w:r>
      <w:r w:rsidRPr="00CC0319">
        <w:rPr>
          <w:rtl/>
        </w:rPr>
        <w:t xml:space="preserve">ברטון </w:t>
      </w:r>
      <w:r w:rsidRPr="00CC0319">
        <w:rPr>
          <w:rtl/>
        </w:rPr>
        <w:t>וודס</w:t>
      </w:r>
      <w:r w:rsidRPr="00CC0319">
        <w:rPr>
          <w:rtl/>
        </w:rPr>
        <w:t xml:space="preserve"> </w:t>
      </w:r>
      <w:r>
        <w:rPr>
          <w:rFonts w:hint="cs"/>
          <w:rtl/>
        </w:rPr>
        <w:t>[</w:t>
      </w:r>
      <w:r>
        <w:rPr>
          <w:rStyle w:val="FootnoteReference2"/>
          <w:rtl/>
        </w:rPr>
        <w:footnoteReference w:id="21"/>
      </w:r>
      <w:r>
        <w:rPr>
          <w:rFonts w:hint="cs"/>
          <w:rtl/>
        </w:rPr>
        <w:t xml:space="preserve">] </w:t>
      </w:r>
      <w:r w:rsidRPr="00CC0319">
        <w:rPr>
          <w:rtl/>
        </w:rPr>
        <w:t>בשורה הראשונה ש</w:t>
      </w:r>
      <w:r>
        <w:rPr>
          <w:rtl/>
        </w:rPr>
        <w:t>ל דיוני האקלים.</w:t>
      </w:r>
      <w:r>
        <w:rPr>
          <w:rFonts w:hint="cs"/>
          <w:rtl/>
        </w:rPr>
        <w:t xml:space="preserve">.. </w:t>
      </w:r>
      <w:r>
        <w:rPr>
          <w:rtl/>
        </w:rPr>
        <w:t>תמחור פחמן צריך להיות בלב האסטרטגיה הזו</w:t>
      </w:r>
      <w:r>
        <w:rPr>
          <w:rFonts w:hint="cs"/>
          <w:rtl/>
        </w:rPr>
        <w:t xml:space="preserve">". </w:t>
      </w:r>
    </w:p>
    <w:p w:rsidR="00F20E3F" w:rsidP="007B7A97" w14:paraId="4CE59905" w14:textId="77777777">
      <w:pPr>
        <w:pStyle w:val="73414"/>
      </w:pPr>
      <w:r>
        <w:rPr>
          <w:rFonts w:hint="cs"/>
          <w:rtl/>
        </w:rPr>
        <w:t>מעורבות משרד האוצר בתחום האקלים בישראל</w:t>
      </w:r>
    </w:p>
    <w:p w:rsidR="00F20E3F" w:rsidP="002F2907" w14:paraId="1F2C22BF" w14:textId="6F087249">
      <w:pPr>
        <w:pStyle w:val="7392"/>
        <w:rPr>
          <w:rtl/>
        </w:rPr>
      </w:pPr>
      <w:r>
        <w:rPr>
          <w:rFonts w:hint="cs"/>
          <w:rtl/>
        </w:rPr>
        <w:t xml:space="preserve">בפגישות שהתקיימו עם גורמים שונים במשרד האוצר נמסר לצוות משרד מבקר המדינה כי בשנת 2021 קיבל שר האוצר דאז הזמנה להצטרף לקואליציית שרי האוצר אולם הדבר לא יצא לפועל. כאמור, </w:t>
      </w:r>
      <w:r w:rsidRPr="00C12E49">
        <w:rPr>
          <w:rtl/>
        </w:rPr>
        <w:t>נכון ל</w:t>
      </w:r>
      <w:r>
        <w:rPr>
          <w:rFonts w:hint="cs"/>
          <w:rtl/>
        </w:rPr>
        <w:t>אוגוסט</w:t>
      </w:r>
      <w:r w:rsidRPr="00C12E49">
        <w:rPr>
          <w:rtl/>
        </w:rPr>
        <w:t xml:space="preserve"> 2023</w:t>
      </w:r>
      <w:r>
        <w:rPr>
          <w:rFonts w:hint="cs"/>
          <w:rtl/>
        </w:rPr>
        <w:t xml:space="preserve"> חברים בקואליציה זו שרי האוצר מ-90</w:t>
      </w:r>
      <w:r w:rsidRPr="00C12E49">
        <w:rPr>
          <w:rtl/>
        </w:rPr>
        <w:t xml:space="preserve"> מדינות</w:t>
      </w:r>
      <w:r>
        <w:rPr>
          <w:rFonts w:hint="cs"/>
          <w:rtl/>
        </w:rPr>
        <w:t xml:space="preserve">, וישראל אינה אחת מהן. </w:t>
      </w:r>
    </w:p>
    <w:p w:rsidR="00F20E3F" w:rsidRPr="00703BF5" w:rsidP="00703BF5" w14:paraId="7B3DA943" w14:textId="77777777">
      <w:pPr>
        <w:pStyle w:val="7317"/>
        <w:rPr>
          <w:rtl/>
        </w:rPr>
      </w:pPr>
      <w:r w:rsidRPr="00703BF5">
        <w:rPr>
          <w:rtl/>
        </w:rPr>
        <w:t xml:space="preserve">עקרונות הלסינקי ותוצרי העבודה של קואליציית שרי האקלים </w:t>
      </w:r>
      <w:r w:rsidRPr="00703BF5">
        <w:rPr>
          <w:rFonts w:hint="cs"/>
          <w:rtl/>
        </w:rPr>
        <w:t xml:space="preserve">מתגבשים לעקרונות </w:t>
      </w:r>
      <w:r w:rsidRPr="00703BF5">
        <w:rPr>
          <w:rFonts w:hint="cs"/>
          <w:rtl/>
        </w:rPr>
        <w:t>ולפרקטיקות</w:t>
      </w:r>
      <w:r w:rsidRPr="00703BF5">
        <w:rPr>
          <w:rFonts w:hint="cs"/>
          <w:rtl/>
        </w:rPr>
        <w:t xml:space="preserve"> מיטביות (</w:t>
      </w:r>
      <w:r w:rsidRPr="00703BF5">
        <w:t>best practices</w:t>
      </w:r>
      <w:r w:rsidRPr="00703BF5">
        <w:rPr>
          <w:rFonts w:hint="cs"/>
          <w:rtl/>
        </w:rPr>
        <w:t>) בתחומי האחריות של משרד האוצר הנוגעים לאקלים. אף על פי כן הביקורת העלתה כי מתוך 37 מדינות ה-</w:t>
      </w:r>
      <w:r w:rsidRPr="00703BF5">
        <w:rPr>
          <w:rFonts w:hint="cs"/>
        </w:rPr>
        <w:t>OECD</w:t>
      </w:r>
      <w:r w:rsidRPr="00703BF5">
        <w:rPr>
          <w:rFonts w:hint="cs"/>
          <w:rtl/>
        </w:rPr>
        <w:t xml:space="preserve">, שר האוצר של ישראל (ושרי האוצר של עוד 3 מדינות) לא הצטרף לקואליציית שרי האוצר, דבר המעיד על ניתוקו של משרד האוצר בישראל מפורום מרכזי ביותר שבו מתפתחת פרקטיקה רלוונטית לתחומים שבאחריותו. </w:t>
      </w:r>
    </w:p>
    <w:p w:rsidR="00F20E3F" w:rsidRPr="00E05CD1" w:rsidP="002F2907" w14:paraId="0793722B" w14:textId="77777777">
      <w:pPr>
        <w:pStyle w:val="7392"/>
        <w:rPr>
          <w:rtl/>
        </w:rPr>
      </w:pPr>
      <w:r>
        <w:rPr>
          <w:rFonts w:hint="cs"/>
          <w:rtl/>
        </w:rPr>
        <w:t>אשר לשאלת מעורבותו של</w:t>
      </w:r>
      <w:r w:rsidRPr="00D53B39">
        <w:rPr>
          <w:rtl/>
        </w:rPr>
        <w:t xml:space="preserve"> אגף </w:t>
      </w:r>
      <w:r>
        <w:rPr>
          <w:rFonts w:hint="cs"/>
          <w:rtl/>
        </w:rPr>
        <w:t>ה</w:t>
      </w:r>
      <w:r w:rsidRPr="00D53B39">
        <w:rPr>
          <w:rtl/>
        </w:rPr>
        <w:t xml:space="preserve">תקציבים בנעשה בקואליציית שרי האוצר לאקלים </w:t>
      </w:r>
      <w:r>
        <w:rPr>
          <w:rFonts w:hint="cs"/>
          <w:rtl/>
        </w:rPr>
        <w:t>ובתוצריה</w:t>
      </w:r>
      <w:r w:rsidRPr="00D53B39">
        <w:rPr>
          <w:rtl/>
        </w:rPr>
        <w:t xml:space="preserve"> ובנעשה בתחום ה</w:t>
      </w:r>
      <w:r>
        <w:rPr>
          <w:rFonts w:hint="cs"/>
          <w:rtl/>
        </w:rPr>
        <w:t xml:space="preserve">תקצוב הירוק </w:t>
      </w:r>
      <w:r w:rsidRPr="002F2907">
        <w:t>(Green budgeting)</w:t>
      </w:r>
      <w:r w:rsidRPr="00D53B39">
        <w:rPr>
          <w:rtl/>
        </w:rPr>
        <w:t xml:space="preserve"> ב</w:t>
      </w:r>
      <w:r>
        <w:rPr>
          <w:rFonts w:hint="cs"/>
          <w:rtl/>
        </w:rPr>
        <w:t>ארגון ה-</w:t>
      </w:r>
      <w:r w:rsidRPr="00D53B39">
        <w:t>OECD</w:t>
      </w:r>
      <w:r>
        <w:rPr>
          <w:rFonts w:hint="cs"/>
          <w:rtl/>
        </w:rPr>
        <w:t>, ולשאלה כיצד הוא פועל בעניין, ציין האגף כי מסמכי ארגון ה-</w:t>
      </w:r>
      <w:r>
        <w:rPr>
          <w:rFonts w:hint="cs"/>
        </w:rPr>
        <w:t>OECD</w:t>
      </w:r>
      <w:r>
        <w:rPr>
          <w:rFonts w:hint="cs"/>
          <w:rtl/>
        </w:rPr>
        <w:t xml:space="preserve"> מוכרים לו,</w:t>
      </w:r>
      <w:r w:rsidRPr="00D53B39">
        <w:rPr>
          <w:rtl/>
        </w:rPr>
        <w:t xml:space="preserve"> </w:t>
      </w:r>
      <w:r>
        <w:rPr>
          <w:rFonts w:hint="cs"/>
          <w:rtl/>
        </w:rPr>
        <w:t>וכי ל</w:t>
      </w:r>
      <w:r w:rsidRPr="00D53B39">
        <w:rPr>
          <w:rtl/>
        </w:rPr>
        <w:t>משרד האוצר יש נציגות ב</w:t>
      </w:r>
      <w:r>
        <w:rPr>
          <w:rFonts w:hint="cs"/>
          <w:rtl/>
        </w:rPr>
        <w:t>-</w:t>
      </w:r>
      <w:r>
        <w:rPr>
          <w:rFonts w:hint="cs"/>
        </w:rPr>
        <w:t>OECD</w:t>
      </w:r>
      <w:r>
        <w:rPr>
          <w:rFonts w:hint="cs"/>
          <w:rtl/>
        </w:rPr>
        <w:t xml:space="preserve"> ה</w:t>
      </w:r>
      <w:r w:rsidRPr="00D53B39">
        <w:rPr>
          <w:rtl/>
        </w:rPr>
        <w:t>מעדכנת לפרקים בהתפתחויות בתחום.</w:t>
      </w:r>
      <w:r>
        <w:rPr>
          <w:rFonts w:hint="cs"/>
          <w:rtl/>
        </w:rPr>
        <w:t xml:space="preserve"> מתשובות משרד האוצר על השאלון עלה עוד כי הוא לא הנחה את</w:t>
      </w:r>
      <w:r w:rsidRPr="00E05CD1">
        <w:rPr>
          <w:rtl/>
        </w:rPr>
        <w:t xml:space="preserve"> גופי הסמך </w:t>
      </w:r>
      <w:r>
        <w:rPr>
          <w:rFonts w:hint="cs"/>
          <w:rtl/>
        </w:rPr>
        <w:t xml:space="preserve">שלו (כמו </w:t>
      </w:r>
      <w:r w:rsidRPr="00A93BD9">
        <w:rPr>
          <w:rtl/>
        </w:rPr>
        <w:t xml:space="preserve">רשות שוק ההון, </w:t>
      </w:r>
      <w:r>
        <w:rPr>
          <w:rFonts w:hint="cs"/>
          <w:rtl/>
        </w:rPr>
        <w:t xml:space="preserve">רשות החברות הממשלתיות ורשות המיסים) </w:t>
      </w:r>
      <w:r w:rsidRPr="00E05CD1">
        <w:rPr>
          <w:rtl/>
        </w:rPr>
        <w:t xml:space="preserve">בתחום </w:t>
      </w:r>
      <w:r>
        <w:rPr>
          <w:rFonts w:hint="cs"/>
          <w:rtl/>
        </w:rPr>
        <w:t xml:space="preserve">האקלים </w:t>
      </w:r>
      <w:r w:rsidRPr="00E05CD1">
        <w:rPr>
          <w:rtl/>
        </w:rPr>
        <w:t>או בנושאים</w:t>
      </w:r>
      <w:r>
        <w:rPr>
          <w:rFonts w:hint="cs"/>
          <w:rtl/>
        </w:rPr>
        <w:t xml:space="preserve"> הרבים</w:t>
      </w:r>
      <w:r w:rsidRPr="00E05CD1">
        <w:rPr>
          <w:rtl/>
        </w:rPr>
        <w:t xml:space="preserve"> </w:t>
      </w:r>
      <w:r>
        <w:rPr>
          <w:rFonts w:hint="cs"/>
          <w:rtl/>
        </w:rPr>
        <w:t xml:space="preserve">המצויים בהחלטות הממשלה הקשורים באדפטציה או </w:t>
      </w:r>
      <w:r>
        <w:rPr>
          <w:rFonts w:hint="cs"/>
          <w:rtl/>
        </w:rPr>
        <w:t>מיטיגציה</w:t>
      </w:r>
      <w:r w:rsidRPr="00E05CD1">
        <w:rPr>
          <w:rtl/>
        </w:rPr>
        <w:t xml:space="preserve"> (לרבות לצורך זיהוי איומי אקלים והכנת תוכניות להתמודדות עם השפעות האקלים</w:t>
      </w:r>
      <w:r>
        <w:rPr>
          <w:rFonts w:hint="cs"/>
          <w:rtl/>
        </w:rPr>
        <w:t>)</w:t>
      </w:r>
      <w:r w:rsidRPr="00E05CD1">
        <w:rPr>
          <w:rtl/>
        </w:rPr>
        <w:t xml:space="preserve"> </w:t>
      </w:r>
      <w:r>
        <w:rPr>
          <w:rFonts w:hint="cs"/>
          <w:rtl/>
        </w:rPr>
        <w:t>ש</w:t>
      </w:r>
      <w:r w:rsidRPr="00E05CD1">
        <w:rPr>
          <w:rtl/>
        </w:rPr>
        <w:t>בתחו</w:t>
      </w:r>
      <w:r>
        <w:rPr>
          <w:rFonts w:hint="cs"/>
          <w:rtl/>
        </w:rPr>
        <w:t xml:space="preserve">מי אחריותם. </w:t>
      </w:r>
    </w:p>
    <w:p w:rsidR="00F20E3F" w:rsidRPr="00CC4F6B" w:rsidP="002F2907" w14:paraId="3E8F94CB" w14:textId="77777777">
      <w:pPr>
        <w:pStyle w:val="7392"/>
        <w:rPr>
          <w:highlight w:val="green"/>
          <w:rtl/>
        </w:rPr>
      </w:pPr>
      <w:r>
        <w:rPr>
          <w:rFonts w:hint="cs"/>
          <w:rtl/>
        </w:rPr>
        <w:t xml:space="preserve">פעילות מוגבלת בנושא הטמעת נורמות סביבתיות בסוגיות הקשורות בהוצאות, צוינה </w:t>
      </w:r>
      <w:r w:rsidRPr="0077593E">
        <w:rPr>
          <w:rtl/>
        </w:rPr>
        <w:t xml:space="preserve">בסקירת הביצועים הסביבתיים של מדינת ישראל </w:t>
      </w:r>
      <w:r>
        <w:rPr>
          <w:rFonts w:hint="cs"/>
          <w:rtl/>
        </w:rPr>
        <w:t>ש</w:t>
      </w:r>
      <w:r w:rsidRPr="0077593E">
        <w:rPr>
          <w:rtl/>
        </w:rPr>
        <w:t>ביצע ה-</w:t>
      </w:r>
      <w:r w:rsidRPr="0077593E">
        <w:t>OECD</w:t>
      </w:r>
      <w:r w:rsidRPr="0077593E">
        <w:rPr>
          <w:rtl/>
        </w:rPr>
        <w:t xml:space="preserve"> ואשר פורס</w:t>
      </w:r>
      <w:r>
        <w:rPr>
          <w:rFonts w:hint="cs"/>
          <w:rtl/>
        </w:rPr>
        <w:t>מה</w:t>
      </w:r>
      <w:r w:rsidRPr="0077593E">
        <w:rPr>
          <w:rtl/>
        </w:rPr>
        <w:t xml:space="preserve"> במאי 2023</w:t>
      </w:r>
      <w:r>
        <w:rPr>
          <w:rFonts w:hint="cs"/>
          <w:rtl/>
        </w:rPr>
        <w:t xml:space="preserve"> (להלן - סקר ביצועים סביבתיים של ה-</w:t>
      </w:r>
      <w:r>
        <w:rPr>
          <w:rFonts w:hint="cs"/>
        </w:rPr>
        <w:t>OECD</w:t>
      </w:r>
      <w:r>
        <w:rPr>
          <w:rFonts w:hint="cs"/>
          <w:rtl/>
        </w:rPr>
        <w:t xml:space="preserve"> 2023)</w:t>
      </w:r>
      <w:r w:rsidRPr="0077593E">
        <w:rPr>
          <w:rtl/>
        </w:rPr>
        <w:t xml:space="preserve">, </w:t>
      </w:r>
      <w:r>
        <w:rPr>
          <w:rFonts w:hint="cs"/>
          <w:rtl/>
        </w:rPr>
        <w:t>ולפיה בשנים האחרונות החלו בהטמעה גוברת של א</w:t>
      </w:r>
      <w:r>
        <w:rPr>
          <w:rtl/>
        </w:rPr>
        <w:t>מות מידה סביבתיות במכרזי</w:t>
      </w:r>
      <w:r>
        <w:rPr>
          <w:rFonts w:hint="cs"/>
          <w:rtl/>
        </w:rPr>
        <w:t xml:space="preserve"> </w:t>
      </w:r>
      <w:r>
        <w:rPr>
          <w:rtl/>
        </w:rPr>
        <w:t xml:space="preserve">רכש ממשלתיים, </w:t>
      </w:r>
      <w:r>
        <w:rPr>
          <w:rFonts w:hint="cs"/>
          <w:rtl/>
        </w:rPr>
        <w:t xml:space="preserve">אולם הם נותרו וולונטריים; וכי המשרד </w:t>
      </w:r>
      <w:r>
        <w:rPr>
          <w:rFonts w:hint="cs"/>
          <w:rtl/>
        </w:rPr>
        <w:t>להג"ס</w:t>
      </w:r>
      <w:r>
        <w:rPr>
          <w:rFonts w:hint="cs"/>
          <w:rtl/>
        </w:rPr>
        <w:t xml:space="preserve"> ומשרד האוצר </w:t>
      </w:r>
      <w:r>
        <w:rPr>
          <w:rtl/>
        </w:rPr>
        <w:t>קבעו</w:t>
      </w:r>
      <w:r>
        <w:rPr>
          <w:rFonts w:hint="cs"/>
          <w:rtl/>
        </w:rPr>
        <w:t xml:space="preserve"> </w:t>
      </w:r>
      <w:r>
        <w:rPr>
          <w:rtl/>
        </w:rPr>
        <w:t>יעד של רכש ציבורי ירוק בהיקף של 20% מההוצאות</w:t>
      </w:r>
      <w:r>
        <w:rPr>
          <w:rFonts w:hint="cs"/>
          <w:rtl/>
        </w:rPr>
        <w:t xml:space="preserve"> </w:t>
      </w:r>
      <w:r>
        <w:rPr>
          <w:rtl/>
        </w:rPr>
        <w:t>הממשלתיות</w:t>
      </w:r>
      <w:r>
        <w:rPr>
          <w:rStyle w:val="FootnoteReference2"/>
          <w:rtl/>
        </w:rPr>
        <w:footnoteReference w:id="22"/>
      </w:r>
      <w:r>
        <w:rPr>
          <w:rtl/>
        </w:rPr>
        <w:t>.</w:t>
      </w:r>
      <w:r>
        <w:rPr>
          <w:rFonts w:hint="cs"/>
          <w:rtl/>
        </w:rPr>
        <w:t xml:space="preserve"> יצוין עוד כי במסגרת הדוחות הכספיים של המדינה לשנים 2021 עד 2022 שמפרסם </w:t>
      </w:r>
      <w:r>
        <w:rPr>
          <w:rFonts w:hint="cs"/>
          <w:rtl/>
        </w:rPr>
        <w:t>החשכ"ל</w:t>
      </w:r>
      <w:r>
        <w:rPr>
          <w:rFonts w:hint="cs"/>
          <w:rtl/>
        </w:rPr>
        <w:t xml:space="preserve"> במשרד האוצר, התווסף סעיף בחלקו האחרון (חלק ד', "מידע נוסף") שכותרתו "דיווח בנושא אקלים וקיימות". מטרת הסעיף "</w:t>
      </w:r>
      <w:r>
        <w:rPr>
          <w:rtl/>
        </w:rPr>
        <w:t>לשקף עבור משתמשי הדוחות הכספיים חלק מהפעולות העיקריות שנעשו בנושאים אלו, הן לצורך</w:t>
      </w:r>
      <w:r>
        <w:rPr>
          <w:rFonts w:hint="cs"/>
          <w:rtl/>
        </w:rPr>
        <w:t xml:space="preserve"> </w:t>
      </w:r>
      <w:r>
        <w:rPr>
          <w:rtl/>
        </w:rPr>
        <w:t>מעקב אחר שינויים ומגמות במדינת ישראל ובעולם, הן לצורך הצגת הפעולות והצעדים שנעשו במהלך תקופת</w:t>
      </w:r>
      <w:r>
        <w:rPr>
          <w:rFonts w:hint="cs"/>
          <w:rtl/>
        </w:rPr>
        <w:t xml:space="preserve"> </w:t>
      </w:r>
      <w:r>
        <w:rPr>
          <w:rtl/>
        </w:rPr>
        <w:t>הדוחות הכספיים ואשר תרמו להשגת יעדי הממשלה והן לצורך הצגתם של נושאים עיקריים הדורשים טיפול ו/או</w:t>
      </w:r>
      <w:r>
        <w:rPr>
          <w:rFonts w:hint="cs"/>
          <w:rtl/>
        </w:rPr>
        <w:t xml:space="preserve"> </w:t>
      </w:r>
      <w:r>
        <w:rPr>
          <w:rtl/>
        </w:rPr>
        <w:t>מעקב</w:t>
      </w:r>
      <w:r>
        <w:rPr>
          <w:rFonts w:hint="cs"/>
          <w:rtl/>
        </w:rPr>
        <w:t>"</w:t>
      </w:r>
      <w:r>
        <w:rPr>
          <w:rtl/>
        </w:rPr>
        <w:t>.</w:t>
      </w:r>
      <w:r>
        <w:rPr>
          <w:rFonts w:hint="cs"/>
          <w:rtl/>
        </w:rPr>
        <w:t xml:space="preserve"> הסעיף מכיל אפוא מידע כללי על אודות מדיניות ממשלת ישראל בעבר ובהווה בתחומים אלו עם סקירה כללית של התפתחויות בין-לאומיות בעניין. מדובר </w:t>
      </w:r>
      <w:r w:rsidRPr="00430B8F">
        <w:rPr>
          <w:rFonts w:hint="cs"/>
          <w:rtl/>
        </w:rPr>
        <w:t>בסקירה אינפורמטיבית של עשייה ממשלתית של משרדים אחרים בעיקר.</w:t>
      </w:r>
      <w:r>
        <w:rPr>
          <w:rFonts w:hint="cs"/>
          <w:rtl/>
        </w:rPr>
        <w:t xml:space="preserve"> </w:t>
      </w:r>
    </w:p>
    <w:p w:rsidR="00F20E3F" w:rsidP="002F2907" w14:paraId="254BF9ED" w14:textId="740545F5">
      <w:pPr>
        <w:pStyle w:val="7392"/>
        <w:rPr>
          <w:b/>
          <w:bCs/>
          <w:rtl/>
        </w:rPr>
      </w:pPr>
      <w:r>
        <w:rPr>
          <w:rFonts w:hint="cs"/>
          <w:rtl/>
        </w:rPr>
        <w:t>אשר לתפקידו בנקיטת פעולה ובתקצוב של נושאי אקלים (</w:t>
      </w:r>
      <w:r>
        <w:rPr>
          <w:rFonts w:hint="cs"/>
          <w:rtl/>
        </w:rPr>
        <w:t>מיטיגציה</w:t>
      </w:r>
      <w:r>
        <w:rPr>
          <w:rFonts w:hint="cs"/>
          <w:rtl/>
        </w:rPr>
        <w:t xml:space="preserve"> ואדפטציה), בשים לב למשמעויות הרחבות של המעבר לכלכלה דלת פחמן ולנגיעתו למכלול המשק הישראלי, אגף התקציבים נוקט עמדה ולפיה נושא האקלים צריך להיות מטופל על ידו, תקציבית ופיסקלית, כמו כל נושא אחר - קרי, בסגמנטים לפי משרדי ממשלה, והוא צ</w:t>
      </w:r>
      <w:r w:rsidRPr="008C11B5">
        <w:rPr>
          <w:rFonts w:hint="cs"/>
          <w:rtl/>
        </w:rPr>
        <w:t xml:space="preserve">יין כי "כל משרד [ממשלתי] צריך לפעול למימוש יעדי הממשלה... ובהתאם לתקציבים שהוקצו... ועל פי </w:t>
      </w:r>
      <w:r w:rsidRPr="008C11B5">
        <w:rPr>
          <w:rFonts w:hint="cs"/>
          <w:rtl/>
        </w:rPr>
        <w:t>תעדוף</w:t>
      </w:r>
      <w:r w:rsidRPr="008C11B5">
        <w:rPr>
          <w:rFonts w:hint="cs"/>
          <w:rtl/>
        </w:rPr>
        <w:t xml:space="preserve"> נושאי של המשרד הרלוונטי", </w:t>
      </w:r>
      <w:r>
        <w:rPr>
          <w:rFonts w:hint="cs"/>
          <w:rtl/>
        </w:rPr>
        <w:t>וכן כי "</w:t>
      </w:r>
      <w:r w:rsidRPr="008C11B5">
        <w:rPr>
          <w:rtl/>
        </w:rPr>
        <w:t>אדפטציה נלקחת בחשבון בהשקעות בכל תחום בנפרד</w:t>
      </w:r>
      <w:r>
        <w:rPr>
          <w:rFonts w:hint="cs"/>
          <w:rtl/>
        </w:rPr>
        <w:t>,</w:t>
      </w:r>
      <w:r w:rsidRPr="008C11B5">
        <w:rPr>
          <w:rtl/>
        </w:rPr>
        <w:t xml:space="preserve"> וכל משרד ממשלתי נדרש </w:t>
      </w:r>
      <w:r w:rsidRPr="008C11B5">
        <w:rPr>
          <w:rtl/>
        </w:rPr>
        <w:t>לתעדף</w:t>
      </w:r>
      <w:r w:rsidRPr="008C11B5">
        <w:rPr>
          <w:rtl/>
        </w:rPr>
        <w:t xml:space="preserve"> את ההשקעה באדפטציה ביחס סיכונים ותועלות אחרות</w:t>
      </w:r>
      <w:r>
        <w:rPr>
          <w:rFonts w:hint="cs"/>
          <w:rtl/>
        </w:rPr>
        <w:t>"</w:t>
      </w:r>
      <w:r w:rsidRPr="008C11B5">
        <w:rPr>
          <w:rtl/>
        </w:rPr>
        <w:t>.</w:t>
      </w:r>
    </w:p>
    <w:p w:rsidR="00F20E3F" w:rsidP="002F2907" w14:paraId="6EBFCC31" w14:textId="77777777">
      <w:pPr>
        <w:pStyle w:val="7392"/>
        <w:rPr>
          <w:b/>
          <w:bCs/>
          <w:rtl/>
        </w:rPr>
      </w:pPr>
      <w:r>
        <w:rPr>
          <w:rFonts w:hint="cs"/>
          <w:rtl/>
        </w:rPr>
        <w:t>אגף התקציבים במשרד האוצר מסר בתשובתו בנוגע לנושא "</w:t>
      </w:r>
      <w:r>
        <w:rPr>
          <w:rFonts w:hint="cs"/>
          <w:rtl/>
        </w:rPr>
        <w:t>יירוק</w:t>
      </w:r>
      <w:r>
        <w:rPr>
          <w:rFonts w:hint="cs"/>
          <w:rtl/>
        </w:rPr>
        <w:t>" התקציב כי "</w:t>
      </w:r>
      <w:r>
        <w:rPr>
          <w:rtl/>
        </w:rPr>
        <w:t xml:space="preserve">אכן כיום אין כלים </w:t>
      </w:r>
      <w:r>
        <w:rPr>
          <w:rFonts w:hint="cs"/>
          <w:rtl/>
        </w:rPr>
        <w:t>לכך</w:t>
      </w:r>
      <w:r>
        <w:rPr>
          <w:rtl/>
        </w:rPr>
        <w:t xml:space="preserve">, </w:t>
      </w:r>
      <w:r>
        <w:rPr>
          <w:rFonts w:hint="cs"/>
          <w:rtl/>
        </w:rPr>
        <w:t xml:space="preserve">ויש לבחון זאת </w:t>
      </w:r>
      <w:r>
        <w:rPr>
          <w:rtl/>
        </w:rPr>
        <w:t>כחלק מהכלים שיאפשרו לשפר את היערכות הממשלה למשבר האקלים</w:t>
      </w:r>
      <w:r>
        <w:rPr>
          <w:rFonts w:hint="cs"/>
          <w:rtl/>
        </w:rPr>
        <w:t>"</w:t>
      </w:r>
      <w:r>
        <w:rPr>
          <w:rtl/>
        </w:rPr>
        <w:t>.</w:t>
      </w:r>
      <w:r>
        <w:rPr>
          <w:rFonts w:hint="cs"/>
          <w:b/>
          <w:bCs/>
          <w:rtl/>
        </w:rPr>
        <w:t xml:space="preserve"> </w:t>
      </w:r>
      <w:r>
        <w:rPr>
          <w:rFonts w:hint="cs"/>
          <w:rtl/>
        </w:rPr>
        <w:t>החשכ"ל</w:t>
      </w:r>
      <w:r>
        <w:rPr>
          <w:rFonts w:hint="cs"/>
          <w:rtl/>
        </w:rPr>
        <w:t xml:space="preserve"> כתב בתשובתו כי בשנת 2023 הוא הנפיק לראשונה </w:t>
      </w:r>
      <w:r>
        <w:rPr>
          <w:rtl/>
        </w:rPr>
        <w:t>איגרת חוב ירוק</w:t>
      </w:r>
      <w:r>
        <w:rPr>
          <w:rFonts w:hint="cs"/>
          <w:rtl/>
        </w:rPr>
        <w:t xml:space="preserve">ה </w:t>
      </w:r>
      <w:r>
        <w:rPr>
          <w:rtl/>
        </w:rPr>
        <w:t>ממשלתית</w:t>
      </w:r>
      <w:r>
        <w:rPr>
          <w:rStyle w:val="FootnoteReference2"/>
          <w:rtl/>
        </w:rPr>
        <w:footnoteReference w:id="23"/>
      </w:r>
      <w:r>
        <w:rPr>
          <w:rFonts w:hint="cs"/>
          <w:rtl/>
        </w:rPr>
        <w:t xml:space="preserve">, הנפקה שהביאה לגיוס של 2 מיליארד דולר ארה"ב ושלדבריו "משכה ביקושים של יותר מ-12 מיליארד דולר משלוש מאות משקיעים מארבעים מדינות". </w:t>
      </w:r>
    </w:p>
    <w:p w:rsidR="00F20E3F" w:rsidRPr="00703BF5" w:rsidP="00703BF5" w14:paraId="4F095E80" w14:textId="76BAB98E">
      <w:pPr>
        <w:pStyle w:val="7317"/>
        <w:rPr>
          <w:rtl/>
        </w:rPr>
      </w:pPr>
      <w:r w:rsidRPr="00703BF5">
        <w:rPr>
          <w:rFonts w:hint="cs"/>
          <w:rtl/>
        </w:rPr>
        <w:t xml:space="preserve">בעשור האחרון </w:t>
      </w:r>
      <w:r w:rsidRPr="00703BF5">
        <w:rPr>
          <w:rtl/>
        </w:rPr>
        <w:t xml:space="preserve">גוברת </w:t>
      </w:r>
      <w:r w:rsidRPr="00703BF5">
        <w:rPr>
          <w:rFonts w:hint="cs"/>
          <w:rtl/>
        </w:rPr>
        <w:t>ההכרה העולמית בתפקיד החיוני והקריטי שמגלם משרד האוצר, ובצורך בהפיכתו לגורם דומיננטי בחתירה ל</w:t>
      </w:r>
      <w:r w:rsidRPr="00703BF5">
        <w:rPr>
          <w:rtl/>
        </w:rPr>
        <w:t>השגת יעדי האקלים ואיפוס פחמני</w:t>
      </w:r>
      <w:r w:rsidRPr="00703BF5">
        <w:rPr>
          <w:rFonts w:hint="cs"/>
          <w:rtl/>
        </w:rPr>
        <w:t xml:space="preserve">. במסגרות בין-לאומיות מובילות שבהן ישראל חברה </w:t>
      </w:r>
      <w:r w:rsidRPr="00703BF5">
        <w:rPr>
          <w:rFonts w:hint="eastAsia"/>
          <w:rtl/>
        </w:rPr>
        <w:t>כמו</w:t>
      </w:r>
      <w:r w:rsidRPr="00703BF5">
        <w:rPr>
          <w:rtl/>
        </w:rPr>
        <w:t xml:space="preserve"> ה-</w:t>
      </w:r>
      <w:r w:rsidRPr="00703BF5">
        <w:t>IMF</w:t>
      </w:r>
      <w:r w:rsidRPr="00703BF5">
        <w:rPr>
          <w:rtl/>
        </w:rPr>
        <w:t xml:space="preserve">, </w:t>
      </w:r>
      <w:r w:rsidRPr="00703BF5">
        <w:rPr>
          <w:rFonts w:hint="eastAsia"/>
          <w:rtl/>
        </w:rPr>
        <w:t>הבנק</w:t>
      </w:r>
      <w:r w:rsidRPr="00703BF5">
        <w:rPr>
          <w:rtl/>
        </w:rPr>
        <w:t xml:space="preserve"> </w:t>
      </w:r>
      <w:r w:rsidRPr="00703BF5">
        <w:rPr>
          <w:rFonts w:hint="eastAsia"/>
          <w:rtl/>
        </w:rPr>
        <w:t>העולמי</w:t>
      </w:r>
      <w:r w:rsidRPr="00703BF5">
        <w:rPr>
          <w:rtl/>
        </w:rPr>
        <w:t xml:space="preserve"> </w:t>
      </w:r>
      <w:r w:rsidRPr="00703BF5">
        <w:rPr>
          <w:rFonts w:hint="eastAsia"/>
          <w:rtl/>
        </w:rPr>
        <w:t>וה</w:t>
      </w:r>
      <w:r w:rsidRPr="00703BF5">
        <w:rPr>
          <w:rtl/>
        </w:rPr>
        <w:t>-</w:t>
      </w:r>
      <w:r w:rsidRPr="00703BF5">
        <w:t>OECD</w:t>
      </w:r>
      <w:r w:rsidRPr="00703BF5">
        <w:rPr>
          <w:rtl/>
        </w:rPr>
        <w:t xml:space="preserve"> וכן בקואליציית שרי האוצר </w:t>
      </w:r>
      <w:r w:rsidRPr="00703BF5">
        <w:rPr>
          <w:rFonts w:hint="cs"/>
          <w:rtl/>
        </w:rPr>
        <w:t xml:space="preserve">המונה 90 </w:t>
      </w:r>
      <w:r w:rsidRPr="00703BF5">
        <w:rPr>
          <w:rtl/>
        </w:rPr>
        <w:t xml:space="preserve">שרי אוצר </w:t>
      </w:r>
      <w:r w:rsidRPr="00703BF5">
        <w:rPr>
          <w:rFonts w:hint="cs"/>
          <w:rtl/>
        </w:rPr>
        <w:t xml:space="preserve">שבה </w:t>
      </w:r>
      <w:r w:rsidRPr="00703BF5">
        <w:rPr>
          <w:rtl/>
        </w:rPr>
        <w:t xml:space="preserve">ישראל אינה </w:t>
      </w:r>
      <w:r w:rsidRPr="00703BF5">
        <w:rPr>
          <w:rFonts w:hint="cs"/>
          <w:rtl/>
        </w:rPr>
        <w:t>חברה</w:t>
      </w:r>
      <w:r w:rsidRPr="00703BF5">
        <w:rPr>
          <w:rtl/>
        </w:rPr>
        <w:t>,</w:t>
      </w:r>
      <w:r w:rsidRPr="00703BF5">
        <w:rPr>
          <w:rFonts w:hint="cs"/>
          <w:rtl/>
        </w:rPr>
        <w:t xml:space="preserve"> כבר גובשו עבור משרדי האוצר המלצות להתאמת כלים כלכליים ופיסקליים לעידן המאבק בשינויי האקלים </w:t>
      </w:r>
      <w:r w:rsidRPr="00703BF5">
        <w:rPr>
          <w:rFonts w:hint="eastAsia"/>
          <w:rtl/>
        </w:rPr>
        <w:t>המגלם</w:t>
      </w:r>
      <w:r w:rsidRPr="00703BF5">
        <w:rPr>
          <w:rtl/>
        </w:rPr>
        <w:t xml:space="preserve"> </w:t>
      </w:r>
      <w:r w:rsidRPr="00703BF5">
        <w:rPr>
          <w:rFonts w:hint="eastAsia"/>
          <w:rtl/>
        </w:rPr>
        <w:t>תמורות</w:t>
      </w:r>
      <w:r w:rsidRPr="00703BF5">
        <w:rPr>
          <w:rtl/>
        </w:rPr>
        <w:t xml:space="preserve"> </w:t>
      </w:r>
      <w:r w:rsidRPr="00703BF5">
        <w:rPr>
          <w:rFonts w:hint="eastAsia"/>
          <w:rtl/>
        </w:rPr>
        <w:t>חסרות</w:t>
      </w:r>
      <w:r w:rsidRPr="00703BF5">
        <w:rPr>
          <w:rtl/>
        </w:rPr>
        <w:t xml:space="preserve"> </w:t>
      </w:r>
      <w:r w:rsidRPr="00703BF5">
        <w:rPr>
          <w:rFonts w:hint="eastAsia"/>
          <w:rtl/>
        </w:rPr>
        <w:t>תקדים</w:t>
      </w:r>
      <w:r w:rsidRPr="00703BF5">
        <w:rPr>
          <w:rtl/>
        </w:rPr>
        <w:t xml:space="preserve"> </w:t>
      </w:r>
      <w:r w:rsidRPr="00703BF5">
        <w:rPr>
          <w:rFonts w:hint="eastAsia"/>
          <w:rtl/>
        </w:rPr>
        <w:t>באופן</w:t>
      </w:r>
      <w:r w:rsidRPr="00703BF5">
        <w:rPr>
          <w:rtl/>
        </w:rPr>
        <w:t xml:space="preserve"> </w:t>
      </w:r>
      <w:r w:rsidRPr="00703BF5">
        <w:rPr>
          <w:rFonts w:hint="cs"/>
          <w:rtl/>
        </w:rPr>
        <w:t>ש</w:t>
      </w:r>
      <w:r w:rsidRPr="00703BF5">
        <w:rPr>
          <w:rFonts w:hint="eastAsia"/>
          <w:rtl/>
        </w:rPr>
        <w:t>בו</w:t>
      </w:r>
      <w:r w:rsidRPr="00703BF5">
        <w:rPr>
          <w:rtl/>
        </w:rPr>
        <w:t xml:space="preserve"> </w:t>
      </w:r>
      <w:r w:rsidRPr="00703BF5">
        <w:rPr>
          <w:rFonts w:hint="eastAsia"/>
          <w:rtl/>
        </w:rPr>
        <w:t>כלכלות</w:t>
      </w:r>
      <w:r w:rsidRPr="00703BF5">
        <w:rPr>
          <w:rtl/>
        </w:rPr>
        <w:t xml:space="preserve"> </w:t>
      </w:r>
      <w:r w:rsidRPr="00703BF5">
        <w:rPr>
          <w:rFonts w:hint="eastAsia"/>
          <w:rtl/>
        </w:rPr>
        <w:t>פועלות</w:t>
      </w:r>
      <w:r w:rsidRPr="00703BF5">
        <w:rPr>
          <w:rtl/>
        </w:rPr>
        <w:t xml:space="preserve">. </w:t>
      </w:r>
      <w:r w:rsidRPr="00703BF5">
        <w:rPr>
          <w:rFonts w:hint="eastAsia"/>
          <w:rtl/>
        </w:rPr>
        <w:t>כיוון</w:t>
      </w:r>
      <w:r w:rsidRPr="00703BF5">
        <w:rPr>
          <w:rtl/>
        </w:rPr>
        <w:t xml:space="preserve"> </w:t>
      </w:r>
      <w:r w:rsidRPr="00703BF5">
        <w:rPr>
          <w:rFonts w:hint="cs"/>
          <w:rtl/>
        </w:rPr>
        <w:t xml:space="preserve">שמדובר בכלים רוחביים המצויים בדרך כלל בידי משרד האוצר, הוא הופך לשחקן מרכזי בהשגת יעדי האקלים. הביקורת העלתה כי בישראל משרד האוצר אינו מעורב בנעשה בתחום התקצוב הירוק, מלבד "היכרות" עם עצם קיום הנושא ועיסוק מוגבל בקידום רכש ירוק וולונטרי והנפקה אחת של איגרת חוב ירוקה </w:t>
      </w:r>
      <w:r w:rsidR="00523140">
        <w:rPr>
          <w:rFonts w:hint="cs"/>
          <w:rtl/>
        </w:rPr>
        <w:t>(</w:t>
      </w:r>
      <w:r w:rsidRPr="00703BF5">
        <w:rPr>
          <w:rFonts w:hint="cs"/>
          <w:rtl/>
        </w:rPr>
        <w:t xml:space="preserve">שנת </w:t>
      </w:r>
      <w:r w:rsidR="00523140">
        <w:rPr>
          <w:rFonts w:hint="cs"/>
          <w:rtl/>
        </w:rPr>
        <w:t>2023)</w:t>
      </w:r>
      <w:r w:rsidRPr="00703BF5">
        <w:rPr>
          <w:rFonts w:hint="cs"/>
          <w:rtl/>
        </w:rPr>
        <w:t xml:space="preserve">, וכי משרד האוצר אינו משלב המלצות אלו בפעולות פיסקליות וכלכליות שאותן הוא נוקט ואינו תופס את תפקידו כמרכזי בקידום פעולות אקלים. </w:t>
      </w:r>
    </w:p>
    <w:p w:rsidR="00F20E3F" w:rsidRPr="00703BF5" w:rsidP="00703BF5" w14:paraId="357B2127" w14:textId="77777777">
      <w:pPr>
        <w:pStyle w:val="7317"/>
        <w:rPr>
          <w:rtl/>
        </w:rPr>
      </w:pPr>
      <w:r w:rsidRPr="00703BF5">
        <w:rPr>
          <w:rFonts w:hint="cs"/>
          <w:rtl/>
        </w:rPr>
        <w:t xml:space="preserve">יתרה מכך, הועלה כי משרד האוצר ממשיך לראות בנושא האקלים סוגיה סביבתית המטופלת בעיקר ברמת המשרד המקצועית-ביצועית במקום סוגיה כלל-משקית כלכלית. מכלול פעולתו של משרד האוצר, כפי שעולה מהדוח הקודם ומביקורת המעקב, מלמד כי על אף השפעתו הרוחבית על נושא זה הוא אינו תופס עדיין עמדת הובלה כי אם נוקט עמדה תגובתית, ממעט בנקיטת יוזמות בתחום ואף נוקט לעיתים עמדה המביאה לבלימת האמצעים הדרושים למאבק בשינויי האקלים שעליהם יש לו השפעה. אם משרד האוצר עוסק בנושא, הוא עושה זאת בסגמנטים, לשיטתו - מול כל משרד בנפרד, ובכלים סטנדרטיים, ככול סוגיה ממשלתית אחרת, במקום לנקוט פעולה פרואקטיבית רחבה באמצעות הכלים שבסמכותו. הימנעותו של משרד האוצר ממעבר לקדמת הבמה כגורם דומיננטי בקידום מדיניות אקלים, כפי שנעשה במדינות </w:t>
      </w:r>
      <w:r w:rsidRPr="00703BF5">
        <w:rPr>
          <w:rFonts w:hint="cs"/>
        </w:rPr>
        <w:t>OECD</w:t>
      </w:r>
      <w:r w:rsidRPr="00703BF5">
        <w:rPr>
          <w:rFonts w:hint="cs"/>
          <w:rtl/>
        </w:rPr>
        <w:t xml:space="preserve"> אחרות, משפיעה לשלילה בהשגה אפקטיבית של יעדי מדינת ישראל בתחום זה. </w:t>
      </w:r>
    </w:p>
    <w:p w:rsidR="00F20E3F" w:rsidRPr="00703BF5" w:rsidP="00703BF5" w14:paraId="4FB3A80A" w14:textId="77777777">
      <w:pPr>
        <w:pStyle w:val="7317"/>
        <w:rPr>
          <w:rtl/>
        </w:rPr>
      </w:pPr>
      <w:r w:rsidRPr="00703BF5">
        <w:rPr>
          <w:rFonts w:hint="cs"/>
          <w:rtl/>
        </w:rPr>
        <w:t>מומלץ שמשרד האוצר יצטרף לקואליציי</w:t>
      </w:r>
      <w:r w:rsidRPr="00703BF5">
        <w:rPr>
          <w:rFonts w:hint="eastAsia"/>
          <w:rtl/>
        </w:rPr>
        <w:t>ת</w:t>
      </w:r>
      <w:r w:rsidRPr="00703BF5">
        <w:rPr>
          <w:rFonts w:hint="cs"/>
          <w:rtl/>
        </w:rPr>
        <w:t xml:space="preserve"> שרי האוצר, יבחן את עקרונות הלסינקי, את פרסומי הקואליציה והמלצותיה, את ההמלצות של </w:t>
      </w:r>
      <w:r w:rsidRPr="00703BF5">
        <w:rPr>
          <w:rtl/>
        </w:rPr>
        <w:t xml:space="preserve">שותפות </w:t>
      </w:r>
      <w:r w:rsidRPr="00703BF5">
        <w:t>OECD</w:t>
      </w:r>
      <w:r w:rsidRPr="00703BF5">
        <w:rPr>
          <w:rtl/>
        </w:rPr>
        <w:t xml:space="preserve"> פריז לתקצוב ירוק</w:t>
      </w:r>
      <w:r w:rsidRPr="00703BF5">
        <w:rPr>
          <w:rFonts w:hint="cs"/>
          <w:rtl/>
        </w:rPr>
        <w:t xml:space="preserve"> ומודל המסגרת לתקצוב ירוק שפרסמה, את המלצות ה-</w:t>
      </w:r>
      <w:r w:rsidRPr="00703BF5">
        <w:rPr>
          <w:rFonts w:hint="cs"/>
        </w:rPr>
        <w:t>IMF</w:t>
      </w:r>
      <w:r w:rsidRPr="00703BF5">
        <w:rPr>
          <w:rFonts w:hint="cs"/>
          <w:rtl/>
        </w:rPr>
        <w:t xml:space="preserve"> בעניין ניהול ירוק של כספי ציבור, הכנסות והוצאות, ואת יתר ההמלצות בתחומים אלו - ויקבע לעצמו אסטרטגיית פעולה בתחום האקלים</w:t>
      </w:r>
      <w:r w:rsidRPr="00703BF5">
        <w:rPr>
          <w:rtl/>
        </w:rPr>
        <w:t>.</w:t>
      </w:r>
      <w:r w:rsidRPr="00703BF5">
        <w:rPr>
          <w:rFonts w:hint="cs"/>
          <w:rtl/>
        </w:rPr>
        <w:t xml:space="preserve"> פעולות אלו ימקמו את המשרד בחזית המעבר לכלכלה מאופסת פחמן ובחזית היערכות לשינויי האקלים, יאותתו למשק ויסמנו את הדרך ליתר משרדי הממשלה, לכלכלה ולשוק. </w:t>
      </w:r>
    </w:p>
    <w:p w:rsidR="00F20E3F" w:rsidRPr="00B4278F" w:rsidP="00A168D9" w14:paraId="1F06F79D" w14:textId="4189101E">
      <w:pPr>
        <w:pStyle w:val="733155"/>
        <w:rPr>
          <w:rtl/>
        </w:rPr>
      </w:pPr>
      <w:r w:rsidRPr="00EB66C1">
        <w:rPr>
          <w:rFonts w:hint="cs"/>
          <w:rtl/>
        </w:rPr>
        <w:t>3.</w:t>
      </w:r>
      <w:r>
        <w:rPr>
          <w:rFonts w:hint="cs"/>
          <w:rtl/>
        </w:rPr>
        <w:t>2</w:t>
      </w:r>
      <w:r w:rsidRPr="00EB66C1">
        <w:rPr>
          <w:rFonts w:hint="cs"/>
          <w:rtl/>
        </w:rPr>
        <w:t xml:space="preserve"> </w:t>
      </w:r>
      <w:r>
        <w:rPr>
          <w:rFonts w:hint="cs"/>
          <w:rtl/>
        </w:rPr>
        <w:t>הערכות בדבר ההשפעות הכלכליות של שינויי האקלים</w:t>
      </w:r>
    </w:p>
    <w:p w:rsidR="00F20E3F" w:rsidP="002F2907" w14:paraId="695613C8" w14:textId="77777777">
      <w:pPr>
        <w:pStyle w:val="7392"/>
        <w:rPr>
          <w:rtl/>
        </w:rPr>
      </w:pPr>
      <w:r w:rsidRPr="00EF7E82">
        <w:rPr>
          <w:rtl/>
        </w:rPr>
        <w:t xml:space="preserve">סיכוני האקלים צפויים להשפיע על מצבה הפיננסי של המדינה באמצעות </w:t>
      </w:r>
      <w:r w:rsidRPr="00EF7E82">
        <w:rPr>
          <w:rtl/>
        </w:rPr>
        <w:t>התמ"ג</w:t>
      </w:r>
      <w:r w:rsidRPr="00EF7E82">
        <w:rPr>
          <w:rtl/>
        </w:rPr>
        <w:t xml:space="preserve">, שיעורי הצמיחה ותקציב המדינה, שכן ההשפעות הכרוניות וההשפעות האקוטיות של שינויי האקלים צפויות לגרום לנזקים מוחשיים לסקטורים שונים במשק לאורך זמן: </w:t>
      </w:r>
      <w:r>
        <w:rPr>
          <w:rFonts w:hint="cs"/>
          <w:rtl/>
        </w:rPr>
        <w:t>הם</w:t>
      </w:r>
      <w:r w:rsidRPr="00EF7E82">
        <w:rPr>
          <w:rtl/>
        </w:rPr>
        <w:t xml:space="preserve"> עלולים להשפיע לרעה על הצמיחה במשק ולשבש את פעילותו או לפגוע בהכנסות המדינה וביכולתה לספק לאזרחיה שירותים הולמים. נוסף על כך לשינויי האקלים יש השפעה ישירה </w:t>
      </w:r>
      <w:r w:rsidRPr="00622701">
        <w:rPr>
          <w:rtl/>
        </w:rPr>
        <w:t xml:space="preserve">על יציבות המחירים במשק. </w:t>
      </w:r>
      <w:r>
        <w:rPr>
          <w:rFonts w:hint="cs"/>
          <w:rtl/>
        </w:rPr>
        <w:t>כיוון שא</w:t>
      </w:r>
      <w:r w:rsidRPr="00EF7E82">
        <w:rPr>
          <w:rtl/>
        </w:rPr>
        <w:t>י-הוודאות היא מרכיב מרכזי בהיערכות, וניהול סיכונים וניתוח עלות-תועלת מסייעי</w:t>
      </w:r>
      <w:r>
        <w:rPr>
          <w:rtl/>
        </w:rPr>
        <w:t>ם בקבלת ההחלטות בתנאי אי-ודאות</w:t>
      </w:r>
      <w:r>
        <w:rPr>
          <w:rFonts w:hint="cs"/>
          <w:rtl/>
        </w:rPr>
        <w:t>, הרי</w:t>
      </w:r>
      <w:r>
        <w:rPr>
          <w:rFonts w:hint="cs"/>
          <w:b/>
          <w:bCs/>
          <w:rtl/>
        </w:rPr>
        <w:t xml:space="preserve"> </w:t>
      </w:r>
      <w:r>
        <w:rPr>
          <w:rFonts w:hint="cs"/>
          <w:rtl/>
        </w:rPr>
        <w:t>של</w:t>
      </w:r>
      <w:r w:rsidRPr="00622701">
        <w:rPr>
          <w:rFonts w:hint="cs"/>
          <w:rtl/>
        </w:rPr>
        <w:t>הערכות כלכליות המתבססות על ניתוח תרחישים אפשריים המייצגים חלופות מדיניות אקלים יש חשיבות בצמצו</w:t>
      </w:r>
      <w:r>
        <w:rPr>
          <w:rFonts w:hint="cs"/>
          <w:rtl/>
        </w:rPr>
        <w:t>מה</w:t>
      </w:r>
      <w:r w:rsidRPr="00622701">
        <w:rPr>
          <w:rFonts w:hint="cs"/>
          <w:rtl/>
        </w:rPr>
        <w:t>.</w:t>
      </w:r>
      <w:r>
        <w:rPr>
          <w:rFonts w:hint="cs"/>
          <w:rtl/>
        </w:rPr>
        <w:t xml:space="preserve"> ביטוי לצורך זה העלתה מערכת הביטחון במאי 2023, בציינה כי בין הפערים המקשים על קידום המוכנות והעמידות של ישראל למשבר האקלים נמצא הפער בהבנת משמעות "סיכוני המעבר", לרבות היעדרו של תרחיש איום ייחוס לסיכוני מעבר, כזה "שיגדיר את סיכוני המעבר לכלכלה מבוססת </w:t>
      </w:r>
      <w:r>
        <w:rPr>
          <w:rFonts w:hint="cs"/>
          <w:rtl/>
        </w:rPr>
        <w:t>אנרגייה</w:t>
      </w:r>
      <w:r>
        <w:rPr>
          <w:rFonts w:hint="cs"/>
          <w:rtl/>
        </w:rPr>
        <w:t xml:space="preserve"> ירוקה ודלת פליטות והשפעתן ברמה הלאומית".</w:t>
      </w:r>
    </w:p>
    <w:p w:rsidR="00F20E3F" w:rsidP="00981F98" w14:paraId="4370238F" w14:textId="77777777">
      <w:pPr>
        <w:pStyle w:val="73120"/>
        <w:rPr>
          <w:rtl/>
        </w:rPr>
      </w:pPr>
      <w:r w:rsidRPr="00811864">
        <w:rPr>
          <w:rtl/>
        </w:rPr>
        <w:t>הדוח הקודם</w:t>
      </w:r>
    </w:p>
    <w:p w:rsidR="00F20E3F" w:rsidP="002F2907" w14:paraId="4010F114" w14:textId="77777777">
      <w:pPr>
        <w:pStyle w:val="7392"/>
        <w:rPr>
          <w:rtl/>
        </w:rPr>
      </w:pPr>
      <w:r w:rsidRPr="00981F98">
        <w:rPr>
          <w:rStyle w:val="7371"/>
          <w:rFonts w:hint="eastAsia"/>
          <w:color w:val="0073C3"/>
          <w:rtl/>
        </w:rPr>
        <w:t>הליקוי</w:t>
      </w:r>
      <w:r w:rsidRPr="00981F98">
        <w:rPr>
          <w:rStyle w:val="7371"/>
          <w:color w:val="0073C3"/>
          <w:rtl/>
        </w:rPr>
        <w:t>:</w:t>
      </w:r>
      <w:r>
        <w:rPr>
          <w:rFonts w:hint="cs"/>
          <w:rtl/>
        </w:rPr>
        <w:t xml:space="preserve"> </w:t>
      </w:r>
      <w:r w:rsidRPr="00EF7E82">
        <w:rPr>
          <w:rtl/>
        </w:rPr>
        <w:t xml:space="preserve">בשל העובדה שהנזק מפליטות </w:t>
      </w:r>
      <w:r w:rsidRPr="00EF7E82">
        <w:rPr>
          <w:rtl/>
        </w:rPr>
        <w:t>גז</w:t>
      </w:r>
      <w:r>
        <w:rPr>
          <w:rFonts w:hint="cs"/>
          <w:rtl/>
        </w:rPr>
        <w:t>"ח</w:t>
      </w:r>
      <w:r w:rsidRPr="00EF7E82">
        <w:rPr>
          <w:rtl/>
        </w:rPr>
        <w:t xml:space="preserve"> אינו מתומחר וגורם להשפעות חיצוניות שליליות שאינן מיידיות, נגרם כשל שוק - נזקי הפליטות אינם באים לידי ביטוי באופן המקובל למדידת פעילות כלכלית - באמצעות התוצר, ובאופקי הזמן הנהוגים בתחזיות כלכליות. אומנם עלות הטיפול בהשפעות החיצוניות עשויה להפחית את התוצר הנמדד בהווה, אך צפוי בעקבותיה גידול בתוצר בעתיד. על כן מומלץ לבצע הערכה מקרו-כלכלית של התוכ</w:t>
      </w:r>
      <w:r>
        <w:rPr>
          <w:rtl/>
        </w:rPr>
        <w:t>ניות להפחתת הפליטות ברמת המדינה</w:t>
      </w:r>
      <w:r>
        <w:rPr>
          <w:rFonts w:hint="cs"/>
          <w:rtl/>
        </w:rPr>
        <w:t>,</w:t>
      </w:r>
      <w:r w:rsidRPr="00EF7E82">
        <w:rPr>
          <w:rtl/>
        </w:rPr>
        <w:t xml:space="preserve"> המבוססת על אופקי זמן ארוכים מן המקובל בניתוחים כלכליים.</w:t>
      </w:r>
      <w:r>
        <w:rPr>
          <w:rFonts w:hint="cs"/>
          <w:rtl/>
        </w:rPr>
        <w:t xml:space="preserve"> </w:t>
      </w:r>
    </w:p>
    <w:p w:rsidR="00F20E3F" w:rsidRPr="00C42CC1" w:rsidP="002F2907" w14:paraId="64FD54B8" w14:textId="77777777">
      <w:pPr>
        <w:pStyle w:val="7392"/>
        <w:rPr>
          <w:sz w:val="24"/>
        </w:rPr>
      </w:pPr>
      <w:r>
        <w:rPr>
          <w:rtl/>
        </w:rPr>
        <w:t xml:space="preserve">סקירה שהוצגה </w:t>
      </w:r>
      <w:r>
        <w:rPr>
          <w:rFonts w:hint="cs"/>
          <w:rtl/>
        </w:rPr>
        <w:t xml:space="preserve">בדוח הקודם העלתה </w:t>
      </w:r>
      <w:r>
        <w:rPr>
          <w:rtl/>
        </w:rPr>
        <w:t xml:space="preserve">סיכונים מקרו-כלכליים ארוכי טווח הצפויים בעולם ובישראל כתוצאה </w:t>
      </w:r>
      <w:r w:rsidRPr="00BC524D">
        <w:rPr>
          <w:sz w:val="24"/>
          <w:rtl/>
        </w:rPr>
        <w:t xml:space="preserve">משינויי האקלים. </w:t>
      </w:r>
      <w:r>
        <w:rPr>
          <w:rFonts w:hint="cs"/>
          <w:sz w:val="24"/>
          <w:rtl/>
        </w:rPr>
        <w:t xml:space="preserve">על פי </w:t>
      </w:r>
      <w:r w:rsidRPr="00BC524D">
        <w:rPr>
          <w:sz w:val="24"/>
          <w:rtl/>
        </w:rPr>
        <w:t>מחקרים עדכניים</w:t>
      </w:r>
      <w:r>
        <w:rPr>
          <w:rFonts w:hint="cs"/>
          <w:sz w:val="24"/>
          <w:rtl/>
        </w:rPr>
        <w:t>,</w:t>
      </w:r>
      <w:r w:rsidRPr="00BC524D">
        <w:rPr>
          <w:sz w:val="24"/>
          <w:rtl/>
        </w:rPr>
        <w:t xml:space="preserve"> אובדן </w:t>
      </w:r>
      <w:r w:rsidRPr="00BC524D">
        <w:rPr>
          <w:sz w:val="24"/>
          <w:rtl/>
        </w:rPr>
        <w:t>התמ"ג</w:t>
      </w:r>
      <w:r w:rsidRPr="00BC524D">
        <w:rPr>
          <w:sz w:val="24"/>
          <w:rtl/>
        </w:rPr>
        <w:t xml:space="preserve"> העולמי עד שנת 2050 מוערך בטווח שבין</w:t>
      </w:r>
      <w:r w:rsidRPr="00BC524D">
        <w:rPr>
          <w:rFonts w:hint="cs"/>
          <w:sz w:val="24"/>
          <w:rtl/>
        </w:rPr>
        <w:t xml:space="preserve"> 2.5% ל-18.1%</w:t>
      </w:r>
      <w:r w:rsidRPr="00BC524D">
        <w:rPr>
          <w:sz w:val="24"/>
          <w:rtl/>
        </w:rPr>
        <w:t xml:space="preserve"> </w:t>
      </w:r>
      <w:r w:rsidRPr="002F2907">
        <w:rPr>
          <w:rtl/>
        </w:rPr>
        <w:t xml:space="preserve">בתרחיש </w:t>
      </w:r>
      <w:r w:rsidRPr="002F2907">
        <w:t>BAU</w:t>
      </w:r>
      <w:r w:rsidRPr="002F2907">
        <w:rPr>
          <w:rFonts w:hint="cs"/>
          <w:rtl/>
        </w:rPr>
        <w:t>;</w:t>
      </w:r>
      <w:r w:rsidRPr="002F2907">
        <w:rPr>
          <w:rtl/>
        </w:rPr>
        <w:t xml:space="preserve"> ובאזור</w:t>
      </w:r>
      <w:r w:rsidRPr="00BC524D">
        <w:rPr>
          <w:sz w:val="24"/>
          <w:rtl/>
        </w:rPr>
        <w:t xml:space="preserve"> הים התיכון, המזרח התיכון ואפריקה</w:t>
      </w:r>
      <w:r>
        <w:rPr>
          <w:rFonts w:hint="cs"/>
          <w:sz w:val="24"/>
          <w:rtl/>
        </w:rPr>
        <w:t>,</w:t>
      </w:r>
      <w:r w:rsidRPr="00BC524D">
        <w:rPr>
          <w:sz w:val="24"/>
          <w:rtl/>
        </w:rPr>
        <w:t xml:space="preserve"> שב</w:t>
      </w:r>
      <w:r>
        <w:rPr>
          <w:rFonts w:hint="cs"/>
          <w:sz w:val="24"/>
          <w:rtl/>
        </w:rPr>
        <w:t>ו</w:t>
      </w:r>
      <w:r w:rsidRPr="00BC524D">
        <w:rPr>
          <w:sz w:val="24"/>
          <w:rtl/>
        </w:rPr>
        <w:t xml:space="preserve"> נמצאת ישראל ושכנותיה</w:t>
      </w:r>
      <w:r>
        <w:rPr>
          <w:rFonts w:hint="cs"/>
          <w:sz w:val="24"/>
          <w:rtl/>
        </w:rPr>
        <w:t>,</w:t>
      </w:r>
      <w:r w:rsidRPr="00BC524D">
        <w:rPr>
          <w:sz w:val="24"/>
          <w:rtl/>
        </w:rPr>
        <w:t xml:space="preserve"> האובדן בתמ"ג אף גבוה מכך ומוערך בטווח שבין 8.5% ל-27.5%. הנזקים המקרו-כלכליים מחריפים בתרחישים שבהם ריכוז </w:t>
      </w:r>
      <w:r w:rsidRPr="00BC524D">
        <w:rPr>
          <w:sz w:val="24"/>
          <w:rtl/>
        </w:rPr>
        <w:t>הגז"ח</w:t>
      </w:r>
      <w:r w:rsidRPr="00BC524D">
        <w:rPr>
          <w:sz w:val="24"/>
          <w:rtl/>
        </w:rPr>
        <w:t xml:space="preserve"> באטמוספרה גבוה יותר ככל שחולף הזמן וככל שהמדינה עשירה פחות וחמה יותר. לכך מתווספת העובדה כי ההערכות הקיימות בעולם לנזקים אלו הן חלקיות, זאת בשל אי-הוודאות המאפיינת תרחישים ארוכי טווח הנוגעים לשינויי האקלים - המעלה את החשש כי ההשפעות המצרפיות של שינויי האקלים על הכלכלה יהיו חמורות אף יותר מכפי </w:t>
      </w:r>
      <w:r>
        <w:rPr>
          <w:rFonts w:hint="cs"/>
          <w:sz w:val="24"/>
          <w:rtl/>
        </w:rPr>
        <w:t>שמעריכים</w:t>
      </w:r>
      <w:r w:rsidRPr="00BC524D">
        <w:rPr>
          <w:sz w:val="24"/>
          <w:rtl/>
        </w:rPr>
        <w:t xml:space="preserve"> המחקרים ש</w:t>
      </w:r>
      <w:r>
        <w:rPr>
          <w:rtl/>
        </w:rPr>
        <w:t xml:space="preserve">הוצגו לעיל. </w:t>
      </w:r>
    </w:p>
    <w:p w:rsidR="00F20E3F" w:rsidP="002F2907" w14:paraId="65A8097B" w14:textId="77777777">
      <w:pPr>
        <w:pStyle w:val="7392"/>
        <w:rPr>
          <w:rtl/>
        </w:rPr>
      </w:pPr>
      <w:r>
        <w:rPr>
          <w:rtl/>
        </w:rPr>
        <w:t>על אף המגבלות הקיימות, ביצוע הערכות כאלו באמצעות מודלים הבוחנים תרחישים שונים (כפי שהודגם שנעשה במדינות ובארגונים בסקירה שלעיל) ה</w:t>
      </w:r>
      <w:r>
        <w:rPr>
          <w:rFonts w:hint="cs"/>
          <w:rtl/>
        </w:rPr>
        <w:t>וא</w:t>
      </w:r>
      <w:r>
        <w:rPr>
          <w:rtl/>
        </w:rPr>
        <w:t xml:space="preserve"> כלי חשוב לצמצום חוסר הוודאות ולצורך קבלת החלטות במגוון סוגיות הקשורות באקלים. הועלה כי אף גוף ממשלתי כלכלי או גורם האמון על תחזיות מקרו-כלכליות בישראל לא ביצע, נכון </w:t>
      </w:r>
      <w:r>
        <w:rPr>
          <w:rFonts w:hint="cs"/>
          <w:rtl/>
        </w:rPr>
        <w:t>לאוקטובר 2021</w:t>
      </w:r>
      <w:r>
        <w:rPr>
          <w:rtl/>
        </w:rPr>
        <w:t>, הערכה לאומית בנוגע לנזקים ו</w:t>
      </w:r>
      <w:r>
        <w:rPr>
          <w:rFonts w:hint="cs"/>
          <w:rtl/>
        </w:rPr>
        <w:t>ל</w:t>
      </w:r>
      <w:r>
        <w:rPr>
          <w:rtl/>
        </w:rPr>
        <w:t xml:space="preserve">השפעות של נזקי שינויי האקלים על המשק הישראלי לטווח הארוך בתרחיש </w:t>
      </w:r>
      <w:r>
        <w:t>BAU</w:t>
      </w:r>
      <w:r>
        <w:rPr>
          <w:rtl/>
        </w:rPr>
        <w:t xml:space="preserve"> ובתרחישים נוספים </w:t>
      </w:r>
      <w:r>
        <w:rPr>
          <w:rFonts w:hint="cs"/>
          <w:rtl/>
        </w:rPr>
        <w:t>ש</w:t>
      </w:r>
      <w:r>
        <w:rPr>
          <w:rtl/>
        </w:rPr>
        <w:t xml:space="preserve">בהם ננקטים אמצעי </w:t>
      </w:r>
      <w:r>
        <w:rPr>
          <w:rtl/>
        </w:rPr>
        <w:t>מיטיגציה</w:t>
      </w:r>
      <w:r>
        <w:rPr>
          <w:rtl/>
        </w:rPr>
        <w:t xml:space="preserve"> ואדפטציה. הערכה כלכלית כזו מתבקשת לצורך קבלת החלטות ו</w:t>
      </w:r>
      <w:r>
        <w:rPr>
          <w:rFonts w:hint="cs"/>
          <w:rtl/>
        </w:rPr>
        <w:t xml:space="preserve">לצורך </w:t>
      </w:r>
      <w:r>
        <w:rPr>
          <w:rtl/>
        </w:rPr>
        <w:t xml:space="preserve">עיצוב מדיניותה של ישראל בנושא </w:t>
      </w:r>
      <w:r>
        <w:rPr>
          <w:rtl/>
        </w:rPr>
        <w:t xml:space="preserve">האקלים, אולם </w:t>
      </w:r>
      <w:r>
        <w:rPr>
          <w:rFonts w:hint="cs"/>
          <w:rtl/>
        </w:rPr>
        <w:t xml:space="preserve">הועלה כי </w:t>
      </w:r>
      <w:r>
        <w:rPr>
          <w:rtl/>
        </w:rPr>
        <w:t xml:space="preserve">גורמים האמונים על נושאים כלכליים, כמו משרד האוצר והמועצה הלאומית לכלכלה, </w:t>
      </w:r>
      <w:r w:rsidRPr="005A1A19">
        <w:rPr>
          <w:rtl/>
        </w:rPr>
        <w:t>שאף העלו את הצורך בביצוע הערכה כלכלית, לא ביצעו אותה.</w:t>
      </w:r>
      <w:r>
        <w:rPr>
          <w:rFonts w:hint="cs"/>
          <w:rtl/>
        </w:rPr>
        <w:t xml:space="preserve"> </w:t>
      </w:r>
    </w:p>
    <w:p w:rsidR="00F20E3F" w:rsidP="002F2907" w14:paraId="7A80B070" w14:textId="77777777">
      <w:pPr>
        <w:pStyle w:val="7392"/>
        <w:rPr>
          <w:rtl/>
        </w:rPr>
      </w:pPr>
      <w:r>
        <w:rPr>
          <w:rtl/>
        </w:rPr>
        <w:t xml:space="preserve">בהיעדר הערכות כלכליות (ברמת המקרו וברמת </w:t>
      </w:r>
      <w:r>
        <w:rPr>
          <w:rFonts w:hint="cs"/>
          <w:rtl/>
        </w:rPr>
        <w:t>ה</w:t>
      </w:r>
      <w:r>
        <w:rPr>
          <w:rtl/>
        </w:rPr>
        <w:t xml:space="preserve">פעולות </w:t>
      </w:r>
      <w:r>
        <w:rPr>
          <w:rFonts w:hint="cs"/>
          <w:rtl/>
        </w:rPr>
        <w:t>ה</w:t>
      </w:r>
      <w:r>
        <w:rPr>
          <w:rtl/>
        </w:rPr>
        <w:t>פרטניות) המועצה הלאומית לכלכלה לא פעלה לקידום הנושא בסדר העדיפויות הממשלתי (בתוכנית האסטרטגית)</w:t>
      </w:r>
      <w:r>
        <w:rPr>
          <w:rFonts w:hint="cs"/>
          <w:rtl/>
        </w:rPr>
        <w:t>,</w:t>
      </w:r>
      <w:r>
        <w:rPr>
          <w:rtl/>
        </w:rPr>
        <w:t xml:space="preserve"> ומשרד האוצר לא נענה לבקשות (לרבות של </w:t>
      </w:r>
      <w:r>
        <w:rPr>
          <w:rtl/>
        </w:rPr>
        <w:t>המינהלת</w:t>
      </w:r>
      <w:r>
        <w:rPr>
          <w:rtl/>
        </w:rPr>
        <w:t xml:space="preserve"> במשרד </w:t>
      </w:r>
      <w:r>
        <w:rPr>
          <w:rtl/>
        </w:rPr>
        <w:t>להג"ס</w:t>
      </w:r>
      <w:r>
        <w:rPr>
          <w:rtl/>
        </w:rPr>
        <w:t>) להקצות משאבים.</w:t>
      </w:r>
    </w:p>
    <w:p w:rsidR="00F20E3F" w:rsidRPr="00A82D8A" w:rsidP="002F2907" w14:paraId="35FDA316" w14:textId="77777777">
      <w:pPr>
        <w:pStyle w:val="7392"/>
        <w:rPr>
          <w:rtl/>
        </w:rPr>
      </w:pPr>
      <w:r w:rsidRPr="00981F98">
        <w:rPr>
          <w:rStyle w:val="7371"/>
          <w:rFonts w:hint="eastAsia"/>
          <w:color w:val="0073C3"/>
          <w:rtl/>
        </w:rPr>
        <w:t>ההמלצה</w:t>
      </w:r>
      <w:r w:rsidRPr="00981F98">
        <w:rPr>
          <w:rStyle w:val="7371"/>
          <w:color w:val="0073C3"/>
          <w:rtl/>
        </w:rPr>
        <w:t>:</w:t>
      </w:r>
      <w:r w:rsidRPr="00734E17">
        <w:rPr>
          <w:rtl/>
        </w:rPr>
        <w:t xml:space="preserve"> </w:t>
      </w:r>
      <w:r w:rsidRPr="00A82D8A">
        <w:rPr>
          <w:rtl/>
        </w:rPr>
        <w:t xml:space="preserve">נדרשת הערכה כלכלית מקיפה לצורך קבלת החלטות ארוכות טווח של כל משרדי הממשלה (לרבות משרד האוצר) במגזרי המשק וככלי להכרעה בין חלופות. </w:t>
      </w:r>
      <w:r>
        <w:rPr>
          <w:rFonts w:hint="cs"/>
          <w:rtl/>
        </w:rPr>
        <w:t>ה</w:t>
      </w:r>
      <w:r w:rsidRPr="00A82D8A">
        <w:rPr>
          <w:rtl/>
        </w:rPr>
        <w:t xml:space="preserve">ומלץ כי משרד האוצר בתיאום עם המועצה הלאומית לכלכלה, המשרד </w:t>
      </w:r>
      <w:r w:rsidRPr="00A82D8A">
        <w:rPr>
          <w:rtl/>
        </w:rPr>
        <w:t>להג"ס</w:t>
      </w:r>
      <w:r w:rsidRPr="00A82D8A">
        <w:rPr>
          <w:rtl/>
        </w:rPr>
        <w:t xml:space="preserve"> ובנק ישראל יבצעו הערכה כלכלית על השפעות שינויי האקלים על מדינת ישראל בתרחישים שונים ולטווחי זמן שונים.</w:t>
      </w:r>
      <w:r>
        <w:rPr>
          <w:rFonts w:hint="cs"/>
          <w:rtl/>
        </w:rPr>
        <w:t xml:space="preserve"> </w:t>
      </w:r>
      <w:r>
        <w:rPr>
          <w:rtl/>
        </w:rPr>
        <w:t>כשל השוק שבלב משבר האקלים ומאפייניו, הכוללים מידה של אי-ודאות והידרדרות הדרגתית הנמשכת על פני עשרות שנים, מחייבים את הממשלה ו</w:t>
      </w:r>
      <w:r>
        <w:rPr>
          <w:rFonts w:hint="cs"/>
          <w:rtl/>
        </w:rPr>
        <w:t xml:space="preserve">את </w:t>
      </w:r>
      <w:r>
        <w:rPr>
          <w:rtl/>
        </w:rPr>
        <w:t xml:space="preserve">מקבלי ההחלטות בישראל לבחון את הנושא בכלים חדשים ובפרספקטיבה ארוכת טווח כדי לקבל בהווה החלטות אשר ימזערו את סיכוני העתיד. החלטות אלו, הגם שיתקבלו בתנאים של חוסר ודאות, אין בהן כדי לעכב את נקיטת האמצעים הנדרשים מצד הממשלה להפחתת </w:t>
      </w:r>
      <w:r>
        <w:rPr>
          <w:rtl/>
        </w:rPr>
        <w:t>גז"ח</w:t>
      </w:r>
      <w:r>
        <w:rPr>
          <w:rtl/>
        </w:rPr>
        <w:t xml:space="preserve"> ואת ההיערכות לנזקי האקלים, שכן המוסכמה המדעית כיום היא שללא יישום של מדיניות רדיקלית להפחתת פליטות בעשור הקרוב, בעשרות השנים הקרובות צפוי משבר האקלים לצבור תאוצה ולאיים על המערכות האקולוגיות, </w:t>
      </w:r>
      <w:r>
        <w:rPr>
          <w:rFonts w:hint="cs"/>
          <w:rtl/>
        </w:rPr>
        <w:t xml:space="preserve">על </w:t>
      </w:r>
      <w:r>
        <w:rPr>
          <w:rtl/>
        </w:rPr>
        <w:t xml:space="preserve">הכלכלה, </w:t>
      </w:r>
      <w:r>
        <w:rPr>
          <w:rFonts w:hint="cs"/>
          <w:rtl/>
        </w:rPr>
        <w:t xml:space="preserve">על </w:t>
      </w:r>
      <w:r>
        <w:rPr>
          <w:rtl/>
        </w:rPr>
        <w:t>הבריאות ו</w:t>
      </w:r>
      <w:r>
        <w:rPr>
          <w:rFonts w:hint="cs"/>
          <w:rtl/>
        </w:rPr>
        <w:t xml:space="preserve">על </w:t>
      </w:r>
      <w:r>
        <w:rPr>
          <w:rtl/>
        </w:rPr>
        <w:t xml:space="preserve">היציבות </w:t>
      </w:r>
      <w:r>
        <w:rPr>
          <w:rtl/>
        </w:rPr>
        <w:t>הגיאו</w:t>
      </w:r>
      <w:r>
        <w:rPr>
          <w:rtl/>
        </w:rPr>
        <w:t xml:space="preserve">-אסטרטגית </w:t>
      </w:r>
      <w:r>
        <w:rPr>
          <w:rtl/>
        </w:rPr>
        <w:t>והגיאו</w:t>
      </w:r>
      <w:r>
        <w:rPr>
          <w:rFonts w:hint="cs"/>
          <w:rtl/>
        </w:rPr>
        <w:t>-</w:t>
      </w:r>
      <w:r>
        <w:rPr>
          <w:rtl/>
        </w:rPr>
        <w:t>פוליטית.</w:t>
      </w:r>
    </w:p>
    <w:p w:rsidR="00F20E3F" w:rsidRPr="00885246" w:rsidP="00885246" w14:paraId="179CADB6" w14:textId="77777777">
      <w:pPr>
        <w:pStyle w:val="101"/>
        <w:rPr>
          <w:rStyle w:val="7"/>
          <w:rFonts w:eastAsiaTheme="minorHAnsi"/>
          <w:bCs/>
          <w:spacing w:val="20"/>
          <w:rtl/>
        </w:rPr>
      </w:pPr>
      <w:r w:rsidRPr="00885246">
        <w:rPr>
          <w:rStyle w:val="7"/>
          <w:rFonts w:eastAsiaTheme="minorHAnsi"/>
          <w:bCs/>
          <w:spacing w:val="20"/>
          <w:rtl/>
        </w:rPr>
        <w:t>תגובת המשרד</w:t>
      </w:r>
      <w:r w:rsidRPr="00885246">
        <w:rPr>
          <w:rStyle w:val="7"/>
          <w:rFonts w:eastAsiaTheme="minorHAnsi" w:hint="eastAsia"/>
          <w:bCs/>
          <w:spacing w:val="20"/>
          <w:rtl/>
        </w:rPr>
        <w:t>ים</w:t>
      </w:r>
      <w:r w:rsidRPr="00885246">
        <w:rPr>
          <w:rStyle w:val="7"/>
          <w:rFonts w:eastAsiaTheme="minorHAnsi"/>
          <w:bCs/>
          <w:spacing w:val="20"/>
          <w:rtl/>
        </w:rPr>
        <w:t xml:space="preserve"> על הדוח הקודם</w:t>
      </w:r>
    </w:p>
    <w:p w:rsidR="00F20E3F" w:rsidRPr="00981F98" w:rsidP="00287CB1" w14:paraId="70C0CD0C" w14:textId="5B08B3D4">
      <w:pPr>
        <w:pStyle w:val="7114"/>
        <w:numPr>
          <w:ilvl w:val="0"/>
          <w:numId w:val="56"/>
        </w:numPr>
        <w:rPr>
          <w:rtl/>
        </w:rPr>
      </w:pPr>
      <w:r w:rsidRPr="00981F98">
        <w:rPr>
          <w:rStyle w:val="7"/>
          <w:rFonts w:eastAsiaTheme="minorHAnsi" w:hint="eastAsia"/>
          <w:b/>
          <w:spacing w:val="0"/>
          <w:rtl/>
        </w:rPr>
        <w:t>משרד</w:t>
      </w:r>
      <w:r w:rsidRPr="00981F98">
        <w:rPr>
          <w:rStyle w:val="7"/>
          <w:rFonts w:eastAsiaTheme="minorHAnsi"/>
          <w:b/>
          <w:spacing w:val="0"/>
          <w:rtl/>
        </w:rPr>
        <w:t xml:space="preserve"> </w:t>
      </w:r>
      <w:r w:rsidRPr="00981F98">
        <w:rPr>
          <w:rStyle w:val="7"/>
          <w:rFonts w:eastAsiaTheme="minorHAnsi" w:hint="eastAsia"/>
          <w:b/>
          <w:spacing w:val="0"/>
          <w:rtl/>
        </w:rPr>
        <w:t>האוצר</w:t>
      </w:r>
      <w:r w:rsidRPr="00981F98">
        <w:rPr>
          <w:rStyle w:val="7"/>
          <w:rFonts w:eastAsiaTheme="minorHAnsi"/>
          <w:b/>
          <w:spacing w:val="0"/>
          <w:rtl/>
        </w:rPr>
        <w:t>:</w:t>
      </w:r>
      <w:r w:rsidRPr="00981F98">
        <w:rPr>
          <w:rtl/>
        </w:rPr>
        <w:t xml:space="preserve"> </w:t>
      </w:r>
      <w:r w:rsidRPr="00981F98">
        <w:rPr>
          <w:rFonts w:hint="cs"/>
          <w:rtl/>
        </w:rPr>
        <w:t xml:space="preserve">המשרד </w:t>
      </w:r>
      <w:r w:rsidRPr="00981F98">
        <w:rPr>
          <w:rtl/>
        </w:rPr>
        <w:t xml:space="preserve">שואף לשלב </w:t>
      </w:r>
      <w:r w:rsidRPr="00981F98">
        <w:rPr>
          <w:rFonts w:hint="cs"/>
          <w:rtl/>
        </w:rPr>
        <w:t xml:space="preserve">בפעילותו </w:t>
      </w:r>
      <w:r w:rsidRPr="00981F98">
        <w:rPr>
          <w:rtl/>
        </w:rPr>
        <w:t xml:space="preserve">ניתוחים המתייחסים לטווחי זמן משמעותיים, מתוך הבנה שמדובר במהלכים ארוכי טווח. כמו כן </w:t>
      </w:r>
      <w:r w:rsidRPr="00981F98">
        <w:rPr>
          <w:rFonts w:hint="cs"/>
          <w:rtl/>
        </w:rPr>
        <w:t>הוא</w:t>
      </w:r>
      <w:r w:rsidRPr="00981F98">
        <w:rPr>
          <w:rtl/>
        </w:rPr>
        <w:t xml:space="preserve"> פועל במסגרת ההירתמות למאמצים הבי</w:t>
      </w:r>
      <w:r w:rsidRPr="00981F98">
        <w:rPr>
          <w:rFonts w:hint="cs"/>
          <w:rtl/>
        </w:rPr>
        <w:t>ן-</w:t>
      </w:r>
      <w:r w:rsidRPr="00981F98">
        <w:rPr>
          <w:rtl/>
        </w:rPr>
        <w:t xml:space="preserve">לאומיים להשגת הפחתת פליטות </w:t>
      </w:r>
      <w:r w:rsidRPr="00981F98">
        <w:rPr>
          <w:rFonts w:hint="cs"/>
          <w:rtl/>
        </w:rPr>
        <w:t>גז"ח</w:t>
      </w:r>
      <w:r w:rsidRPr="00981F98">
        <w:rPr>
          <w:rFonts w:hint="cs"/>
          <w:rtl/>
        </w:rPr>
        <w:t>,</w:t>
      </w:r>
      <w:r w:rsidRPr="00981F98">
        <w:rPr>
          <w:rtl/>
        </w:rPr>
        <w:t xml:space="preserve"> </w:t>
      </w:r>
      <w:r w:rsidRPr="00981F98">
        <w:rPr>
          <w:rFonts w:hint="cs"/>
          <w:rtl/>
        </w:rPr>
        <w:t>ו</w:t>
      </w:r>
      <w:r w:rsidRPr="00981F98">
        <w:rPr>
          <w:rtl/>
        </w:rPr>
        <w:t>פועל במשולב עם נציבות האיחוד האירופי וארגון ה-</w:t>
      </w:r>
      <w:r w:rsidRPr="00981F98">
        <w:t>OECD</w:t>
      </w:r>
      <w:r w:rsidRPr="00981F98">
        <w:rPr>
          <w:rtl/>
        </w:rPr>
        <w:t xml:space="preserve"> בלמידה ו</w:t>
      </w:r>
      <w:r w:rsidRPr="00981F98">
        <w:rPr>
          <w:rFonts w:hint="cs"/>
          <w:rtl/>
        </w:rPr>
        <w:t>ב</w:t>
      </w:r>
      <w:r w:rsidRPr="00981F98">
        <w:rPr>
          <w:rtl/>
        </w:rPr>
        <w:t>הטמע</w:t>
      </w:r>
      <w:r w:rsidRPr="00981F98">
        <w:rPr>
          <w:rFonts w:hint="cs"/>
          <w:rtl/>
        </w:rPr>
        <w:t>ה</w:t>
      </w:r>
      <w:r w:rsidRPr="00981F98">
        <w:rPr>
          <w:rtl/>
        </w:rPr>
        <w:t xml:space="preserve"> </w:t>
      </w:r>
      <w:r w:rsidRPr="00981F98">
        <w:rPr>
          <w:rFonts w:hint="cs"/>
          <w:rtl/>
        </w:rPr>
        <w:t xml:space="preserve">של </w:t>
      </w:r>
      <w:r w:rsidRPr="00981F98">
        <w:rPr>
          <w:rtl/>
        </w:rPr>
        <w:t>אמות מידה וסטנדרטים בי</w:t>
      </w:r>
      <w:r w:rsidR="009A79C5">
        <w:rPr>
          <w:rFonts w:hint="cs"/>
          <w:rtl/>
        </w:rPr>
        <w:t>ן</w:t>
      </w:r>
      <w:r w:rsidRPr="00981F98">
        <w:rPr>
          <w:rFonts w:hint="cs"/>
          <w:rtl/>
        </w:rPr>
        <w:t>-</w:t>
      </w:r>
      <w:r w:rsidRPr="00981F98">
        <w:rPr>
          <w:rtl/>
        </w:rPr>
        <w:t>ל</w:t>
      </w:r>
      <w:r w:rsidRPr="00981F98">
        <w:rPr>
          <w:rFonts w:hint="cs"/>
          <w:rtl/>
        </w:rPr>
        <w:t>אומיים</w:t>
      </w:r>
      <w:r w:rsidRPr="00981F98">
        <w:rPr>
          <w:rtl/>
        </w:rPr>
        <w:t xml:space="preserve"> ירוקים התואמים את יעדי הסכמי פריז להפחתת פליטות פחמן. בשנים הקרובות ההשפעה הישירה של שינויי האקלים על כלכלת ישראל מ</w:t>
      </w:r>
      <w:r w:rsidRPr="00981F98">
        <w:rPr>
          <w:rFonts w:hint="cs"/>
          <w:rtl/>
        </w:rPr>
        <w:t>ה</w:t>
      </w:r>
      <w:r w:rsidRPr="00981F98">
        <w:rPr>
          <w:rtl/>
        </w:rPr>
        <w:t xml:space="preserve">בחינה </w:t>
      </w:r>
      <w:r w:rsidRPr="00981F98">
        <w:rPr>
          <w:rFonts w:hint="cs"/>
          <w:rtl/>
        </w:rPr>
        <w:t>ה</w:t>
      </w:r>
      <w:r w:rsidRPr="00981F98">
        <w:rPr>
          <w:rtl/>
        </w:rPr>
        <w:t xml:space="preserve">מקרו-כלכלית צפויה להיות מוגבלת ולהתעצם בטווח הארוך. </w:t>
      </w:r>
      <w:r w:rsidRPr="00981F98">
        <w:rPr>
          <w:rFonts w:hint="cs"/>
          <w:rtl/>
        </w:rPr>
        <w:t>עוד מסר משרד האוצר כי "</w:t>
      </w:r>
      <w:r w:rsidRPr="00981F98">
        <w:rPr>
          <w:rtl/>
        </w:rPr>
        <w:t>אנו עומדים בקשר עם פינלנד המשמשת יו"ר משותף של קואליצי</w:t>
      </w:r>
      <w:r w:rsidRPr="00981F98">
        <w:rPr>
          <w:rFonts w:hint="cs"/>
          <w:rtl/>
        </w:rPr>
        <w:t>ית</w:t>
      </w:r>
      <w:r w:rsidRPr="00981F98">
        <w:rPr>
          <w:rtl/>
        </w:rPr>
        <w:t xml:space="preserve"> שרי </w:t>
      </w:r>
      <w:r w:rsidRPr="00981F98">
        <w:rPr>
          <w:rFonts w:hint="cs"/>
          <w:rtl/>
        </w:rPr>
        <w:t>ה</w:t>
      </w:r>
      <w:r w:rsidRPr="00981F98">
        <w:rPr>
          <w:rtl/>
        </w:rPr>
        <w:t>אוצר, אשר לומדת את הנושא עם ארגון ה-</w:t>
      </w:r>
      <w:r w:rsidRPr="00981F98">
        <w:t>OECD</w:t>
      </w:r>
      <w:r w:rsidRPr="00981F98">
        <w:rPr>
          <w:rtl/>
        </w:rPr>
        <w:t xml:space="preserve"> המקיים סדנאות עבור נציגי משרדי האוצר של המדינות החברות במטרה ללמד שילוב שיקולי אקלים בתחזיות מקרו-כלכליות. נכון להיום, למיטב ידיעתנו, מעט מא</w:t>
      </w:r>
      <w:r w:rsidRPr="00981F98">
        <w:rPr>
          <w:rFonts w:hint="cs"/>
          <w:rtl/>
        </w:rPr>
        <w:t>ו</w:t>
      </w:r>
      <w:r w:rsidRPr="00981F98">
        <w:rPr>
          <w:rtl/>
        </w:rPr>
        <w:t>ד משרדי אוצר בעולם מבצעים זאת. נוסף</w:t>
      </w:r>
      <w:r w:rsidRPr="00981F98">
        <w:rPr>
          <w:rFonts w:hint="cs"/>
          <w:rtl/>
        </w:rPr>
        <w:t xml:space="preserve"> על כך</w:t>
      </w:r>
      <w:r w:rsidRPr="00981F98">
        <w:rPr>
          <w:rtl/>
        </w:rPr>
        <w:t xml:space="preserve">, משרדי האוצר בעולם, בדומה אלינו, נוהגים לציין </w:t>
      </w:r>
      <w:r w:rsidRPr="00981F98">
        <w:rPr>
          <w:rFonts w:hint="cs"/>
          <w:rtl/>
        </w:rPr>
        <w:t xml:space="preserve">את </w:t>
      </w:r>
      <w:r w:rsidRPr="00981F98">
        <w:rPr>
          <w:rtl/>
        </w:rPr>
        <w:t xml:space="preserve">עלויות הצעדים הירוקים (כגון מעבר </w:t>
      </w:r>
      <w:r w:rsidRPr="00981F98">
        <w:rPr>
          <w:rtl/>
        </w:rPr>
        <w:t>לאנרגייה</w:t>
      </w:r>
      <w:r w:rsidRPr="00981F98">
        <w:rPr>
          <w:rtl/>
        </w:rPr>
        <w:t xml:space="preserve"> ירוקה) לצד הכנסות ממיסוי ירוק, אך אינם מפרסמים </w:t>
      </w:r>
      <w:r w:rsidRPr="00981F98">
        <w:rPr>
          <w:rFonts w:hint="cs"/>
          <w:rtl/>
        </w:rPr>
        <w:t xml:space="preserve">את </w:t>
      </w:r>
      <w:r w:rsidRPr="00981F98">
        <w:rPr>
          <w:rtl/>
        </w:rPr>
        <w:t xml:space="preserve">עלות נזקי שינויי האקלים. </w:t>
      </w:r>
      <w:r w:rsidRPr="00981F98">
        <w:rPr>
          <w:rFonts w:hint="cs"/>
          <w:rtl/>
        </w:rPr>
        <w:t>זו</w:t>
      </w:r>
      <w:r w:rsidRPr="00981F98">
        <w:rPr>
          <w:rtl/>
        </w:rPr>
        <w:t xml:space="preserve"> נעש</w:t>
      </w:r>
      <w:r w:rsidRPr="00981F98">
        <w:rPr>
          <w:rFonts w:hint="cs"/>
          <w:rtl/>
        </w:rPr>
        <w:t>ית</w:t>
      </w:r>
      <w:r w:rsidRPr="00981F98">
        <w:rPr>
          <w:rtl/>
        </w:rPr>
        <w:t xml:space="preserve"> על ידי גופים אחרים</w:t>
      </w:r>
      <w:r w:rsidRPr="00981F98">
        <w:rPr>
          <w:rFonts w:hint="cs"/>
          <w:rtl/>
        </w:rPr>
        <w:t>,</w:t>
      </w:r>
      <w:r w:rsidRPr="00981F98">
        <w:rPr>
          <w:rtl/>
        </w:rPr>
        <w:t xml:space="preserve"> כגון ת</w:t>
      </w:r>
      <w:r w:rsidRPr="00981F98">
        <w:rPr>
          <w:rFonts w:hint="cs"/>
          <w:rtl/>
        </w:rPr>
        <w:t>ו</w:t>
      </w:r>
      <w:r w:rsidRPr="00981F98">
        <w:rPr>
          <w:rtl/>
        </w:rPr>
        <w:t>כנית הסביבה של האו"ם, ארגונים כלכליים בין-לאומיים, פאנלים בין-ממשלתיים לשינויי אקלים ועוד. משרד האוצר הישראלי מחויב</w:t>
      </w:r>
      <w:r w:rsidRPr="00981F98">
        <w:rPr>
          <w:rFonts w:hint="cs"/>
          <w:rtl/>
        </w:rPr>
        <w:t xml:space="preserve"> לכך</w:t>
      </w:r>
      <w:r w:rsidRPr="00981F98">
        <w:rPr>
          <w:rtl/>
        </w:rPr>
        <w:t xml:space="preserve"> ומפרסם תחזיות תלת</w:t>
      </w:r>
      <w:r w:rsidRPr="00981F98">
        <w:rPr>
          <w:rFonts w:hint="cs"/>
          <w:rtl/>
        </w:rPr>
        <w:t>-</w:t>
      </w:r>
      <w:r w:rsidRPr="00981F98">
        <w:rPr>
          <w:rtl/>
        </w:rPr>
        <w:t>שנתיות במסגרת הנומרטור, אשר מבוססות על ניתוח מקרו</w:t>
      </w:r>
      <w:r w:rsidRPr="00981F98">
        <w:rPr>
          <w:rFonts w:hint="cs"/>
          <w:rtl/>
        </w:rPr>
        <w:t>-</w:t>
      </w:r>
      <w:r w:rsidRPr="00981F98">
        <w:rPr>
          <w:rtl/>
        </w:rPr>
        <w:t>כלכלי של המשק כולו ואשר אינו מבוסס על ניתוח ענפי, כפי שהיה לפני הקורונה ומתום המשבר, בדומה למדינות מפותחות אחרות</w:t>
      </w:r>
      <w:r w:rsidRPr="00981F98">
        <w:rPr>
          <w:rFonts w:hint="cs"/>
          <w:rtl/>
        </w:rPr>
        <w:t>"</w:t>
      </w:r>
      <w:r w:rsidRPr="00981F98">
        <w:rPr>
          <w:rtl/>
        </w:rPr>
        <w:t>.</w:t>
      </w:r>
    </w:p>
    <w:p w:rsidR="00F20E3F" w:rsidRPr="00981F98" w:rsidP="00287CB1" w14:paraId="2F872C76" w14:textId="77777777">
      <w:pPr>
        <w:pStyle w:val="7114"/>
        <w:numPr>
          <w:ilvl w:val="0"/>
          <w:numId w:val="56"/>
        </w:numPr>
      </w:pPr>
      <w:r w:rsidRPr="00981F98">
        <w:rPr>
          <w:rStyle w:val="7"/>
          <w:rFonts w:eastAsiaTheme="minorHAnsi" w:hint="eastAsia"/>
          <w:b/>
          <w:spacing w:val="0"/>
          <w:rtl/>
        </w:rPr>
        <w:t>המועצה</w:t>
      </w:r>
      <w:r w:rsidRPr="00981F98">
        <w:rPr>
          <w:rStyle w:val="7"/>
          <w:rFonts w:eastAsiaTheme="minorHAnsi"/>
          <w:b/>
          <w:spacing w:val="0"/>
          <w:rtl/>
        </w:rPr>
        <w:t xml:space="preserve"> </w:t>
      </w:r>
      <w:r w:rsidRPr="00981F98">
        <w:rPr>
          <w:rStyle w:val="7"/>
          <w:rFonts w:eastAsiaTheme="minorHAnsi" w:hint="eastAsia"/>
          <w:b/>
          <w:spacing w:val="0"/>
          <w:rtl/>
        </w:rPr>
        <w:t>הלאומית</w:t>
      </w:r>
      <w:r w:rsidRPr="00981F98">
        <w:rPr>
          <w:rStyle w:val="7"/>
          <w:rFonts w:eastAsiaTheme="minorHAnsi"/>
          <w:b/>
          <w:spacing w:val="0"/>
          <w:rtl/>
        </w:rPr>
        <w:t xml:space="preserve"> </w:t>
      </w:r>
      <w:r w:rsidRPr="00981F98">
        <w:rPr>
          <w:rStyle w:val="7"/>
          <w:rFonts w:eastAsiaTheme="minorHAnsi" w:hint="eastAsia"/>
          <w:b/>
          <w:spacing w:val="0"/>
          <w:rtl/>
        </w:rPr>
        <w:t>לכלכלה</w:t>
      </w:r>
      <w:r w:rsidRPr="00981F98">
        <w:rPr>
          <w:rStyle w:val="7"/>
          <w:rFonts w:eastAsiaTheme="minorHAnsi"/>
          <w:b/>
          <w:spacing w:val="0"/>
          <w:rtl/>
        </w:rPr>
        <w:t>:</w:t>
      </w:r>
      <w:r w:rsidRPr="00981F98">
        <w:rPr>
          <w:rFonts w:hint="cs"/>
          <w:rtl/>
        </w:rPr>
        <w:t xml:space="preserve"> </w:t>
      </w:r>
      <w:r w:rsidRPr="00981F98">
        <w:rPr>
          <w:rtl/>
        </w:rPr>
        <w:t>המועצה הלאומית לכלכלה מאמצת את ההמלצה. המועצה פעלה לקידום הנושא בהערכת המצב האסטרטגית, אולם</w:t>
      </w:r>
      <w:r w:rsidRPr="00981F98">
        <w:rPr>
          <w:rFonts w:hint="cs"/>
          <w:rtl/>
        </w:rPr>
        <w:t xml:space="preserve"> לנוכח המצב </w:t>
      </w:r>
      <w:r w:rsidRPr="00981F98">
        <w:rPr>
          <w:rtl/>
        </w:rPr>
        <w:t xml:space="preserve">הפוליטי בישראל בשנתיים האחרונות, לא הובאה הערכת מצב אסטרטגית עדכנית לאישור </w:t>
      </w:r>
      <w:r w:rsidRPr="00981F98">
        <w:rPr>
          <w:rtl/>
        </w:rPr>
        <w:t xml:space="preserve">הממשלה. עם הקמת </w:t>
      </w:r>
      <w:r w:rsidRPr="00981F98">
        <w:rPr>
          <w:rFonts w:hint="cs"/>
          <w:rtl/>
        </w:rPr>
        <w:t xml:space="preserve">הממשלה ה-36 </w:t>
      </w:r>
      <w:r w:rsidRPr="00981F98">
        <w:rPr>
          <w:rtl/>
        </w:rPr>
        <w:t>גובשה הערכת מצב מעודכנת, והיא תובא לאישור הממשלה בינואר</w:t>
      </w:r>
      <w:r w:rsidRPr="00981F98">
        <w:rPr>
          <w:rFonts w:hint="cs"/>
          <w:rtl/>
        </w:rPr>
        <w:t xml:space="preserve"> 2022. </w:t>
      </w:r>
    </w:p>
    <w:p w:rsidR="00F20E3F" w:rsidRPr="00981F98" w:rsidP="00287CB1" w14:paraId="6FC1824E" w14:textId="77777777">
      <w:pPr>
        <w:pStyle w:val="7114"/>
        <w:numPr>
          <w:ilvl w:val="0"/>
          <w:numId w:val="56"/>
        </w:numPr>
      </w:pPr>
      <w:r w:rsidRPr="00981F98">
        <w:rPr>
          <w:rStyle w:val="7"/>
          <w:rFonts w:eastAsiaTheme="minorHAnsi" w:hint="eastAsia"/>
          <w:b/>
          <w:spacing w:val="0"/>
          <w:rtl/>
        </w:rPr>
        <w:t>בנק</w:t>
      </w:r>
      <w:r w:rsidRPr="00981F98">
        <w:rPr>
          <w:rStyle w:val="7"/>
          <w:rFonts w:eastAsiaTheme="minorHAnsi"/>
          <w:b/>
          <w:spacing w:val="0"/>
          <w:rtl/>
        </w:rPr>
        <w:t xml:space="preserve"> </w:t>
      </w:r>
      <w:r w:rsidRPr="00981F98">
        <w:rPr>
          <w:rStyle w:val="7"/>
          <w:rFonts w:eastAsiaTheme="minorHAnsi" w:hint="eastAsia"/>
          <w:b/>
          <w:spacing w:val="0"/>
          <w:rtl/>
        </w:rPr>
        <w:t>ישראל</w:t>
      </w:r>
      <w:r w:rsidRPr="00981F98">
        <w:rPr>
          <w:rStyle w:val="7"/>
          <w:rFonts w:eastAsiaTheme="minorHAnsi"/>
          <w:b/>
          <w:spacing w:val="0"/>
          <w:rtl/>
        </w:rPr>
        <w:t>:</w:t>
      </w:r>
      <w:r w:rsidRPr="00981F98">
        <w:rPr>
          <w:rFonts w:hint="cs"/>
          <w:rtl/>
        </w:rPr>
        <w:t xml:space="preserve"> </w:t>
      </w:r>
      <w:r w:rsidRPr="00981F98">
        <w:rPr>
          <w:rtl/>
        </w:rPr>
        <w:t xml:space="preserve">בנק ישראל </w:t>
      </w:r>
      <w:r w:rsidRPr="00981F98">
        <w:rPr>
          <w:rFonts w:hint="cs"/>
          <w:rtl/>
        </w:rPr>
        <w:t>כתב כי הוא י</w:t>
      </w:r>
      <w:r w:rsidRPr="00981F98">
        <w:rPr>
          <w:rtl/>
        </w:rPr>
        <w:t>סייע למשרד האוצר</w:t>
      </w:r>
      <w:r w:rsidRPr="00981F98">
        <w:rPr>
          <w:rFonts w:hint="cs"/>
          <w:rtl/>
        </w:rPr>
        <w:t xml:space="preserve"> </w:t>
      </w:r>
      <w:r w:rsidRPr="00981F98">
        <w:rPr>
          <w:rtl/>
        </w:rPr>
        <w:t>ולמועצה הלאומית לכלכלה בהערכת ההשפעות הכלכליות של</w:t>
      </w:r>
      <w:r w:rsidRPr="00981F98">
        <w:rPr>
          <w:rFonts w:hint="cs"/>
          <w:rtl/>
        </w:rPr>
        <w:t xml:space="preserve"> </w:t>
      </w:r>
      <w:r w:rsidRPr="00981F98">
        <w:rPr>
          <w:rtl/>
        </w:rPr>
        <w:t>ההתחממות הגלובלית.</w:t>
      </w:r>
      <w:r w:rsidRPr="00981F98">
        <w:rPr>
          <w:rFonts w:hint="cs"/>
          <w:rtl/>
        </w:rPr>
        <w:t xml:space="preserve"> </w:t>
      </w:r>
      <w:r w:rsidRPr="00981F98">
        <w:rPr>
          <w:rtl/>
        </w:rPr>
        <w:t>תנאי</w:t>
      </w:r>
      <w:r w:rsidRPr="00981F98">
        <w:rPr>
          <w:rFonts w:hint="cs"/>
          <w:rtl/>
        </w:rPr>
        <w:t xml:space="preserve">ם </w:t>
      </w:r>
      <w:r w:rsidRPr="00981F98">
        <w:rPr>
          <w:rtl/>
        </w:rPr>
        <w:t>מקדי</w:t>
      </w:r>
      <w:r w:rsidRPr="00981F98">
        <w:rPr>
          <w:rFonts w:hint="cs"/>
          <w:rtl/>
        </w:rPr>
        <w:t>מים</w:t>
      </w:r>
      <w:r w:rsidRPr="00981F98">
        <w:rPr>
          <w:rtl/>
        </w:rPr>
        <w:t xml:space="preserve"> לכך </w:t>
      </w:r>
      <w:r w:rsidRPr="00981F98">
        <w:rPr>
          <w:rFonts w:hint="cs"/>
          <w:rtl/>
        </w:rPr>
        <w:t>הם</w:t>
      </w:r>
      <w:r w:rsidRPr="00981F98">
        <w:rPr>
          <w:rtl/>
        </w:rPr>
        <w:t xml:space="preserve"> גיבוש תרחיש אקלימי וניתוח השפעותיו</w:t>
      </w:r>
      <w:r w:rsidRPr="00981F98">
        <w:rPr>
          <w:rFonts w:hint="cs"/>
          <w:rtl/>
        </w:rPr>
        <w:t xml:space="preserve"> </w:t>
      </w:r>
      <w:r w:rsidRPr="00981F98">
        <w:rPr>
          <w:rtl/>
        </w:rPr>
        <w:t xml:space="preserve">הפיזיות על מדינת ישראל ומזרח אגן הים התיכון. </w:t>
      </w:r>
      <w:r w:rsidRPr="00981F98">
        <w:rPr>
          <w:rFonts w:hint="cs"/>
          <w:rtl/>
        </w:rPr>
        <w:t>עוד ציין כי "</w:t>
      </w:r>
      <w:r w:rsidRPr="00981F98">
        <w:rPr>
          <w:rtl/>
        </w:rPr>
        <w:t>תרחישים</w:t>
      </w:r>
      <w:r w:rsidRPr="00981F98">
        <w:rPr>
          <w:rFonts w:hint="cs"/>
          <w:rtl/>
        </w:rPr>
        <w:t xml:space="preserve"> </w:t>
      </w:r>
      <w:r w:rsidRPr="00981F98">
        <w:rPr>
          <w:rtl/>
        </w:rPr>
        <w:t>מסוג זה אינם בתחום התמחותנו, ובלעדיהם לא ניתן לנתח</w:t>
      </w:r>
      <w:r w:rsidRPr="00981F98">
        <w:rPr>
          <w:rFonts w:hint="cs"/>
          <w:rtl/>
        </w:rPr>
        <w:t xml:space="preserve"> </w:t>
      </w:r>
      <w:r w:rsidRPr="00981F98">
        <w:rPr>
          <w:rtl/>
        </w:rPr>
        <w:t>כמותית את ההשפעות הכלכליות של ההתחממות</w:t>
      </w:r>
      <w:r w:rsidRPr="00981F98">
        <w:rPr>
          <w:rFonts w:hint="cs"/>
          <w:rtl/>
        </w:rPr>
        <w:t>"</w:t>
      </w:r>
      <w:r w:rsidRPr="00981F98">
        <w:rPr>
          <w:rtl/>
        </w:rPr>
        <w:t>.</w:t>
      </w:r>
      <w:r w:rsidRPr="00981F98">
        <w:rPr>
          <w:rFonts w:hint="cs"/>
          <w:rtl/>
        </w:rPr>
        <w:t xml:space="preserve"> </w:t>
      </w:r>
    </w:p>
    <w:p w:rsidR="00F20E3F" w:rsidRPr="00981F98" w:rsidP="00981F98" w14:paraId="36FD23A3" w14:textId="77777777">
      <w:pPr>
        <w:pStyle w:val="73120"/>
        <w:rPr>
          <w:rtl/>
        </w:rPr>
      </w:pPr>
      <w:r w:rsidRPr="00981F98">
        <w:rPr>
          <w:rFonts w:hint="cs"/>
          <w:rtl/>
        </w:rPr>
        <w:t xml:space="preserve">ביקורת המעקב </w:t>
      </w:r>
    </w:p>
    <w:p w:rsidR="00F20E3F" w:rsidP="002F2907" w14:paraId="284CF477" w14:textId="77777777">
      <w:pPr>
        <w:pStyle w:val="7392"/>
        <w:rPr>
          <w:rtl/>
        </w:rPr>
      </w:pPr>
      <w:r>
        <w:rPr>
          <w:rFonts w:hint="cs"/>
          <w:rtl/>
        </w:rPr>
        <w:t xml:space="preserve">בעולם מתבצעות הערכות שונות, מקרו-כלכליות ופיסקליות, המנסות לכמת את הנזקים והעלויות הצפויים משינויי האקלים תחת כמה תרחישי מדיניות אקלים לשנת 2050. תרחישי מדיניות שונים מובילים לתוצאה משתנה של ריכוז </w:t>
      </w:r>
      <w:r>
        <w:rPr>
          <w:rFonts w:hint="cs"/>
          <w:rtl/>
        </w:rPr>
        <w:t>גז"ח</w:t>
      </w:r>
      <w:r>
        <w:rPr>
          <w:rFonts w:hint="cs"/>
          <w:rtl/>
        </w:rPr>
        <w:t xml:space="preserve"> באטמוספרה, וכתוצאה מכך לרמות משתנות של תופעות שינויי אקלים בהתאם למדיניות שיושמה בעולם:</w:t>
      </w:r>
    </w:p>
    <w:p w:rsidR="00F20E3F" w:rsidP="00287CB1" w14:paraId="2B4B4150" w14:textId="77777777">
      <w:pPr>
        <w:pStyle w:val="734"/>
        <w:numPr>
          <w:ilvl w:val="0"/>
          <w:numId w:val="55"/>
        </w:numPr>
      </w:pPr>
      <w:r w:rsidRPr="00981F98">
        <w:rPr>
          <w:rStyle w:val="7371"/>
          <w:rFonts w:hint="eastAsia"/>
          <w:rtl/>
        </w:rPr>
        <w:t>תרחיש</w:t>
      </w:r>
      <w:r w:rsidRPr="00981F98">
        <w:rPr>
          <w:rStyle w:val="7371"/>
          <w:rtl/>
        </w:rPr>
        <w:t xml:space="preserve"> </w:t>
      </w:r>
      <w:r w:rsidRPr="00981F98">
        <w:rPr>
          <w:rStyle w:val="7371"/>
          <w:b/>
          <w:bCs w:val="0"/>
        </w:rPr>
        <w:t>BAU</w:t>
      </w:r>
      <w:r w:rsidRPr="00981F98">
        <w:rPr>
          <w:rStyle w:val="7371"/>
          <w:rtl/>
        </w:rPr>
        <w:t>:</w:t>
      </w:r>
      <w:r w:rsidRPr="00BC524D">
        <w:rPr>
          <w:rFonts w:hint="cs"/>
          <w:rtl/>
        </w:rPr>
        <w:t xml:space="preserve"> בקצה האחד </w:t>
      </w:r>
      <w:r>
        <w:rPr>
          <w:rFonts w:hint="cs"/>
          <w:rtl/>
        </w:rPr>
        <w:t xml:space="preserve">נמצא </w:t>
      </w:r>
      <w:r w:rsidRPr="00BC524D">
        <w:rPr>
          <w:rFonts w:hint="cs"/>
          <w:rtl/>
        </w:rPr>
        <w:t xml:space="preserve">תרחיש </w:t>
      </w:r>
      <w:r w:rsidRPr="00981F98">
        <w:t>BAU</w:t>
      </w:r>
      <w:r w:rsidRPr="00F31FC8">
        <w:rPr>
          <w:rFonts w:hint="cs"/>
          <w:sz w:val="22"/>
          <w:szCs w:val="22"/>
          <w:rtl/>
        </w:rPr>
        <w:t xml:space="preserve"> </w:t>
      </w:r>
      <w:r w:rsidRPr="00BC524D">
        <w:rPr>
          <w:rFonts w:hint="cs"/>
          <w:rtl/>
        </w:rPr>
        <w:t xml:space="preserve">(עסקים כרגיל) </w:t>
      </w:r>
      <w:r>
        <w:rPr>
          <w:rFonts w:hint="cs"/>
          <w:rtl/>
        </w:rPr>
        <w:t>ש</w:t>
      </w:r>
      <w:r w:rsidRPr="00BC524D">
        <w:rPr>
          <w:rFonts w:hint="cs"/>
          <w:rtl/>
        </w:rPr>
        <w:t>בו לא ננקטים אמצעי מדיניות מ</w:t>
      </w:r>
      <w:r>
        <w:rPr>
          <w:rFonts w:hint="cs"/>
          <w:rtl/>
        </w:rPr>
        <w:t>לבד</w:t>
      </w:r>
      <w:r w:rsidRPr="00BC524D">
        <w:rPr>
          <w:rFonts w:hint="cs"/>
          <w:rtl/>
        </w:rPr>
        <w:t xml:space="preserve"> </w:t>
      </w:r>
      <w:r>
        <w:rPr>
          <w:rFonts w:hint="cs"/>
          <w:rtl/>
        </w:rPr>
        <w:t>מה ש</w:t>
      </w:r>
      <w:r w:rsidRPr="00BC524D">
        <w:rPr>
          <w:rFonts w:hint="cs"/>
          <w:rtl/>
        </w:rPr>
        <w:t>נעשה כיום, דבר המביא לתופעות מועצמות של שינויי אקלים. כאמור</w:t>
      </w:r>
      <w:r>
        <w:rPr>
          <w:rFonts w:hint="cs"/>
          <w:rtl/>
        </w:rPr>
        <w:t>,</w:t>
      </w:r>
      <w:r w:rsidRPr="00BC524D">
        <w:rPr>
          <w:rFonts w:hint="cs"/>
          <w:rtl/>
        </w:rPr>
        <w:t xml:space="preserve"> בדוח הקודם </w:t>
      </w:r>
      <w:r>
        <w:rPr>
          <w:rFonts w:hint="cs"/>
          <w:rtl/>
        </w:rPr>
        <w:t xml:space="preserve">העלו </w:t>
      </w:r>
      <w:r w:rsidRPr="00BC524D">
        <w:rPr>
          <w:rtl/>
        </w:rPr>
        <w:t xml:space="preserve">מחקרים עדכניים על אודות נזקי שינויי האקלים בתרחיש </w:t>
      </w:r>
      <w:r w:rsidRPr="00981F98">
        <w:t>BAU</w:t>
      </w:r>
      <w:r w:rsidRPr="003519B1">
        <w:rPr>
          <w:sz w:val="22"/>
          <w:szCs w:val="22"/>
          <w:rtl/>
        </w:rPr>
        <w:t xml:space="preserve"> </w:t>
      </w:r>
      <w:r w:rsidRPr="00BC524D">
        <w:rPr>
          <w:rtl/>
        </w:rPr>
        <w:t xml:space="preserve">כי אובדן </w:t>
      </w:r>
      <w:r w:rsidRPr="00BC524D">
        <w:rPr>
          <w:rtl/>
        </w:rPr>
        <w:t>התמ"ג</w:t>
      </w:r>
      <w:r w:rsidRPr="00BC524D">
        <w:rPr>
          <w:rtl/>
        </w:rPr>
        <w:t xml:space="preserve"> העולמי עד שנת 2050 מוערך בטווח שבין 2.5% ל-18.1%, ובאזור הים התיכון, המזרח התיכון ואפריקה האובדן בתמ"ג מוערך בטווח שבין 8.5% ל-27.5%.</w:t>
      </w:r>
      <w:r w:rsidRPr="00BC524D">
        <w:rPr>
          <w:rFonts w:hint="cs"/>
          <w:rtl/>
        </w:rPr>
        <w:t xml:space="preserve"> הערכות אלו הן הערכות ב</w:t>
      </w:r>
      <w:r>
        <w:rPr>
          <w:rFonts w:hint="cs"/>
          <w:rtl/>
        </w:rPr>
        <w:t xml:space="preserve">חסר בשל רמות אי-הוודאות הגבוהה. בדוח הקודם צוין עוד כי הערכות אלו משתנות ולא אחידות, וכי קיימים אירועים אקלימיים קיצוניים שקשה לתמחר, והם נחשבים "בלתי ניתנים לגידור". </w:t>
      </w:r>
    </w:p>
    <w:p w:rsidR="00F20E3F" w:rsidP="00287CB1" w14:paraId="011569DE" w14:textId="77777777">
      <w:pPr>
        <w:pStyle w:val="734"/>
        <w:numPr>
          <w:ilvl w:val="0"/>
          <w:numId w:val="55"/>
        </w:numPr>
      </w:pPr>
      <w:r w:rsidRPr="00981F98">
        <w:rPr>
          <w:rStyle w:val="7371"/>
          <w:rFonts w:hint="eastAsia"/>
          <w:rtl/>
        </w:rPr>
        <w:t>איפוס</w:t>
      </w:r>
      <w:r w:rsidRPr="00981F98">
        <w:rPr>
          <w:rStyle w:val="7371"/>
          <w:rtl/>
        </w:rPr>
        <w:t xml:space="preserve"> </w:t>
      </w:r>
      <w:r w:rsidRPr="00981F98">
        <w:rPr>
          <w:rStyle w:val="7371"/>
          <w:rFonts w:hint="eastAsia"/>
          <w:rtl/>
        </w:rPr>
        <w:t>פחמני</w:t>
      </w:r>
      <w:r w:rsidRPr="00981F98">
        <w:rPr>
          <w:rStyle w:val="7371"/>
          <w:rtl/>
        </w:rPr>
        <w:t>:</w:t>
      </w:r>
      <w:r w:rsidRPr="00BC524D">
        <w:rPr>
          <w:rFonts w:hint="cs"/>
          <w:rtl/>
        </w:rPr>
        <w:t xml:space="preserve"> בקצה השני נמצא תרחיש של יישום מדיניות להשגת איפוס פחמני, </w:t>
      </w:r>
      <w:r>
        <w:rPr>
          <w:rFonts w:hint="cs"/>
          <w:rtl/>
        </w:rPr>
        <w:t xml:space="preserve">המצמצם את נזקי שינויי האקלים אולם מחייב השקעות גבוהות לצורך השגת איפוס פחמני. </w:t>
      </w:r>
      <w:r w:rsidRPr="00BC524D">
        <w:rPr>
          <w:rFonts w:hint="cs"/>
          <w:rtl/>
        </w:rPr>
        <w:t xml:space="preserve">במסמך </w:t>
      </w:r>
      <w:r>
        <w:rPr>
          <w:rFonts w:hint="cs"/>
          <w:rtl/>
        </w:rPr>
        <w:t>ש</w:t>
      </w:r>
      <w:r w:rsidRPr="00BC524D">
        <w:rPr>
          <w:rFonts w:hint="cs"/>
          <w:rtl/>
        </w:rPr>
        <w:t>פרסמה בנובמבר 2022 חברת הייעוץ הבי</w:t>
      </w:r>
      <w:r>
        <w:rPr>
          <w:rFonts w:hint="cs"/>
          <w:rtl/>
        </w:rPr>
        <w:t>ן-</w:t>
      </w:r>
      <w:r w:rsidRPr="00BC524D">
        <w:rPr>
          <w:rFonts w:hint="cs"/>
          <w:rtl/>
        </w:rPr>
        <w:t xml:space="preserve">לאומית </w:t>
      </w:r>
      <w:r w:rsidRPr="00BC524D">
        <w:rPr>
          <w:rFonts w:hint="cs"/>
          <w:rtl/>
        </w:rPr>
        <w:t>מקינזי</w:t>
      </w:r>
      <w:r w:rsidRPr="00BC524D">
        <w:rPr>
          <w:rFonts w:hint="cs"/>
          <w:rtl/>
        </w:rPr>
        <w:t xml:space="preserve"> (</w:t>
      </w:r>
      <w:r w:rsidRPr="00BC524D">
        <w:t>Mckinsey</w:t>
      </w:r>
      <w:r w:rsidRPr="00BC524D">
        <w:t xml:space="preserve"> &amp; Co</w:t>
      </w:r>
      <w:r w:rsidRPr="00BC524D">
        <w:rPr>
          <w:rFonts w:hint="cs"/>
          <w:rtl/>
        </w:rPr>
        <w:t>) בנושא משבר האקלים והכלכלה הישראלית</w:t>
      </w:r>
      <w:r>
        <w:rPr>
          <w:rStyle w:val="FootnoteReference2"/>
          <w:sz w:val="24"/>
          <w:rtl/>
        </w:rPr>
        <w:footnoteReference w:id="24"/>
      </w:r>
      <w:r w:rsidRPr="00BC524D">
        <w:rPr>
          <w:rFonts w:hint="cs"/>
          <w:rtl/>
        </w:rPr>
        <w:t>,</w:t>
      </w:r>
      <w:r w:rsidRPr="00BC524D">
        <w:rPr>
          <w:rtl/>
        </w:rPr>
        <w:t xml:space="preserve"> </w:t>
      </w:r>
      <w:r w:rsidRPr="00BC524D">
        <w:rPr>
          <w:rFonts w:hint="cs"/>
          <w:rtl/>
        </w:rPr>
        <w:t xml:space="preserve">צוין שלצורך איפוס פליטות הפחמן בעולם נדרשת השקעה בנכסים פיזיים בהיקף נרחב, המגיע לשיעור של כ-7.5% </w:t>
      </w:r>
      <w:r w:rsidRPr="00BC524D">
        <w:rPr>
          <w:rFonts w:hint="cs"/>
          <w:rtl/>
        </w:rPr>
        <w:t>מהתמ"ג</w:t>
      </w:r>
      <w:r w:rsidRPr="00BC524D">
        <w:rPr>
          <w:rFonts w:hint="cs"/>
          <w:rtl/>
        </w:rPr>
        <w:t xml:space="preserve"> העולמי בכל שנה ב-30 השנים הקרובות בממוצע, כלומר סך של </w:t>
      </w:r>
      <w:r w:rsidRPr="00BC524D">
        <w:rPr>
          <w:rFonts w:hint="cs"/>
          <w:b/>
          <w:bCs/>
          <w:rtl/>
        </w:rPr>
        <w:t xml:space="preserve">275 טריליון דולר </w:t>
      </w:r>
      <w:r>
        <w:rPr>
          <w:rFonts w:hint="cs"/>
          <w:b/>
          <w:bCs/>
          <w:rtl/>
        </w:rPr>
        <w:t xml:space="preserve">ארה"ב </w:t>
      </w:r>
      <w:r w:rsidRPr="00BC524D">
        <w:rPr>
          <w:rFonts w:hint="cs"/>
          <w:b/>
          <w:bCs/>
          <w:rtl/>
        </w:rPr>
        <w:t>עד שנת 2050</w:t>
      </w:r>
      <w:r w:rsidRPr="000D2CB9">
        <w:rPr>
          <w:rtl/>
        </w:rPr>
        <w:t>,</w:t>
      </w:r>
      <w:r w:rsidRPr="00BC524D">
        <w:rPr>
          <w:rFonts w:hint="cs"/>
          <w:b/>
          <w:bCs/>
          <w:rtl/>
        </w:rPr>
        <w:t xml:space="preserve"> </w:t>
      </w:r>
      <w:r w:rsidRPr="00BC524D">
        <w:rPr>
          <w:rFonts w:hint="cs"/>
          <w:rtl/>
        </w:rPr>
        <w:t xml:space="preserve">עם צורך בעודף השקעה עד שנת 2030. </w:t>
      </w:r>
      <w:r>
        <w:rPr>
          <w:rFonts w:hint="cs"/>
          <w:rtl/>
        </w:rPr>
        <w:t xml:space="preserve">ההשקעות מניבות בצידן תועלות, אשר לפי רוב המחקרים בנושא, מביאות לפגיעה נמוכה יותר בתמ"ג מהפגיעה בתרחיש </w:t>
      </w:r>
      <w:r w:rsidRPr="00981F98">
        <w:t>BAU</w:t>
      </w:r>
      <w:r>
        <w:rPr>
          <w:rFonts w:hint="cs"/>
          <w:rtl/>
        </w:rPr>
        <w:t xml:space="preserve">. </w:t>
      </w:r>
    </w:p>
    <w:p w:rsidR="00F20E3F" w:rsidP="002F2907" w14:paraId="2D8B07EC" w14:textId="77777777">
      <w:pPr>
        <w:pStyle w:val="7392"/>
        <w:rPr>
          <w:rtl/>
        </w:rPr>
      </w:pPr>
      <w:r>
        <w:rPr>
          <w:rFonts w:hint="cs"/>
          <w:rtl/>
        </w:rPr>
        <w:t xml:space="preserve">אף כי ביצוע הערכה מקרו-כלכלית ברמת המדינה הוא עניין מורכב ומוגבל ביכולתו לתמחר אירועים אקלימיים משמעותיים ואת השפעותיהם על כלכלת המדינה (בתוצר), ניתן לבצע כשלב מקדים הערכה כפולה: הערכה אחת כוללת של העלויות להשגת יעדי הפחתת פליטות שאותן קבעה המדינה, כלומר מהן ההשקעות הנדרשות להשגת איפוס פחמני; והערכה שנייה של עלויות אדפטציה תחת תרחישי אקלים שונים. </w:t>
      </w:r>
    </w:p>
    <w:p w:rsidR="00F20E3F" w:rsidP="002F2907" w14:paraId="49BBAAE6" w14:textId="77777777">
      <w:pPr>
        <w:pStyle w:val="7392"/>
        <w:rPr>
          <w:rtl/>
        </w:rPr>
      </w:pPr>
      <w:r>
        <w:rPr>
          <w:rFonts w:hint="cs"/>
          <w:rtl/>
        </w:rPr>
        <w:t xml:space="preserve">בין ההמלצות </w:t>
      </w:r>
      <w:r w:rsidRPr="00030345">
        <w:rPr>
          <w:rFonts w:hint="cs"/>
          <w:sz w:val="24"/>
          <w:rtl/>
        </w:rPr>
        <w:t>המרכזיות שגובשו ב-</w:t>
      </w:r>
      <w:r w:rsidRPr="002F2907">
        <w:t>OECD</w:t>
      </w:r>
      <w:r w:rsidRPr="000D2CB9">
        <w:rPr>
          <w:sz w:val="22"/>
          <w:szCs w:val="22"/>
          <w:rtl/>
        </w:rPr>
        <w:t xml:space="preserve"> </w:t>
      </w:r>
      <w:r w:rsidRPr="00030345">
        <w:rPr>
          <w:rFonts w:hint="cs"/>
          <w:sz w:val="24"/>
          <w:rtl/>
        </w:rPr>
        <w:t>וב-</w:t>
      </w:r>
      <w:r w:rsidRPr="002F2907">
        <w:t>IMF</w:t>
      </w:r>
      <w:r w:rsidRPr="00030345">
        <w:rPr>
          <w:rFonts w:hint="cs"/>
          <w:sz w:val="24"/>
          <w:rtl/>
        </w:rPr>
        <w:t xml:space="preserve"> דובר כאמור על שיקוף </w:t>
      </w:r>
      <w:r w:rsidRPr="00030345">
        <w:rPr>
          <w:sz w:val="24"/>
          <w:rtl/>
        </w:rPr>
        <w:t xml:space="preserve">יעדי אקלים וסביבה בתחזיות לטווח הבינוני והארוך </w:t>
      </w:r>
      <w:r w:rsidRPr="00030345">
        <w:rPr>
          <w:rFonts w:hint="cs"/>
          <w:sz w:val="24"/>
          <w:rtl/>
        </w:rPr>
        <w:t>כך ש</w:t>
      </w:r>
      <w:r w:rsidRPr="00030345">
        <w:rPr>
          <w:sz w:val="24"/>
          <w:rtl/>
        </w:rPr>
        <w:t>יעלו בקנה אחד (</w:t>
      </w:r>
      <w:r w:rsidRPr="002F2907">
        <w:t>align</w:t>
      </w:r>
      <w:r w:rsidRPr="00030345">
        <w:rPr>
          <w:sz w:val="24"/>
          <w:rtl/>
        </w:rPr>
        <w:t xml:space="preserve">) עם המסגרת הפיסקלית, </w:t>
      </w:r>
      <w:r w:rsidRPr="00030345">
        <w:rPr>
          <w:rFonts w:hint="cs"/>
          <w:sz w:val="24"/>
          <w:rtl/>
        </w:rPr>
        <w:t xml:space="preserve">ועל הצורך שהגורם </w:t>
      </w:r>
      <w:r w:rsidRPr="00030345">
        <w:rPr>
          <w:sz w:val="24"/>
          <w:rtl/>
        </w:rPr>
        <w:t xml:space="preserve">האחראי לתחזיות </w:t>
      </w:r>
      <w:r>
        <w:rPr>
          <w:rFonts w:hint="cs"/>
          <w:sz w:val="24"/>
          <w:rtl/>
        </w:rPr>
        <w:t>ה</w:t>
      </w:r>
      <w:r w:rsidRPr="00030345">
        <w:rPr>
          <w:sz w:val="24"/>
          <w:rtl/>
        </w:rPr>
        <w:t>מקרו</w:t>
      </w:r>
      <w:r>
        <w:rPr>
          <w:rFonts w:hint="cs"/>
          <w:sz w:val="24"/>
          <w:rtl/>
        </w:rPr>
        <w:t>-</w:t>
      </w:r>
      <w:r w:rsidRPr="00030345">
        <w:rPr>
          <w:sz w:val="24"/>
          <w:rtl/>
        </w:rPr>
        <w:t xml:space="preserve">כלכליות </w:t>
      </w:r>
      <w:r w:rsidRPr="00030345">
        <w:rPr>
          <w:rFonts w:hint="cs"/>
          <w:sz w:val="24"/>
          <w:rtl/>
        </w:rPr>
        <w:t xml:space="preserve">(בדרך כלל משרדי האוצר) </w:t>
      </w:r>
      <w:r w:rsidRPr="00030345">
        <w:rPr>
          <w:sz w:val="24"/>
          <w:rtl/>
        </w:rPr>
        <w:t xml:space="preserve">ייצר תחזיות ותרחישים </w:t>
      </w:r>
      <w:r w:rsidRPr="00BF59E0">
        <w:rPr>
          <w:sz w:val="24"/>
          <w:rtl/>
        </w:rPr>
        <w:t>המטמיעים שיקולים סביבתיים</w:t>
      </w:r>
      <w:r w:rsidRPr="00BF59E0">
        <w:rPr>
          <w:rFonts w:hint="cs"/>
          <w:sz w:val="24"/>
          <w:rtl/>
        </w:rPr>
        <w:t xml:space="preserve"> ואקלימיים</w:t>
      </w:r>
      <w:r>
        <w:rPr>
          <w:rFonts w:hint="cs"/>
          <w:sz w:val="24"/>
          <w:rtl/>
        </w:rPr>
        <w:t xml:space="preserve"> בניתוח הסיכונים הפיסקלי</w:t>
      </w:r>
      <w:r>
        <w:rPr>
          <w:rStyle w:val="FootnoteReference2"/>
        </w:rPr>
        <w:footnoteReference w:id="25"/>
      </w:r>
      <w:r>
        <w:rPr>
          <w:rFonts w:hint="cs"/>
          <w:sz w:val="24"/>
          <w:rtl/>
        </w:rPr>
        <w:t>.</w:t>
      </w:r>
      <w:r w:rsidRPr="00BF59E0">
        <w:rPr>
          <w:rFonts w:hint="cs"/>
          <w:sz w:val="24"/>
          <w:rtl/>
        </w:rPr>
        <w:t xml:space="preserve"> </w:t>
      </w:r>
      <w:r>
        <w:rPr>
          <w:rFonts w:hint="cs"/>
          <w:rtl/>
        </w:rPr>
        <w:t xml:space="preserve">עוד </w:t>
      </w:r>
      <w:r w:rsidRPr="000C7CF8">
        <w:rPr>
          <w:rFonts w:hint="cs"/>
          <w:sz w:val="24"/>
          <w:rtl/>
        </w:rPr>
        <w:t>המליץ</w:t>
      </w:r>
      <w:r>
        <w:rPr>
          <w:rFonts w:hint="cs"/>
          <w:sz w:val="24"/>
          <w:rtl/>
        </w:rPr>
        <w:t xml:space="preserve"> ארגון</w:t>
      </w:r>
      <w:r w:rsidRPr="000C7CF8">
        <w:rPr>
          <w:rFonts w:hint="cs"/>
          <w:sz w:val="24"/>
          <w:rtl/>
        </w:rPr>
        <w:t xml:space="preserve"> ה-</w:t>
      </w:r>
      <w:r w:rsidRPr="002F2907">
        <w:t>OECD</w:t>
      </w:r>
      <w:r w:rsidRPr="000D2CB9">
        <w:rPr>
          <w:sz w:val="22"/>
          <w:szCs w:val="22"/>
          <w:rtl/>
        </w:rPr>
        <w:t xml:space="preserve"> </w:t>
      </w:r>
      <w:r w:rsidRPr="000C7CF8">
        <w:rPr>
          <w:rFonts w:hint="cs"/>
          <w:sz w:val="24"/>
          <w:rtl/>
        </w:rPr>
        <w:t xml:space="preserve">על </w:t>
      </w:r>
      <w:r w:rsidRPr="000C7CF8">
        <w:rPr>
          <w:sz w:val="24"/>
          <w:rtl/>
        </w:rPr>
        <w:t>ניתוח תרחישים מקרו-פיסקליים ו</w:t>
      </w:r>
      <w:r>
        <w:rPr>
          <w:rFonts w:hint="cs"/>
          <w:sz w:val="24"/>
          <w:rtl/>
        </w:rPr>
        <w:t xml:space="preserve">על </w:t>
      </w:r>
      <w:r w:rsidRPr="000C7CF8">
        <w:rPr>
          <w:rFonts w:hint="cs"/>
          <w:sz w:val="24"/>
          <w:rtl/>
        </w:rPr>
        <w:t xml:space="preserve">ביצוע </w:t>
      </w:r>
      <w:r w:rsidRPr="000C7CF8">
        <w:rPr>
          <w:sz w:val="24"/>
          <w:rtl/>
        </w:rPr>
        <w:t>מבחני קיצון פיסקליים</w:t>
      </w:r>
      <w:r w:rsidRPr="000C7CF8">
        <w:rPr>
          <w:rFonts w:hint="cs"/>
          <w:sz w:val="24"/>
          <w:rtl/>
        </w:rPr>
        <w:t xml:space="preserve"> ככלי מועיל ל</w:t>
      </w:r>
      <w:r w:rsidRPr="000C7CF8">
        <w:rPr>
          <w:sz w:val="24"/>
          <w:rtl/>
        </w:rPr>
        <w:t>ניתוח</w:t>
      </w:r>
      <w:r w:rsidRPr="000C7CF8">
        <w:rPr>
          <w:rFonts w:hint="cs"/>
          <w:sz w:val="24"/>
          <w:rtl/>
        </w:rPr>
        <w:t xml:space="preserve"> </w:t>
      </w:r>
      <w:r w:rsidRPr="000C7CF8">
        <w:rPr>
          <w:sz w:val="24"/>
          <w:rtl/>
        </w:rPr>
        <w:t>ו</w:t>
      </w:r>
      <w:r>
        <w:rPr>
          <w:rFonts w:hint="cs"/>
          <w:sz w:val="24"/>
          <w:rtl/>
        </w:rPr>
        <w:t>ל</w:t>
      </w:r>
      <w:r w:rsidRPr="000C7CF8">
        <w:rPr>
          <w:sz w:val="24"/>
          <w:rtl/>
        </w:rPr>
        <w:t xml:space="preserve">ניהול </w:t>
      </w:r>
      <w:r>
        <w:rPr>
          <w:rFonts w:hint="cs"/>
          <w:sz w:val="24"/>
          <w:rtl/>
        </w:rPr>
        <w:t xml:space="preserve">של </w:t>
      </w:r>
      <w:r w:rsidRPr="000C7CF8">
        <w:rPr>
          <w:sz w:val="24"/>
          <w:rtl/>
        </w:rPr>
        <w:t xml:space="preserve">סיכונים פיסקליים הקשורים </w:t>
      </w:r>
      <w:r w:rsidRPr="000C7CF8">
        <w:rPr>
          <w:rFonts w:hint="cs"/>
          <w:sz w:val="24"/>
          <w:rtl/>
        </w:rPr>
        <w:t>ל</w:t>
      </w:r>
      <w:r w:rsidRPr="000C7CF8">
        <w:rPr>
          <w:sz w:val="24"/>
          <w:rtl/>
        </w:rPr>
        <w:t>אקלים</w:t>
      </w:r>
      <w:r>
        <w:rPr>
          <w:rStyle w:val="FootnoteReference2"/>
          <w:sz w:val="24"/>
          <w:rtl/>
        </w:rPr>
        <w:footnoteReference w:id="26"/>
      </w:r>
      <w:r w:rsidRPr="000C7CF8">
        <w:rPr>
          <w:sz w:val="24"/>
          <w:rtl/>
        </w:rPr>
        <w:t>.</w:t>
      </w:r>
      <w:r w:rsidRPr="00BF59E0">
        <w:rPr>
          <w:rFonts w:hint="cs"/>
          <w:rtl/>
        </w:rPr>
        <w:t xml:space="preserve"> </w:t>
      </w:r>
    </w:p>
    <w:p w:rsidR="00F20E3F" w:rsidRPr="00703BF5" w:rsidP="00703BF5" w14:paraId="3F980771" w14:textId="77777777">
      <w:pPr>
        <w:pStyle w:val="7317"/>
        <w:rPr>
          <w:rtl/>
        </w:rPr>
      </w:pPr>
      <w:r w:rsidRPr="00703BF5">
        <w:rPr>
          <w:rFonts w:hint="cs"/>
          <w:rtl/>
        </w:rPr>
        <w:t>עם זאת, בסקירת הביצועים הסביבתיים של ישראל ממאי 2023 ציין ארגון ה-</w:t>
      </w:r>
      <w:r w:rsidRPr="00703BF5">
        <w:rPr>
          <w:rFonts w:hint="cs"/>
        </w:rPr>
        <w:t>OECD</w:t>
      </w:r>
      <w:r w:rsidRPr="00703BF5">
        <w:rPr>
          <w:rFonts w:hint="cs"/>
          <w:rtl/>
        </w:rPr>
        <w:t xml:space="preserve"> כי בישראל אף אחד מהגורמים האמונים על תחזיות מקרו-כלכליות בישראל טרם ביצע הערכה של נזקי שינויי האקלים והשפעותיהם על הכלכלה הישראלית</w:t>
      </w:r>
      <w:r>
        <w:rPr>
          <w:rStyle w:val="FootnoteReference2"/>
          <w:rtl/>
        </w:rPr>
        <w:footnoteReference w:id="27"/>
      </w:r>
      <w:r w:rsidRPr="00703BF5">
        <w:rPr>
          <w:rFonts w:hint="cs"/>
          <w:rtl/>
        </w:rPr>
        <w:t xml:space="preserve">. </w:t>
      </w:r>
    </w:p>
    <w:p w:rsidR="00F20E3F" w:rsidP="002F2907" w14:paraId="46625FF4" w14:textId="77777777">
      <w:pPr>
        <w:pStyle w:val="7392"/>
        <w:rPr>
          <w:rtl/>
        </w:rPr>
      </w:pPr>
      <w:r>
        <w:rPr>
          <w:rFonts w:hint="cs"/>
          <w:rtl/>
        </w:rPr>
        <w:t>בישראל קיימים כמה גורמים העוסקים בסוגיות מקרו-כלכליות</w:t>
      </w:r>
      <w:r w:rsidRPr="007F73B5">
        <w:rPr>
          <w:rFonts w:hint="cs"/>
          <w:rtl/>
        </w:rPr>
        <w:t xml:space="preserve"> </w:t>
      </w:r>
      <w:r>
        <w:rPr>
          <w:rFonts w:hint="cs"/>
          <w:rtl/>
        </w:rPr>
        <w:t>באופן רוחבי:</w:t>
      </w:r>
    </w:p>
    <w:p w:rsidR="00F20E3F" w:rsidRPr="00981F98" w:rsidP="00C44928" w14:paraId="4707EEAE" w14:textId="77777777">
      <w:pPr>
        <w:pStyle w:val="734"/>
        <w:numPr>
          <w:ilvl w:val="1"/>
          <w:numId w:val="10"/>
        </w:numPr>
        <w:rPr>
          <w:rtl/>
        </w:rPr>
      </w:pPr>
      <w:r w:rsidRPr="00981F98">
        <w:rPr>
          <w:rtl/>
        </w:rPr>
        <w:t>אגף הכלכלנית הראשית הו</w:t>
      </w:r>
      <w:r w:rsidRPr="00981F98">
        <w:rPr>
          <w:rFonts w:hint="cs"/>
          <w:rtl/>
        </w:rPr>
        <w:t>א</w:t>
      </w:r>
      <w:r w:rsidRPr="00981F98">
        <w:rPr>
          <w:rtl/>
        </w:rPr>
        <w:t xml:space="preserve"> יחידת מטה במשרד האוצר האחראי לחיזוי המשתנים הכלכליים המשפיעים על המשק הישראלי</w:t>
      </w:r>
      <w:r w:rsidRPr="00981F98">
        <w:rPr>
          <w:rFonts w:hint="cs"/>
          <w:rtl/>
        </w:rPr>
        <w:t xml:space="preserve"> ולמעקב אחריהם;</w:t>
      </w:r>
      <w:r w:rsidRPr="00981F98">
        <w:rPr>
          <w:rtl/>
        </w:rPr>
        <w:t xml:space="preserve"> </w:t>
      </w:r>
      <w:r w:rsidRPr="00981F98">
        <w:rPr>
          <w:rFonts w:hint="cs"/>
          <w:rtl/>
        </w:rPr>
        <w:t>ל</w:t>
      </w:r>
      <w:r w:rsidRPr="00981F98">
        <w:rPr>
          <w:rtl/>
        </w:rPr>
        <w:t>גיבוש מדיניות המס של ישראל</w:t>
      </w:r>
      <w:r w:rsidRPr="00981F98">
        <w:rPr>
          <w:rFonts w:hint="cs"/>
          <w:rtl/>
        </w:rPr>
        <w:t>;</w:t>
      </w:r>
      <w:r w:rsidRPr="00981F98">
        <w:rPr>
          <w:rtl/>
        </w:rPr>
        <w:t xml:space="preserve"> וכן לניהול הקשרים הבי</w:t>
      </w:r>
      <w:r w:rsidRPr="00981F98">
        <w:rPr>
          <w:rFonts w:hint="cs"/>
          <w:rtl/>
        </w:rPr>
        <w:t>ן-</w:t>
      </w:r>
      <w:r w:rsidRPr="00981F98">
        <w:rPr>
          <w:rtl/>
        </w:rPr>
        <w:t>לאומיים של משרד האוצר</w:t>
      </w:r>
      <w:r w:rsidRPr="00981F98">
        <w:rPr>
          <w:rFonts w:hint="cs"/>
          <w:rtl/>
        </w:rPr>
        <w:t>. במסגרת זו האגף מפרסם ניתוחים בתחומים שונים, לרבות כאלו המשמשים לקביעת מדיניות תוך שימוש בתחזיות לטווח הבינוני או הארוך. למשל, העבודה בנושא תועלות ואתגרים שבכניסת רכבים חשמליים לישראל שפרסם האגף, עוסקת לדבריו "</w:t>
      </w:r>
      <w:r w:rsidRPr="00981F98">
        <w:rPr>
          <w:rtl/>
        </w:rPr>
        <w:t>בגיבוש מדיניות לטווח הארו</w:t>
      </w:r>
      <w:r w:rsidRPr="00981F98">
        <w:rPr>
          <w:rFonts w:hint="cs"/>
          <w:rtl/>
        </w:rPr>
        <w:t>ך"</w:t>
      </w:r>
      <w:r>
        <w:rPr>
          <w:rStyle w:val="FootnoteReference2"/>
          <w:rtl/>
        </w:rPr>
        <w:footnoteReference w:id="28"/>
      </w:r>
      <w:r w:rsidRPr="00981F98">
        <w:rPr>
          <w:rFonts w:hint="cs"/>
          <w:rtl/>
        </w:rPr>
        <w:t xml:space="preserve">. כמו כן, מפעם לפעם מפרסם האגף ניתוחים בתחומים שונים, לדוגמה בנושא פטור </w:t>
      </w:r>
      <w:r w:rsidRPr="00981F98">
        <w:rPr>
          <w:rFonts w:hint="cs"/>
          <w:rtl/>
        </w:rPr>
        <w:t>ממע"ם</w:t>
      </w:r>
      <w:r w:rsidRPr="00981F98">
        <w:rPr>
          <w:rFonts w:hint="cs"/>
          <w:rtl/>
        </w:rPr>
        <w:t xml:space="preserve"> על תיירות, ובמסגרתו מנתח תרחישים שונים. אשר לניתוחים בנושא ההשפעות הכלכליות של שינויי האקלים עלו הדברים האלה:</w:t>
      </w:r>
    </w:p>
    <w:p w:rsidR="00F20E3F" w:rsidRPr="00981F98" w:rsidP="00287CB1" w14:paraId="165C574A" w14:textId="77777777">
      <w:pPr>
        <w:pStyle w:val="7310"/>
        <w:numPr>
          <w:ilvl w:val="1"/>
          <w:numId w:val="54"/>
        </w:numPr>
      </w:pPr>
      <w:r w:rsidRPr="00981F98">
        <w:rPr>
          <w:rtl/>
        </w:rPr>
        <w:t xml:space="preserve">אגף הכלכלנית הראשית </w:t>
      </w:r>
      <w:r w:rsidRPr="00981F98">
        <w:rPr>
          <w:rFonts w:hint="cs"/>
          <w:rtl/>
        </w:rPr>
        <w:t>מסר למשרד מבקר המדינה כי הוא "</w:t>
      </w:r>
      <w:r w:rsidRPr="00981F98">
        <w:rPr>
          <w:rtl/>
        </w:rPr>
        <w:t>לא מבצע תרחישים סביבתיים לטווח ארוך בכלל.</w:t>
      </w:r>
      <w:r w:rsidRPr="00981F98">
        <w:rPr>
          <w:rFonts w:hint="cs"/>
          <w:rtl/>
        </w:rPr>
        <w:t>..</w:t>
      </w:r>
      <w:r w:rsidRPr="00981F98">
        <w:rPr>
          <w:rtl/>
        </w:rPr>
        <w:t xml:space="preserve"> בשל אי הוודאות הקיימת בנושא אקלים והערכה כי לא צפויה בהסתברות גבוהה השפעה מקרו-כלכלית של היבטי אקלים על צמיחת התוצר בטווח התקציב </w:t>
      </w:r>
      <w:r w:rsidRPr="00981F98">
        <w:rPr>
          <w:rFonts w:hint="cs"/>
          <w:rtl/>
        </w:rPr>
        <w:t xml:space="preserve">[לשנים 2023 - 2024] </w:t>
      </w:r>
      <w:r w:rsidRPr="00981F98">
        <w:rPr>
          <w:rtl/>
        </w:rPr>
        <w:t>הנושא לא משוקלל בתחזית עצמה, אך משוקף בפירוש כסיכון כלפי מטה לתחזית בפרק הסיכונים לתחזית</w:t>
      </w:r>
      <w:r w:rsidRPr="00981F98">
        <w:rPr>
          <w:rFonts w:hint="cs"/>
          <w:rtl/>
        </w:rPr>
        <w:t>"</w:t>
      </w:r>
      <w:r w:rsidRPr="00981F98">
        <w:rPr>
          <w:rtl/>
        </w:rPr>
        <w:t xml:space="preserve">. </w:t>
      </w:r>
    </w:p>
    <w:p w:rsidR="00F20E3F" w:rsidRPr="00981F98" w:rsidP="00981F98" w14:paraId="6F8D6FB2" w14:textId="77777777">
      <w:pPr>
        <w:pStyle w:val="7310"/>
      </w:pPr>
      <w:r w:rsidRPr="00981F98">
        <w:rPr>
          <w:rFonts w:hint="cs"/>
          <w:rtl/>
        </w:rPr>
        <w:t>עוד נמסר כי "</w:t>
      </w:r>
      <w:r w:rsidRPr="00981F98">
        <w:rPr>
          <w:rtl/>
        </w:rPr>
        <w:t>קיים ערך באמידת השפעות אפשריות בתחום האקלים בטווח הארוך, אך האגף לא מבצע תחזיות צמיחה-מקרו כלכליות לטווח הארוך</w:t>
      </w:r>
      <w:r w:rsidRPr="00981F98">
        <w:rPr>
          <w:rFonts w:hint="cs"/>
          <w:rtl/>
        </w:rPr>
        <w:t xml:space="preserve">... ובהינתן המשאבים הקיימים גם לא מתכנן לערוך, ניתוח עלות/תועלת מאקרו כלכלי של השפעות נושא האקלים... אמנם מדובר בנושא בעל השלכות מקרו כלכליות, אך נדרשת מומחיות ברמת המיקרו בתחום הסביבה ובתחומים המשיקים לכך שלא קיימת, ולא נכון </w:t>
      </w:r>
      <w:r w:rsidRPr="00981F98">
        <w:rPr>
          <w:rFonts w:hint="cs"/>
          <w:rtl/>
        </w:rPr>
        <w:t xml:space="preserve">שתהיה קיימת, במשרד האוצר... ככל שישנו רצון לבצע הערכה מהסוג הזה נכון שהצרכים יעלו מלמטה (משרדי הממשלה) למעלה אליהם, דרך העברת הערכות כלכליות של יחידות האסטרטגיה והכלכלה באותם המשרדים המתמחים בכך והמשמעויות שכל משרד כזה גוזר משינויי אקלים ביחס לתחומי פעילותו, ולא הפוך שאגף הכלכלנית הראשית / אוצר יזום זאת". לבסוף הוסיף האגף כי תחזיותיו הן בדרך כלל לטווח קצר (לשנה-שנתיים), וכשהוא בוחן מגמות ארוכות טווח יותר מדובר על חמש עד עשר שנים, וכי לעמדתם המועצה הלאומית לכלכלה היא "גוף טבעי" יותר לתכלול תהליך מסוג זה. </w:t>
      </w:r>
    </w:p>
    <w:p w:rsidR="00F20E3F" w:rsidP="00287CB1" w14:paraId="2002FA40" w14:textId="77777777">
      <w:pPr>
        <w:pStyle w:val="7310"/>
        <w:numPr>
          <w:ilvl w:val="1"/>
          <w:numId w:val="54"/>
        </w:numPr>
      </w:pPr>
      <w:r>
        <w:rPr>
          <w:rFonts w:hint="cs"/>
          <w:rtl/>
        </w:rPr>
        <w:t>כחלק מ</w:t>
      </w:r>
      <w:r w:rsidRPr="00043FA4">
        <w:rPr>
          <w:rtl/>
        </w:rPr>
        <w:t>תוכנית הת</w:t>
      </w:r>
      <w:r>
        <w:rPr>
          <w:rtl/>
        </w:rPr>
        <w:t>קציב התלת-שנתית לשנים 2024</w:t>
      </w:r>
      <w:r>
        <w:rPr>
          <w:rFonts w:hint="cs"/>
          <w:rtl/>
        </w:rPr>
        <w:t xml:space="preserve"> עד </w:t>
      </w:r>
      <w:r>
        <w:rPr>
          <w:rtl/>
        </w:rPr>
        <w:t>2027</w:t>
      </w:r>
      <w:r>
        <w:rPr>
          <w:rFonts w:hint="cs"/>
          <w:rtl/>
        </w:rPr>
        <w:t xml:space="preserve"> שפרסם האוצר בפברואר 2023</w:t>
      </w:r>
      <w:r>
        <w:rPr>
          <w:vertAlign w:val="superscript"/>
          <w:rtl/>
        </w:rPr>
        <w:footnoteReference w:id="29"/>
      </w:r>
      <w:r>
        <w:rPr>
          <w:rFonts w:hint="cs"/>
          <w:rtl/>
        </w:rPr>
        <w:t xml:space="preserve">, צורפה תחזית אגף הכלכלנית הראשית באוצר אשר כללה אזכור קצר לנושא </w:t>
      </w:r>
      <w:r w:rsidRPr="00043FA4">
        <w:rPr>
          <w:rtl/>
        </w:rPr>
        <w:t xml:space="preserve">משבר האקלים </w:t>
      </w:r>
      <w:r>
        <w:rPr>
          <w:rFonts w:hint="cs"/>
          <w:rtl/>
        </w:rPr>
        <w:t>בהיבט צר ולפיו "</w:t>
      </w:r>
      <w:r w:rsidRPr="00043FA4">
        <w:rPr>
          <w:rtl/>
        </w:rPr>
        <w:t xml:space="preserve">אסונות טבעיים אשר מסכנים את כל הכלכלות ובין היתר את זו של ישראל </w:t>
      </w:r>
      <w:r>
        <w:rPr>
          <w:rFonts w:hint="cs"/>
          <w:rtl/>
        </w:rPr>
        <w:t>-</w:t>
      </w:r>
      <w:r w:rsidRPr="00043FA4">
        <w:rPr>
          <w:rtl/>
        </w:rPr>
        <w:t xml:space="preserve"> מצב החירום האקלימי ממשיך ל</w:t>
      </w:r>
      <w:r>
        <w:rPr>
          <w:rtl/>
        </w:rPr>
        <w:t>היות איום כבד על הכלכלה העולמית</w:t>
      </w:r>
      <w:r>
        <w:rPr>
          <w:rFonts w:hint="cs"/>
          <w:rtl/>
        </w:rPr>
        <w:t xml:space="preserve">... </w:t>
      </w:r>
      <w:r w:rsidRPr="00043FA4">
        <w:rPr>
          <w:rtl/>
        </w:rPr>
        <w:t>ובכלל זה על כלכלת ישראל. סיכון זה מתווסף לסיכונים נוספים בהגברת הלחץ על שרשרת האספקה העולמית וכן מוסיף אי-וודאות בתחזית</w:t>
      </w:r>
      <w:r>
        <w:rPr>
          <w:rFonts w:hint="cs"/>
          <w:rtl/>
        </w:rPr>
        <w:t>"</w:t>
      </w:r>
      <w:r>
        <w:rPr>
          <w:vertAlign w:val="superscript"/>
          <w:rtl/>
        </w:rPr>
        <w:footnoteReference w:id="30"/>
      </w:r>
      <w:r w:rsidRPr="00043FA4">
        <w:rPr>
          <w:rtl/>
        </w:rPr>
        <w:t>.</w:t>
      </w:r>
      <w:r>
        <w:rPr>
          <w:rFonts w:hint="cs"/>
          <w:rtl/>
        </w:rPr>
        <w:t xml:space="preserve"> יצוין כי מבין התחזיות הכלכליות שנעשו בשנים 2016 עד 2023, תחזית זו, שפורסמה במהלך הביקורת, היא היחידה שבה קיימת התייחסות לנושא שינויי אקלים. לא נמצאה תחזית לטווח הבינוני של חמש עד עשר שנים המתייחסת לנושא האקלים.</w:t>
      </w:r>
    </w:p>
    <w:p w:rsidR="00F20E3F" w:rsidRPr="00703BF5" w:rsidP="00703BF5" w14:paraId="2D472305" w14:textId="77777777">
      <w:pPr>
        <w:pStyle w:val="739"/>
      </w:pPr>
      <w:r w:rsidRPr="00703BF5">
        <w:rPr>
          <w:rFonts w:hint="cs"/>
          <w:rtl/>
        </w:rPr>
        <w:t>עולה כי משרד האוצר לא התייחס להשפעות הכלכליות של שינויי האקלים על ישראל לטווח הארוך במסגרת התחזיות שמפרסם אגף הכלכלנית הראשית, בין בשל העלויות הנגזרות מהצורך להיערך לצמצום נזקי שינויי האקלים על נכסיה, תשתיותיה ורכוש אזרחיה, שייגרמו מהתממשות של "סיכונים פיזיים" אקוטיים או כרוניים; ובין בגין ההשקעות הנדרשות לצורך מעבר לאיפוס פחמני. זאת למעט אזכור של סיכון יחיד ועקיף של המשבר על שרשרת האספקה העולמית, וגם זאת לטווח של שנתיים</w:t>
      </w:r>
      <w:r w:rsidRPr="00703BF5">
        <w:rPr>
          <w:rtl/>
        </w:rPr>
        <w:t>.</w:t>
      </w:r>
    </w:p>
    <w:p w:rsidR="00F20E3F" w:rsidRPr="00703BF5" w:rsidP="00703BF5" w14:paraId="1D175262" w14:textId="77777777">
      <w:pPr>
        <w:pStyle w:val="739"/>
        <w:rPr>
          <w:rtl/>
        </w:rPr>
      </w:pPr>
      <w:r w:rsidRPr="00703BF5">
        <w:rPr>
          <w:rFonts w:hint="cs"/>
          <w:rtl/>
        </w:rPr>
        <w:t>עוד עולה כי אגף הכלכלנית הראשית סבור כי אף שיש ערך באמידת השפעות אלו, אין זה תפקידו לבצע זאת, וכי היוזמה לגזירת המשמעויות הכלכליות צריכה לבוא מלמטה, כך שכל משרד ממשלתי יבצע הערכה לעצמו. עמדה זו אינה עולה בקנה אחד עם תפקידו של משרד האוצר ב</w:t>
      </w:r>
      <w:r w:rsidRPr="00703BF5">
        <w:rPr>
          <w:rtl/>
        </w:rPr>
        <w:t>תכנון וביצוע המדיניות הכלכלית-פיסקלית של מדינת ישראל</w:t>
      </w:r>
      <w:r w:rsidRPr="00703BF5">
        <w:rPr>
          <w:rFonts w:hint="cs"/>
          <w:rtl/>
        </w:rPr>
        <w:t>;</w:t>
      </w:r>
      <w:r w:rsidRPr="00703BF5">
        <w:rPr>
          <w:rtl/>
        </w:rPr>
        <w:t xml:space="preserve"> </w:t>
      </w:r>
      <w:r w:rsidRPr="00703BF5">
        <w:rPr>
          <w:rFonts w:hint="cs"/>
          <w:rtl/>
        </w:rPr>
        <w:t>בק</w:t>
      </w:r>
      <w:r w:rsidRPr="00703BF5">
        <w:rPr>
          <w:rtl/>
        </w:rPr>
        <w:t>ביעת תקציב המדינה לפעילות הממשלה וחלוקתו למשרדי הממשלה השונים</w:t>
      </w:r>
      <w:r w:rsidRPr="00703BF5">
        <w:rPr>
          <w:rFonts w:hint="cs"/>
          <w:rtl/>
        </w:rPr>
        <w:t>;</w:t>
      </w:r>
      <w:r w:rsidRPr="00703BF5">
        <w:rPr>
          <w:rtl/>
        </w:rPr>
        <w:t xml:space="preserve"> </w:t>
      </w:r>
      <w:r w:rsidRPr="00703BF5">
        <w:rPr>
          <w:rFonts w:hint="cs"/>
          <w:rtl/>
        </w:rPr>
        <w:t>ב</w:t>
      </w:r>
      <w:r w:rsidRPr="00703BF5">
        <w:rPr>
          <w:rtl/>
        </w:rPr>
        <w:t>ניהול הכנסות המדינה וגביית המיסים הישירים והעקיפים</w:t>
      </w:r>
      <w:r w:rsidRPr="00703BF5">
        <w:rPr>
          <w:rFonts w:hint="cs"/>
          <w:rtl/>
        </w:rPr>
        <w:t>; ובשקלול המשתנים הכלכליים הרלוונטיים שלהם השפעה על כלכלת ישראל לצורך קביעת מדיניות הממשלה, וכן עם מומחיותו בכלכלה והיותו בעל סמכות בנושא זה ועם השפעתו הרחבה על המשק המקנה לו עמדה ייחודית. עמדה זו אינה מתיישבת אף עם ההמלצות של ארגון ה-</w:t>
      </w:r>
      <w:r w:rsidRPr="00703BF5">
        <w:rPr>
          <w:rFonts w:hint="cs"/>
        </w:rPr>
        <w:t>OECD</w:t>
      </w:r>
      <w:r w:rsidRPr="00703BF5">
        <w:rPr>
          <w:rFonts w:hint="cs"/>
          <w:rtl/>
        </w:rPr>
        <w:t>, קואליציית שרי האוצר לאקלים וה-</w:t>
      </w:r>
      <w:r w:rsidRPr="00703BF5">
        <w:rPr>
          <w:rFonts w:hint="cs"/>
        </w:rPr>
        <w:t>IMF</w:t>
      </w:r>
      <w:r w:rsidRPr="00703BF5">
        <w:rPr>
          <w:rFonts w:hint="cs"/>
          <w:rtl/>
        </w:rPr>
        <w:t xml:space="preserve"> שנסקרו לעיל עבור משרדי האוצר. </w:t>
      </w:r>
    </w:p>
    <w:p w:rsidR="00F20E3F" w:rsidP="00C44928" w14:paraId="22C02BBB" w14:textId="77777777">
      <w:pPr>
        <w:pStyle w:val="734"/>
        <w:numPr>
          <w:ilvl w:val="1"/>
          <w:numId w:val="69"/>
        </w:numPr>
      </w:pPr>
      <w:r>
        <w:rPr>
          <w:rFonts w:hint="cs"/>
          <w:rtl/>
        </w:rPr>
        <w:t xml:space="preserve">אגף </w:t>
      </w:r>
      <w:r w:rsidRPr="00981F98">
        <w:rPr>
          <w:rFonts w:hint="cs"/>
          <w:rtl/>
        </w:rPr>
        <w:t>התקציבים</w:t>
      </w:r>
      <w:r w:rsidRPr="00D91130">
        <w:rPr>
          <w:rFonts w:hint="cs"/>
          <w:sz w:val="24"/>
          <w:rtl/>
        </w:rPr>
        <w:t xml:space="preserve"> במשרד האוצר </w:t>
      </w:r>
      <w:r>
        <w:rPr>
          <w:rFonts w:hint="cs"/>
          <w:sz w:val="24"/>
          <w:rtl/>
        </w:rPr>
        <w:t xml:space="preserve">ציין </w:t>
      </w:r>
      <w:r w:rsidRPr="00D91130">
        <w:rPr>
          <w:sz w:val="24"/>
          <w:rtl/>
        </w:rPr>
        <w:t>כי "ההשפעה על התוצר בישראל בשל ההתחממות הגלובלית היא נמוכה ביחס לעולם"</w:t>
      </w:r>
      <w:r>
        <w:rPr>
          <w:rFonts w:hint="cs"/>
          <w:sz w:val="24"/>
          <w:rtl/>
        </w:rPr>
        <w:t>.</w:t>
      </w:r>
      <w:r w:rsidRPr="00D91130">
        <w:rPr>
          <w:sz w:val="24"/>
          <w:rtl/>
        </w:rPr>
        <w:t xml:space="preserve"> </w:t>
      </w:r>
      <w:r w:rsidRPr="00D91130">
        <w:rPr>
          <w:rFonts w:hint="cs"/>
          <w:sz w:val="24"/>
          <w:rtl/>
        </w:rPr>
        <w:t xml:space="preserve">הוא מבסס </w:t>
      </w:r>
      <w:r>
        <w:rPr>
          <w:rFonts w:hint="cs"/>
          <w:sz w:val="24"/>
          <w:rtl/>
        </w:rPr>
        <w:t>את ה</w:t>
      </w:r>
      <w:r w:rsidRPr="00D91130">
        <w:rPr>
          <w:rFonts w:hint="cs"/>
          <w:sz w:val="24"/>
          <w:rtl/>
        </w:rPr>
        <w:t xml:space="preserve">אמירה </w:t>
      </w:r>
      <w:r>
        <w:rPr>
          <w:rFonts w:hint="cs"/>
          <w:sz w:val="24"/>
          <w:rtl/>
        </w:rPr>
        <w:t>ה</w:t>
      </w:r>
      <w:r w:rsidRPr="00D91130">
        <w:rPr>
          <w:rFonts w:hint="cs"/>
          <w:sz w:val="24"/>
          <w:rtl/>
        </w:rPr>
        <w:t xml:space="preserve">זו על </w:t>
      </w:r>
      <w:r>
        <w:rPr>
          <w:rFonts w:hint="cs"/>
          <w:sz w:val="24"/>
          <w:rtl/>
        </w:rPr>
        <w:t xml:space="preserve">מחקר </w:t>
      </w:r>
      <w:r w:rsidRPr="00D91130">
        <w:rPr>
          <w:rFonts w:hint="cs"/>
          <w:sz w:val="24"/>
          <w:rtl/>
        </w:rPr>
        <w:t xml:space="preserve">שבוצע במסגרת מכון </w:t>
      </w:r>
      <w:r>
        <w:rPr>
          <w:rFonts w:hint="cs"/>
          <w:sz w:val="24"/>
          <w:rtl/>
        </w:rPr>
        <w:t xml:space="preserve">מחקר ישראלי </w:t>
      </w:r>
      <w:r w:rsidRPr="00D91130">
        <w:rPr>
          <w:rFonts w:hint="cs"/>
          <w:sz w:val="24"/>
          <w:rtl/>
        </w:rPr>
        <w:t xml:space="preserve">בנושא השפעות נזקי האקלים על הצמיחה המקרו-כלכלית בישראל עד שנת 2050 (להלן - </w:t>
      </w:r>
      <w:r>
        <w:rPr>
          <w:rFonts w:hint="cs"/>
          <w:sz w:val="24"/>
          <w:rtl/>
        </w:rPr>
        <w:t>מחקר המכון</w:t>
      </w:r>
      <w:r w:rsidRPr="00D91130">
        <w:rPr>
          <w:rFonts w:hint="cs"/>
          <w:sz w:val="24"/>
          <w:rtl/>
        </w:rPr>
        <w:t>)</w:t>
      </w:r>
      <w:r>
        <w:rPr>
          <w:sz w:val="24"/>
          <w:vertAlign w:val="superscript"/>
          <w:rtl/>
        </w:rPr>
        <w:footnoteReference w:id="31"/>
      </w:r>
      <w:r w:rsidRPr="00D91130">
        <w:rPr>
          <w:rFonts w:hint="cs"/>
          <w:sz w:val="24"/>
          <w:rtl/>
        </w:rPr>
        <w:t>, שהעריך את ההשפעה בירידה של</w:t>
      </w:r>
      <w:r>
        <w:rPr>
          <w:rFonts w:hint="cs"/>
          <w:sz w:val="24"/>
          <w:rtl/>
        </w:rPr>
        <w:t xml:space="preserve"> </w:t>
      </w:r>
      <w:r w:rsidRPr="00D91130">
        <w:rPr>
          <w:sz w:val="24"/>
          <w:rtl/>
        </w:rPr>
        <w:t xml:space="preserve">כ-1.15% </w:t>
      </w:r>
      <w:r>
        <w:rPr>
          <w:rFonts w:hint="cs"/>
          <w:sz w:val="24"/>
          <w:rtl/>
        </w:rPr>
        <w:t xml:space="preserve">של </w:t>
      </w:r>
      <w:r>
        <w:rPr>
          <w:rFonts w:hint="cs"/>
          <w:sz w:val="24"/>
          <w:rtl/>
        </w:rPr>
        <w:t>התמ"ג</w:t>
      </w:r>
      <w:r>
        <w:rPr>
          <w:rFonts w:hint="cs"/>
          <w:sz w:val="24"/>
          <w:rtl/>
        </w:rPr>
        <w:t xml:space="preserve"> </w:t>
      </w:r>
      <w:r w:rsidRPr="00D91130">
        <w:rPr>
          <w:sz w:val="24"/>
          <w:rtl/>
        </w:rPr>
        <w:t>עד שנת 2050</w:t>
      </w:r>
      <w:r w:rsidRPr="00D91130">
        <w:rPr>
          <w:rFonts w:hint="cs"/>
          <w:sz w:val="24"/>
          <w:rtl/>
        </w:rPr>
        <w:t xml:space="preserve"> </w:t>
      </w:r>
      <w:r w:rsidRPr="00703BF5">
        <w:rPr>
          <w:rFonts w:hint="cs"/>
          <w:rtl/>
        </w:rPr>
        <w:t xml:space="preserve">במקרה של </w:t>
      </w:r>
      <w:r w:rsidRPr="00703BF5">
        <w:t>BAU</w:t>
      </w:r>
      <w:r w:rsidRPr="00D91130">
        <w:rPr>
          <w:rFonts w:hint="cs"/>
          <w:sz w:val="24"/>
          <w:rtl/>
        </w:rPr>
        <w:t xml:space="preserve">. הערכה זו מבוססת על עבודת מחקר כלכלית </w:t>
      </w:r>
      <w:r>
        <w:rPr>
          <w:rFonts w:hint="cs"/>
          <w:sz w:val="24"/>
          <w:rtl/>
        </w:rPr>
        <w:t>בדב</w:t>
      </w:r>
      <w:r w:rsidRPr="00D91130">
        <w:rPr>
          <w:rFonts w:hint="cs"/>
          <w:sz w:val="24"/>
          <w:rtl/>
        </w:rPr>
        <w:t xml:space="preserve">ר </w:t>
      </w:r>
      <w:r w:rsidRPr="00D91130">
        <w:rPr>
          <w:sz w:val="24"/>
          <w:rtl/>
        </w:rPr>
        <w:t xml:space="preserve">תחזיות אובדן </w:t>
      </w:r>
      <w:r w:rsidRPr="00D91130">
        <w:rPr>
          <w:sz w:val="24"/>
          <w:rtl/>
        </w:rPr>
        <w:t>התמ"ג</w:t>
      </w:r>
      <w:r w:rsidRPr="00D91130">
        <w:rPr>
          <w:sz w:val="24"/>
          <w:rtl/>
        </w:rPr>
        <w:t xml:space="preserve"> לנפש</w:t>
      </w:r>
      <w:r w:rsidRPr="00D91130">
        <w:rPr>
          <w:rFonts w:hint="cs"/>
          <w:sz w:val="24"/>
          <w:rtl/>
        </w:rPr>
        <w:t xml:space="preserve"> ב-174 מדינות (להלן - </w:t>
      </w:r>
      <w:r>
        <w:rPr>
          <w:rFonts w:hint="cs"/>
          <w:sz w:val="24"/>
          <w:rtl/>
        </w:rPr>
        <w:t>מחקר השפעות שינויי האקלים על 174 מדינות</w:t>
      </w:r>
      <w:r w:rsidRPr="00D91130">
        <w:rPr>
          <w:rFonts w:hint="cs"/>
          <w:sz w:val="24"/>
          <w:rtl/>
        </w:rPr>
        <w:t>)</w:t>
      </w:r>
      <w:r>
        <w:rPr>
          <w:sz w:val="24"/>
          <w:vertAlign w:val="superscript"/>
          <w:rtl/>
        </w:rPr>
        <w:footnoteReference w:id="32"/>
      </w:r>
      <w:r w:rsidRPr="00D91130">
        <w:rPr>
          <w:rFonts w:hint="cs"/>
          <w:sz w:val="24"/>
          <w:rtl/>
        </w:rPr>
        <w:t>. האגף</w:t>
      </w:r>
      <w:r w:rsidRPr="00D91130">
        <w:rPr>
          <w:sz w:val="24"/>
          <w:rtl/>
        </w:rPr>
        <w:t xml:space="preserve"> </w:t>
      </w:r>
      <w:r w:rsidRPr="00D91130">
        <w:rPr>
          <w:rFonts w:hint="cs"/>
          <w:sz w:val="24"/>
          <w:rtl/>
        </w:rPr>
        <w:t>לא הציג הערכות מתוקפות שביצע בעצמו</w:t>
      </w:r>
      <w:r>
        <w:rPr>
          <w:rFonts w:hint="cs"/>
          <w:sz w:val="24"/>
          <w:rtl/>
        </w:rPr>
        <w:t xml:space="preserve"> ולא ביצע סקר על מחקרים שנעשו בנושא האמור,</w:t>
      </w:r>
      <w:r w:rsidRPr="00D91130">
        <w:rPr>
          <w:sz w:val="24"/>
          <w:rtl/>
        </w:rPr>
        <w:t xml:space="preserve"> </w:t>
      </w:r>
      <w:r w:rsidRPr="00D91130">
        <w:rPr>
          <w:rFonts w:hint="cs"/>
          <w:sz w:val="24"/>
          <w:rtl/>
        </w:rPr>
        <w:t>ו</w:t>
      </w:r>
      <w:r>
        <w:rPr>
          <w:rFonts w:hint="cs"/>
          <w:sz w:val="24"/>
          <w:rtl/>
        </w:rPr>
        <w:t xml:space="preserve">הוא </w:t>
      </w:r>
      <w:r w:rsidRPr="00D91130">
        <w:rPr>
          <w:sz w:val="24"/>
          <w:rtl/>
        </w:rPr>
        <w:t xml:space="preserve">מסר כי </w:t>
      </w:r>
      <w:r w:rsidRPr="00D91130">
        <w:rPr>
          <w:rFonts w:hint="cs"/>
          <w:sz w:val="24"/>
          <w:rtl/>
        </w:rPr>
        <w:t xml:space="preserve">הוא </w:t>
      </w:r>
      <w:r w:rsidRPr="00D91130">
        <w:rPr>
          <w:sz w:val="24"/>
          <w:rtl/>
        </w:rPr>
        <w:t xml:space="preserve">מתבסס על </w:t>
      </w:r>
      <w:r w:rsidRPr="00D91130">
        <w:rPr>
          <w:rFonts w:hint="cs"/>
          <w:sz w:val="24"/>
          <w:rtl/>
        </w:rPr>
        <w:t xml:space="preserve">דוח </w:t>
      </w:r>
      <w:r>
        <w:rPr>
          <w:rFonts w:hint="cs"/>
          <w:sz w:val="24"/>
          <w:rtl/>
        </w:rPr>
        <w:t xml:space="preserve">מחקר המכון </w:t>
      </w:r>
      <w:r>
        <w:rPr>
          <w:rFonts w:hint="cs"/>
          <w:rtl/>
        </w:rPr>
        <w:t>שממנו הסיק כי</w:t>
      </w:r>
      <w:r>
        <w:rPr>
          <w:rtl/>
        </w:rPr>
        <w:t xml:space="preserve"> ההשפעה של שינוי</w:t>
      </w:r>
      <w:r>
        <w:rPr>
          <w:rFonts w:hint="cs"/>
          <w:rtl/>
        </w:rPr>
        <w:t>י</w:t>
      </w:r>
      <w:r>
        <w:rPr>
          <w:rtl/>
        </w:rPr>
        <w:t xml:space="preserve"> </w:t>
      </w:r>
      <w:r>
        <w:rPr>
          <w:rFonts w:hint="cs"/>
          <w:rtl/>
        </w:rPr>
        <w:t>ה</w:t>
      </w:r>
      <w:r>
        <w:rPr>
          <w:rtl/>
        </w:rPr>
        <w:t>אקלים</w:t>
      </w:r>
      <w:r>
        <w:rPr>
          <w:rFonts w:hint="cs"/>
          <w:rtl/>
        </w:rPr>
        <w:t xml:space="preserve"> על ישראל</w:t>
      </w:r>
      <w:r>
        <w:rPr>
          <w:rtl/>
        </w:rPr>
        <w:t xml:space="preserve"> </w:t>
      </w:r>
      <w:r>
        <w:rPr>
          <w:rFonts w:hint="cs"/>
          <w:rtl/>
        </w:rPr>
        <w:t xml:space="preserve">היא </w:t>
      </w:r>
      <w:r>
        <w:rPr>
          <w:rtl/>
        </w:rPr>
        <w:t>"מוגבלת ביותר"</w:t>
      </w:r>
      <w:r>
        <w:rPr>
          <w:rFonts w:hint="cs"/>
          <w:rtl/>
        </w:rPr>
        <w:t>.</w:t>
      </w:r>
    </w:p>
    <w:p w:rsidR="00F20E3F" w:rsidRPr="00C44928" w:rsidP="00C44928" w14:paraId="415A6C44" w14:textId="340EC75D">
      <w:pPr>
        <w:pStyle w:val="7111"/>
        <w:rPr>
          <w:rtl/>
        </w:rPr>
      </w:pPr>
      <w:r w:rsidRPr="00C44928">
        <w:rPr>
          <w:rFonts w:hint="cs"/>
          <w:rtl/>
        </w:rPr>
        <w:t>בדוח הקודם הוצגו נתונים ממחקר השפעות שינויי האקלים על 174 מדינות, אשר ניתח את ההשפעות האלו לפ</w:t>
      </w:r>
      <w:r w:rsidRPr="00C44928">
        <w:rPr>
          <w:rtl/>
        </w:rPr>
        <w:t>י שני תרחישים: (א) תרחיש</w:t>
      </w:r>
      <w:r w:rsidRPr="00C44928">
        <w:rPr>
          <w:rFonts w:hint="cs"/>
          <w:rtl/>
        </w:rPr>
        <w:t xml:space="preserve"> עסקים כרגיל (</w:t>
      </w:r>
      <w:r w:rsidRPr="00C44928">
        <w:t>BAU</w:t>
      </w:r>
      <w:r w:rsidRPr="00C44928">
        <w:rPr>
          <w:rFonts w:hint="cs"/>
          <w:rtl/>
        </w:rPr>
        <w:t xml:space="preserve">) - </w:t>
      </w:r>
      <w:r w:rsidRPr="00C44928">
        <w:rPr>
          <w:rtl/>
        </w:rPr>
        <w:t xml:space="preserve">היעדר פעילות </w:t>
      </w:r>
      <w:r w:rsidRPr="00C44928">
        <w:rPr>
          <w:rFonts w:hint="cs"/>
          <w:rtl/>
        </w:rPr>
        <w:t xml:space="preserve">נוספת </w:t>
      </w:r>
      <w:r w:rsidRPr="00C44928">
        <w:rPr>
          <w:rtl/>
        </w:rPr>
        <w:t xml:space="preserve">להפחתת פליטות </w:t>
      </w:r>
      <w:r w:rsidRPr="00C44928">
        <w:rPr>
          <w:rtl/>
        </w:rPr>
        <w:t>גז</w:t>
      </w:r>
      <w:r w:rsidRPr="00C44928">
        <w:rPr>
          <w:rFonts w:hint="cs"/>
          <w:rtl/>
        </w:rPr>
        <w:t>"ח</w:t>
      </w:r>
      <w:r w:rsidRPr="00C44928">
        <w:rPr>
          <w:rtl/>
        </w:rPr>
        <w:t xml:space="preserve"> (</w:t>
      </w:r>
      <w:r w:rsidRPr="00C44928">
        <w:rPr>
          <w:rFonts w:hint="cs"/>
          <w:rtl/>
        </w:rPr>
        <w:t xml:space="preserve">תרחיש </w:t>
      </w:r>
      <w:r w:rsidRPr="00C44928">
        <w:rPr>
          <w:rtl/>
        </w:rPr>
        <w:t xml:space="preserve">8.5 </w:t>
      </w:r>
      <w:r w:rsidRPr="00C44928">
        <w:t>RCP</w:t>
      </w:r>
      <w:r w:rsidRPr="00C44928">
        <w:rPr>
          <w:rtl/>
        </w:rPr>
        <w:t xml:space="preserve"> </w:t>
      </w:r>
      <w:r w:rsidRPr="00C44928">
        <w:rPr>
          <w:rFonts w:hint="cs"/>
          <w:rtl/>
        </w:rPr>
        <w:t xml:space="preserve">הינו תרחיש מחמיר </w:t>
      </w:r>
      <w:r w:rsidRPr="00C44928">
        <w:rPr>
          <w:rtl/>
        </w:rPr>
        <w:t xml:space="preserve">של עליית </w:t>
      </w:r>
      <w:r w:rsidRPr="00C44928">
        <w:rPr>
          <w:rFonts w:hint="cs"/>
          <w:rtl/>
        </w:rPr>
        <w:t>ה</w:t>
      </w:r>
      <w:r w:rsidRPr="00C44928">
        <w:rPr>
          <w:rtl/>
        </w:rPr>
        <w:t xml:space="preserve">טמפרטורה הרבה מעבר ליעדי הסכם פריז); (ב) תרחיש ולפיו יבוצעו פעולות להפחתת </w:t>
      </w:r>
      <w:r w:rsidRPr="00C44928">
        <w:rPr>
          <w:rtl/>
        </w:rPr>
        <w:t>גז"ח</w:t>
      </w:r>
      <w:r w:rsidRPr="00C44928">
        <w:rPr>
          <w:rFonts w:hint="cs"/>
          <w:rtl/>
        </w:rPr>
        <w:t xml:space="preserve"> - </w:t>
      </w:r>
      <w:r w:rsidRPr="00C44928">
        <w:rPr>
          <w:rtl/>
        </w:rPr>
        <w:t xml:space="preserve">תרחיש ה-2.6 </w:t>
      </w:r>
      <w:r w:rsidRPr="00C44928">
        <w:t>RCP</w:t>
      </w:r>
      <w:r w:rsidRPr="00C44928">
        <w:rPr>
          <w:rtl/>
        </w:rPr>
        <w:t xml:space="preserve"> להגבלת העלייה בטמפרטורה </w:t>
      </w:r>
      <w:r w:rsidRPr="00C44928">
        <w:rPr>
          <w:rFonts w:hint="cs"/>
          <w:rtl/>
        </w:rPr>
        <w:t>ל-</w:t>
      </w:r>
      <w:r w:rsidRPr="00C44928">
        <w:t>2</w:t>
      </w:r>
      <w:r w:rsidRPr="00C44928">
        <w:rPr>
          <w:rFonts w:hint="cs"/>
        </w:rPr>
        <w:t>°</w:t>
      </w:r>
      <w:r w:rsidRPr="00C44928">
        <w:t>C</w:t>
      </w:r>
      <w:r>
        <w:rPr>
          <w:rtl/>
        </w:rPr>
        <w:footnoteReference w:id="33"/>
      </w:r>
      <w:r w:rsidRPr="00C44928">
        <w:rPr>
          <w:rFonts w:hint="cs"/>
          <w:rtl/>
        </w:rPr>
        <w:t>. יצוין כי הגבלת ההתחממות הגלובלית ל-</w:t>
      </w:r>
      <w:r w:rsidRPr="00C44928">
        <w:t>1.5</w:t>
      </w:r>
      <w:r w:rsidRPr="00C44928">
        <w:rPr>
          <w:rFonts w:hint="cs"/>
        </w:rPr>
        <w:t>°</w:t>
      </w:r>
      <w:r w:rsidRPr="00C44928">
        <w:t>C</w:t>
      </w:r>
      <w:r w:rsidRPr="00C44928">
        <w:rPr>
          <w:rFonts w:hint="cs"/>
          <w:rtl/>
        </w:rPr>
        <w:t xml:space="preserve"> שאליה שואף</w:t>
      </w:r>
      <w:r w:rsidRPr="00C44928">
        <w:rPr>
          <w:rtl/>
        </w:rPr>
        <w:t xml:space="preserve"> הסכם פריז</w:t>
      </w:r>
      <w:r w:rsidRPr="00C44928">
        <w:rPr>
          <w:rFonts w:hint="cs"/>
          <w:rtl/>
        </w:rPr>
        <w:t xml:space="preserve"> תחייב לממש את תרחיש </w:t>
      </w:r>
      <w:r w:rsidRPr="00C44928">
        <w:t>RCP 1.9</w:t>
      </w:r>
      <w:r w:rsidRPr="00C44928">
        <w:rPr>
          <w:rFonts w:hint="cs"/>
          <w:rtl/>
        </w:rPr>
        <w:t xml:space="preserve"> באמצעות איפוס פחמני</w:t>
      </w:r>
      <w:r>
        <w:rPr>
          <w:rStyle w:val="FootnoteReference2"/>
          <w:vertAlign w:val="baseline"/>
          <w:rtl/>
        </w:rPr>
        <w:footnoteReference w:id="34"/>
      </w:r>
      <w:r w:rsidRPr="00C44928">
        <w:rPr>
          <w:rFonts w:hint="cs"/>
          <w:rtl/>
        </w:rPr>
        <w:t xml:space="preserve">. להלן בתרשים נתונים על אודות ישראל בעבודה זו: </w:t>
      </w:r>
    </w:p>
    <w:p w:rsidR="00F20E3F" w:rsidP="00981F98" w14:paraId="44F8438C" w14:textId="6221C1B7">
      <w:pPr>
        <w:pStyle w:val="733"/>
        <w:ind w:left="397"/>
        <w:rPr>
          <w:rtl/>
        </w:rPr>
      </w:pPr>
      <w:r w:rsidRPr="00981F98">
        <w:rPr>
          <w:rFonts w:hint="cs"/>
          <w:b w:val="0"/>
          <w:bCs w:val="0"/>
          <w:rtl/>
        </w:rPr>
        <w:t xml:space="preserve">תרשים 33: </w:t>
      </w:r>
      <w:r>
        <w:rPr>
          <w:rFonts w:hint="cs"/>
          <w:rtl/>
        </w:rPr>
        <w:t xml:space="preserve">שיעור </w:t>
      </w:r>
      <w:r w:rsidR="000F2903">
        <w:rPr>
          <w:rFonts w:hint="cs"/>
          <w:rtl/>
        </w:rPr>
        <w:t>השינוי</w:t>
      </w:r>
      <w:r w:rsidRPr="009E6A1D">
        <w:rPr>
          <w:rFonts w:hint="cs"/>
          <w:rtl/>
        </w:rPr>
        <w:t xml:space="preserve"> </w:t>
      </w:r>
      <w:r w:rsidR="000F2903">
        <w:rPr>
          <w:rFonts w:hint="cs"/>
          <w:rtl/>
        </w:rPr>
        <w:t>ב</w:t>
      </w:r>
      <w:r w:rsidRPr="009E6A1D">
        <w:rPr>
          <w:rFonts w:hint="cs"/>
          <w:rtl/>
        </w:rPr>
        <w:t>תמ"ג לנפש בישראל בתרחיש עסקים כרגיל (</w:t>
      </w:r>
      <w:r w:rsidRPr="00FB3A7C">
        <w:rPr>
          <w:sz w:val="22"/>
          <w:szCs w:val="22"/>
        </w:rPr>
        <w:t xml:space="preserve">RCP </w:t>
      </w:r>
      <w:r w:rsidRPr="00110F9F">
        <w:t>8.5</w:t>
      </w:r>
      <w:r w:rsidRPr="009E6A1D">
        <w:rPr>
          <w:rFonts w:hint="cs"/>
          <w:rtl/>
        </w:rPr>
        <w:t xml:space="preserve">) ובתרחיש </w:t>
      </w:r>
      <w:r>
        <w:rPr>
          <w:rFonts w:hint="cs"/>
          <w:rtl/>
        </w:rPr>
        <w:t>הגבלת ההתחממות ל-</w:t>
      </w:r>
      <w:r w:rsidRPr="007A4DCD">
        <w:t>2</w:t>
      </w:r>
      <w:r w:rsidRPr="007A4DCD">
        <w:rPr>
          <w:rFonts w:hint="cs"/>
        </w:rPr>
        <w:t>°</w:t>
      </w:r>
      <w:r w:rsidRPr="00FB3A7C">
        <w:rPr>
          <w:sz w:val="22"/>
          <w:szCs w:val="22"/>
        </w:rPr>
        <w:t>C</w:t>
      </w:r>
      <w:r w:rsidRPr="007A4DCD">
        <w:rPr>
          <w:rFonts w:hint="cs"/>
          <w:rtl/>
        </w:rPr>
        <w:t xml:space="preserve"> </w:t>
      </w:r>
      <w:r w:rsidRPr="009E6A1D">
        <w:rPr>
          <w:rFonts w:hint="cs"/>
          <w:rtl/>
        </w:rPr>
        <w:t>(</w:t>
      </w:r>
      <w:r w:rsidRPr="00FB3A7C">
        <w:rPr>
          <w:rFonts w:hint="cs"/>
          <w:sz w:val="22"/>
          <w:szCs w:val="22"/>
        </w:rPr>
        <w:t>RCP</w:t>
      </w:r>
      <w:r w:rsidRPr="00FB3A7C">
        <w:rPr>
          <w:sz w:val="22"/>
          <w:szCs w:val="22"/>
        </w:rPr>
        <w:t xml:space="preserve"> </w:t>
      </w:r>
      <w:r>
        <w:t>2.6</w:t>
      </w:r>
      <w:r>
        <w:rPr>
          <w:rFonts w:hint="cs"/>
          <w:rtl/>
        </w:rPr>
        <w:t>)</w:t>
      </w:r>
    </w:p>
    <w:p w:rsidR="00F20E3F" w:rsidP="00981F98" w14:paraId="03441958" w14:textId="77777777">
      <w:pPr>
        <w:spacing w:line="269" w:lineRule="auto"/>
        <w:ind w:left="397"/>
        <w:jc w:val="center"/>
        <w:rPr>
          <w:b/>
          <w:bCs/>
          <w:sz w:val="24"/>
          <w:rtl/>
        </w:rPr>
      </w:pPr>
      <w:r>
        <w:rPr>
          <w:noProof/>
        </w:rPr>
        <w:drawing>
          <wp:inline distT="0" distB="0" distL="0" distR="0">
            <wp:extent cx="4372377" cy="2523892"/>
            <wp:effectExtent l="0" t="0" r="0" b="0"/>
            <wp:docPr id="1049799578" name="תמונה 1049799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932251" name="תמונה 1049799578"/>
                    <pic:cNvPicPr/>
                  </pic:nvPicPr>
                  <pic:blipFill>
                    <a:blip xmlns:r="http://schemas.openxmlformats.org/officeDocument/2006/relationships" r:embed="rId36">
                      <a:extLst>
                        <a:ext xmlns:a="http://schemas.openxmlformats.org/drawingml/2006/main" uri="{28A0092B-C50C-407E-A947-70E740481C1C}">
                          <a14:useLocalDpi xmlns:a14="http://schemas.microsoft.com/office/drawing/2010/main" val="0"/>
                        </a:ext>
                      </a:extLst>
                    </a:blip>
                    <a:stretch>
                      <a:fillRect/>
                    </a:stretch>
                  </pic:blipFill>
                  <pic:spPr>
                    <a:xfrm>
                      <a:off x="0" y="0"/>
                      <a:ext cx="4404688" cy="2542543"/>
                    </a:xfrm>
                    <a:prstGeom prst="rect">
                      <a:avLst/>
                    </a:prstGeom>
                  </pic:spPr>
                </pic:pic>
              </a:graphicData>
            </a:graphic>
          </wp:inline>
        </w:drawing>
      </w:r>
    </w:p>
    <w:p w:rsidR="00F20E3F" w:rsidRPr="002F2907" w:rsidP="002F2907" w14:paraId="668D0362" w14:textId="632EFED4">
      <w:pPr>
        <w:pStyle w:val="737"/>
        <w:ind w:left="397"/>
        <w:rPr>
          <w:rtl/>
        </w:rPr>
      </w:pPr>
      <w:r w:rsidRPr="002F2907">
        <w:rPr>
          <w:rFonts w:hint="cs"/>
          <w:rtl/>
        </w:rPr>
        <w:t xml:space="preserve">המקור: נתוני מחקר </w:t>
      </w:r>
      <w:r w:rsidRPr="002F2907">
        <w:rPr>
          <w:rtl/>
        </w:rPr>
        <w:t xml:space="preserve">השפעות שינויי </w:t>
      </w:r>
      <w:r w:rsidRPr="002F2907">
        <w:rPr>
          <w:rFonts w:hint="cs"/>
          <w:rtl/>
        </w:rPr>
        <w:t>ה</w:t>
      </w:r>
      <w:r w:rsidRPr="002F2907">
        <w:rPr>
          <w:rtl/>
        </w:rPr>
        <w:t>אקלים על 174 מדינות</w:t>
      </w:r>
      <w:r w:rsidR="000F2903">
        <w:rPr>
          <w:rFonts w:hint="cs"/>
          <w:rtl/>
        </w:rPr>
        <w:t>, בעיבוד משרד מבקר המדינה</w:t>
      </w:r>
      <w:r w:rsidRPr="002F2907">
        <w:rPr>
          <w:rFonts w:hint="cs"/>
          <w:rtl/>
        </w:rPr>
        <w:t>.</w:t>
      </w:r>
    </w:p>
    <w:p w:rsidR="00F20E3F" w:rsidP="00703BF5" w14:paraId="4AC7AC35" w14:textId="0B3D6FD0">
      <w:pPr>
        <w:pStyle w:val="7316"/>
        <w:rPr>
          <w:rtl/>
        </w:rPr>
      </w:pPr>
      <w:r>
        <w:rPr>
          <w:rFonts w:hint="cs"/>
          <w:rtl/>
        </w:rPr>
        <w:t xml:space="preserve">הנתונים במחקר </w:t>
      </w:r>
      <w:r w:rsidRPr="00707E7A">
        <w:rPr>
          <w:rtl/>
        </w:rPr>
        <w:t xml:space="preserve">השפעות שינויי </w:t>
      </w:r>
      <w:r>
        <w:rPr>
          <w:rFonts w:hint="cs"/>
          <w:rtl/>
        </w:rPr>
        <w:t>ה</w:t>
      </w:r>
      <w:r w:rsidRPr="00707E7A">
        <w:rPr>
          <w:rtl/>
        </w:rPr>
        <w:t>אקלים על 174 מדינות</w:t>
      </w:r>
      <w:r>
        <w:rPr>
          <w:rFonts w:hint="cs"/>
          <w:rtl/>
        </w:rPr>
        <w:t xml:space="preserve"> מלמדים ש</w:t>
      </w:r>
      <w:r w:rsidRPr="00BC524D">
        <w:rPr>
          <w:rFonts w:hint="cs"/>
          <w:sz w:val="24"/>
          <w:rtl/>
        </w:rPr>
        <w:t>בתרחיש</w:t>
      </w:r>
      <w:r>
        <w:rPr>
          <w:rFonts w:hint="cs"/>
          <w:sz w:val="24"/>
          <w:rtl/>
        </w:rPr>
        <w:t xml:space="preserve"> עסקים כרגיל</w:t>
      </w:r>
      <w:r w:rsidRPr="00BC524D">
        <w:rPr>
          <w:rFonts w:hint="cs"/>
          <w:sz w:val="24"/>
          <w:rtl/>
        </w:rPr>
        <w:t xml:space="preserve"> צפויה פגיעה בתמ"ג לנפש בשיעור של 1.15%</w:t>
      </w:r>
      <w:r>
        <w:rPr>
          <w:rFonts w:hint="cs"/>
          <w:sz w:val="24"/>
          <w:rtl/>
        </w:rPr>
        <w:t xml:space="preserve"> עד </w:t>
      </w:r>
      <w:r w:rsidRPr="00BC524D">
        <w:rPr>
          <w:rFonts w:hint="cs"/>
          <w:sz w:val="24"/>
          <w:rtl/>
        </w:rPr>
        <w:t xml:space="preserve">2050, </w:t>
      </w:r>
      <w:r>
        <w:rPr>
          <w:rFonts w:hint="cs"/>
          <w:sz w:val="24"/>
          <w:rtl/>
        </w:rPr>
        <w:t>ואילו</w:t>
      </w:r>
      <w:r w:rsidRPr="00BC524D">
        <w:rPr>
          <w:rFonts w:hint="cs"/>
          <w:sz w:val="24"/>
          <w:rtl/>
        </w:rPr>
        <w:t xml:space="preserve"> בתרחיש יישום מדיניות </w:t>
      </w:r>
      <w:r>
        <w:rPr>
          <w:rFonts w:hint="cs"/>
          <w:sz w:val="24"/>
          <w:rtl/>
        </w:rPr>
        <w:t xml:space="preserve">שתגביל את </w:t>
      </w:r>
      <w:r w:rsidRPr="00703BF5">
        <w:rPr>
          <w:rFonts w:hint="cs"/>
          <w:rtl/>
        </w:rPr>
        <w:t>הטמפרטורה</w:t>
      </w:r>
      <w:r>
        <w:rPr>
          <w:rFonts w:hint="cs"/>
          <w:sz w:val="24"/>
          <w:rtl/>
        </w:rPr>
        <w:t xml:space="preserve"> ל</w:t>
      </w:r>
      <w:r w:rsidRPr="00703BF5">
        <w:rPr>
          <w:rFonts w:hint="cs"/>
          <w:rtl/>
        </w:rPr>
        <w:t>-</w:t>
      </w:r>
      <w:r w:rsidRPr="00703BF5">
        <w:t>C</w:t>
      </w:r>
      <w:r w:rsidRPr="00703BF5">
        <w:rPr>
          <w:rtl/>
        </w:rPr>
        <w:t>°</w:t>
      </w:r>
      <w:r w:rsidRPr="00703BF5">
        <w:t>2</w:t>
      </w:r>
      <w:r>
        <w:rPr>
          <w:sz w:val="24"/>
          <w:rtl/>
        </w:rPr>
        <w:t xml:space="preserve"> </w:t>
      </w:r>
      <w:r w:rsidRPr="00BC524D">
        <w:rPr>
          <w:rFonts w:hint="cs"/>
          <w:sz w:val="24"/>
          <w:rtl/>
        </w:rPr>
        <w:t xml:space="preserve">הדבר יעלה את </w:t>
      </w:r>
      <w:r w:rsidRPr="00BC524D">
        <w:rPr>
          <w:rFonts w:hint="cs"/>
          <w:sz w:val="24"/>
          <w:rtl/>
        </w:rPr>
        <w:t>התמ"ג</w:t>
      </w:r>
      <w:r w:rsidRPr="00BC524D">
        <w:rPr>
          <w:rFonts w:hint="cs"/>
          <w:sz w:val="24"/>
          <w:rtl/>
        </w:rPr>
        <w:t xml:space="preserve"> לנפש בשיעור של </w:t>
      </w:r>
      <w:r w:rsidR="000F2903">
        <w:rPr>
          <w:rFonts w:hint="cs"/>
          <w:sz w:val="24"/>
          <w:rtl/>
        </w:rPr>
        <w:t>0.24% בשנת 2050.</w:t>
      </w:r>
      <w:r w:rsidRPr="00BC524D">
        <w:rPr>
          <w:rFonts w:hint="cs"/>
          <w:sz w:val="24"/>
          <w:rtl/>
        </w:rPr>
        <w:t xml:space="preserve"> יודגש כי בתחשיבים האמורים לא נכללו תועלות נלוות נוספות להפחתת </w:t>
      </w:r>
      <w:r w:rsidRPr="00BC524D">
        <w:rPr>
          <w:rFonts w:hint="cs"/>
          <w:sz w:val="24"/>
          <w:rtl/>
        </w:rPr>
        <w:t>גז"ח</w:t>
      </w:r>
      <w:r w:rsidRPr="00BC524D">
        <w:rPr>
          <w:rFonts w:hint="cs"/>
          <w:sz w:val="24"/>
          <w:rtl/>
        </w:rPr>
        <w:t>, כמו התועלות</w:t>
      </w:r>
      <w:r w:rsidRPr="005C6787">
        <w:rPr>
          <w:rFonts w:hint="cs"/>
          <w:rtl/>
        </w:rPr>
        <w:t xml:space="preserve"> הנובעות ממזעור פליטת מזהמים</w:t>
      </w:r>
      <w:r>
        <w:rPr>
          <w:rFonts w:hint="cs"/>
          <w:rtl/>
        </w:rPr>
        <w:t>, גודש בתחבורה וכיו"ב</w:t>
      </w:r>
      <w:r>
        <w:rPr>
          <w:vertAlign w:val="superscript"/>
          <w:rtl/>
        </w:rPr>
        <w:footnoteReference w:id="35"/>
      </w:r>
      <w:r w:rsidRPr="005C6787">
        <w:rPr>
          <w:rFonts w:hint="cs"/>
          <w:rtl/>
        </w:rPr>
        <w:t>.</w:t>
      </w:r>
      <w:r>
        <w:rPr>
          <w:rFonts w:hint="cs"/>
          <w:rtl/>
        </w:rPr>
        <w:t xml:space="preserve"> </w:t>
      </w:r>
    </w:p>
    <w:p w:rsidR="00F20E3F" w:rsidRPr="00703BF5" w:rsidP="00703BF5" w14:paraId="6926436B" w14:textId="38CD5282">
      <w:pPr>
        <w:pStyle w:val="739"/>
        <w:rPr>
          <w:rtl/>
        </w:rPr>
      </w:pPr>
      <w:r w:rsidRPr="00703BF5">
        <w:rPr>
          <w:rFonts w:hint="cs"/>
          <w:rtl/>
        </w:rPr>
        <w:t>אגף התקציבים במשרד האוצר הוא הגורם המקצועי האחראי לניהול תקציב המדינה, אולם הביקורת העלתה כי אינו פועל לפי ההמלצות הבין-לאומיות שהובאו בעניין '</w:t>
      </w:r>
      <w:r w:rsidRPr="00703BF5">
        <w:rPr>
          <w:rFonts w:hint="cs"/>
          <w:rtl/>
        </w:rPr>
        <w:t>יירוק</w:t>
      </w:r>
      <w:r w:rsidRPr="00703BF5">
        <w:rPr>
          <w:rFonts w:hint="cs"/>
          <w:rtl/>
        </w:rPr>
        <w:t xml:space="preserve">' התקציב וניהול פיסקלי ירוק, וכי הוא לא ביצע הערכה כלכלית-פיסקלית בנוגע לעלויות האדפטציה להשפעות שינויי האקלים על המשק ועל הכלכלה הישראלית או בנוגע לעלויות להשגת יעדי הפחתת הפליטות עד שנת 2050. האגף גם לא פעל כדי לתקף את הנתונים על ישראל שעליהם הוא מסתמך. </w:t>
      </w:r>
    </w:p>
    <w:p w:rsidR="00F20E3F" w:rsidRPr="00703BF5" w:rsidP="00703BF5" w14:paraId="7BF55BB9" w14:textId="74933D0A">
      <w:pPr>
        <w:pStyle w:val="739"/>
        <w:rPr>
          <w:rtl/>
        </w:rPr>
      </w:pPr>
      <w:r w:rsidRPr="00703BF5">
        <w:rPr>
          <w:rFonts w:hint="cs"/>
          <w:rtl/>
        </w:rPr>
        <w:t xml:space="preserve">הישענותו של אגף התקציבים על מחקר המכון שכאמור העריך את ההשפעה הכלכלית בירידה של </w:t>
      </w:r>
      <w:r w:rsidRPr="00703BF5">
        <w:rPr>
          <w:rtl/>
        </w:rPr>
        <w:t xml:space="preserve">כ-1.15% </w:t>
      </w:r>
      <w:r w:rsidRPr="00703BF5" w:rsidR="00263F47">
        <w:rPr>
          <w:rFonts w:hint="cs"/>
          <w:rtl/>
        </w:rPr>
        <w:t xml:space="preserve">בלבד </w:t>
      </w:r>
      <w:r w:rsidRPr="00703BF5">
        <w:rPr>
          <w:rFonts w:hint="cs"/>
          <w:rtl/>
        </w:rPr>
        <w:t>מהתמ"ג</w:t>
      </w:r>
      <w:r w:rsidRPr="00703BF5">
        <w:rPr>
          <w:rFonts w:hint="cs"/>
          <w:rtl/>
        </w:rPr>
        <w:t xml:space="preserve"> </w:t>
      </w:r>
      <w:r w:rsidRPr="00703BF5">
        <w:rPr>
          <w:rtl/>
        </w:rPr>
        <w:t>עד שנת 2050</w:t>
      </w:r>
      <w:r w:rsidRPr="00703BF5">
        <w:rPr>
          <w:rFonts w:hint="cs"/>
          <w:rtl/>
        </w:rPr>
        <w:t xml:space="preserve"> במקרה של </w:t>
      </w:r>
      <w:r w:rsidRPr="00703BF5">
        <w:rPr>
          <w:rFonts w:hint="cs"/>
        </w:rPr>
        <w:t>BAU</w:t>
      </w:r>
      <w:r w:rsidRPr="00703BF5">
        <w:rPr>
          <w:rFonts w:hint="cs"/>
          <w:rtl/>
        </w:rPr>
        <w:t xml:space="preserve">, </w:t>
      </w:r>
      <w:r w:rsidRPr="00523140" w:rsidR="00523140">
        <w:rPr>
          <w:rtl/>
        </w:rPr>
        <w:t>וקביעותיו</w:t>
      </w:r>
      <w:r w:rsidRPr="00523140" w:rsidR="00523140">
        <w:rPr>
          <w:rFonts w:hint="cs"/>
          <w:rtl/>
        </w:rPr>
        <w:t xml:space="preserve"> </w:t>
      </w:r>
      <w:r w:rsidRPr="00703BF5">
        <w:rPr>
          <w:rFonts w:hint="cs"/>
          <w:rtl/>
        </w:rPr>
        <w:t>כי השפעת שינויי האקלים היא "מוגבלת ביותר", לא רק שאינן מתוקפות ומבוססות, הן גם מתעלמות מחלופות הפוגעות פחות בתמ"ג, כגון חלופת כלכלה דלת פחמן והגבלת עליית הטמפרטורה ל-</w:t>
      </w:r>
      <w:r w:rsidRPr="00703BF5">
        <w:t>2</w:t>
      </w:r>
      <w:r w:rsidRPr="00703BF5">
        <w:rPr>
          <w:rFonts w:hint="cs"/>
        </w:rPr>
        <w:t>°</w:t>
      </w:r>
      <w:r w:rsidRPr="00703BF5">
        <w:t>C</w:t>
      </w:r>
      <w:r w:rsidRPr="00703BF5">
        <w:rPr>
          <w:rtl/>
        </w:rPr>
        <w:t xml:space="preserve"> </w:t>
      </w:r>
      <w:r w:rsidRPr="00703BF5">
        <w:rPr>
          <w:rFonts w:hint="cs"/>
          <w:rtl/>
        </w:rPr>
        <w:t>(</w:t>
      </w:r>
      <w:r w:rsidRPr="00703BF5">
        <w:t>RCP 2.6</w:t>
      </w:r>
      <w:r w:rsidRPr="00703BF5">
        <w:rPr>
          <w:rFonts w:hint="cs"/>
          <w:rtl/>
        </w:rPr>
        <w:t xml:space="preserve">), המוצגות באופן עקבי במחקרים, לרבות במחקר </w:t>
      </w:r>
      <w:r w:rsidRPr="00703BF5">
        <w:rPr>
          <w:rtl/>
        </w:rPr>
        <w:t xml:space="preserve">המכון </w:t>
      </w:r>
      <w:r w:rsidRPr="00703BF5">
        <w:rPr>
          <w:rFonts w:hint="cs"/>
          <w:rtl/>
        </w:rPr>
        <w:t>שאליו התייחס</w:t>
      </w:r>
      <w:r>
        <w:rPr>
          <w:vertAlign w:val="superscript"/>
          <w:rtl/>
        </w:rPr>
        <w:footnoteReference w:id="36"/>
      </w:r>
      <w:r w:rsidRPr="00703BF5">
        <w:rPr>
          <w:rFonts w:hint="cs"/>
          <w:rtl/>
        </w:rPr>
        <w:t>. הישענות זו עשויה להטות באופן מובנה החלטות בנושא תקצוב פעולות אקלים כך שיתוקצבו בצמצום (כפי שהוצג בדוח הקודם ובמהלך ביקורת מעקב זו), אם בכלל, במקום לבססן על ניתוח עומק כלכלי-סביבתי, על בסיס הכלים המומלצים על ידי הארגונים שנסקרו לעיל של קואליציית שרי האקלים וארגון ה-</w:t>
      </w:r>
      <w:r w:rsidRPr="00703BF5">
        <w:rPr>
          <w:rFonts w:hint="cs"/>
        </w:rPr>
        <w:t>OECD</w:t>
      </w:r>
      <w:r w:rsidRPr="00703BF5">
        <w:rPr>
          <w:rFonts w:hint="cs"/>
          <w:rtl/>
        </w:rPr>
        <w:t xml:space="preserve"> ובשים לב לתרחישים המלמדים כי מדיניות להגבלת עליית הטמפרטורה ל-</w:t>
      </w:r>
      <w:r w:rsidRPr="00703BF5">
        <w:t>2</w:t>
      </w:r>
      <w:r w:rsidRPr="00703BF5">
        <w:rPr>
          <w:rFonts w:hint="cs"/>
        </w:rPr>
        <w:t>°</w:t>
      </w:r>
      <w:r w:rsidRPr="00703BF5">
        <w:t>C</w:t>
      </w:r>
      <w:r w:rsidRPr="00703BF5">
        <w:rPr>
          <w:rFonts w:hint="cs"/>
          <w:rtl/>
        </w:rPr>
        <w:t xml:space="preserve"> מצמצמ</w:t>
      </w:r>
      <w:r w:rsidR="005D776F">
        <w:rPr>
          <w:rFonts w:hint="cs"/>
          <w:rtl/>
        </w:rPr>
        <w:t>ת</w:t>
      </w:r>
      <w:r w:rsidRPr="00703BF5">
        <w:rPr>
          <w:rFonts w:hint="cs"/>
          <w:rtl/>
        </w:rPr>
        <w:t xml:space="preserve"> את הפגיעה בתמ"ג ביחס לתרחיש </w:t>
      </w:r>
      <w:r w:rsidRPr="00703BF5">
        <w:rPr>
          <w:rFonts w:hint="cs"/>
        </w:rPr>
        <w:t>BAU</w:t>
      </w:r>
      <w:r w:rsidRPr="00703BF5">
        <w:rPr>
          <w:rFonts w:hint="cs"/>
          <w:rtl/>
        </w:rPr>
        <w:t xml:space="preserve"> (לרבות ב</w:t>
      </w:r>
      <w:r w:rsidRPr="00703BF5">
        <w:rPr>
          <w:rtl/>
        </w:rPr>
        <w:t xml:space="preserve">מחקר השפעות שינויי </w:t>
      </w:r>
      <w:r w:rsidRPr="00703BF5">
        <w:rPr>
          <w:rFonts w:hint="cs"/>
          <w:rtl/>
        </w:rPr>
        <w:t>ה</w:t>
      </w:r>
      <w:r w:rsidRPr="00703BF5">
        <w:rPr>
          <w:rtl/>
        </w:rPr>
        <w:t>אקלים על 174 מדינות</w:t>
      </w:r>
      <w:r w:rsidRPr="00703BF5">
        <w:rPr>
          <w:rFonts w:hint="cs"/>
          <w:rtl/>
        </w:rPr>
        <w:t xml:space="preserve">). </w:t>
      </w:r>
    </w:p>
    <w:p w:rsidR="00F20E3F" w:rsidP="00C44928" w14:paraId="0ECCD214" w14:textId="77777777">
      <w:pPr>
        <w:pStyle w:val="734"/>
        <w:numPr>
          <w:ilvl w:val="1"/>
          <w:numId w:val="70"/>
        </w:numPr>
      </w:pPr>
      <w:r>
        <w:rPr>
          <w:rtl/>
        </w:rPr>
        <w:t>בספטמבר 2006 הוקמה המועצה הלאומית לכלכלה במשרד ראש הממשלה מכוח החלטת ממשלה</w:t>
      </w:r>
      <w:r>
        <w:rPr>
          <w:rFonts w:hint="cs"/>
          <w:rtl/>
        </w:rPr>
        <w:t xml:space="preserve"> שקבעה כי ייעודה הוא "</w:t>
      </w:r>
      <w:r>
        <w:rPr>
          <w:rtl/>
        </w:rPr>
        <w:t>לשמש גוף מטה לראש</w:t>
      </w:r>
      <w:r w:rsidRPr="00253AEB">
        <w:rPr>
          <w:rtl/>
        </w:rPr>
        <w:t xml:space="preserve"> הממשלה בנושאי</w:t>
      </w:r>
      <w:r>
        <w:rPr>
          <w:rtl/>
        </w:rPr>
        <w:t xml:space="preserve"> </w:t>
      </w:r>
      <w:r w:rsidRPr="00253AEB">
        <w:rPr>
          <w:rtl/>
        </w:rPr>
        <w:t>כלכלה,</w:t>
      </w:r>
      <w:r>
        <w:rPr>
          <w:rtl/>
        </w:rPr>
        <w:t xml:space="preserve"> </w:t>
      </w:r>
      <w:r w:rsidRPr="00253AEB">
        <w:rPr>
          <w:rtl/>
        </w:rPr>
        <w:t>במטרה לסייע</w:t>
      </w:r>
      <w:r>
        <w:rPr>
          <w:rtl/>
        </w:rPr>
        <w:t xml:space="preserve"> </w:t>
      </w:r>
      <w:r w:rsidRPr="00253AEB">
        <w:rPr>
          <w:rtl/>
        </w:rPr>
        <w:t>בתהליך</w:t>
      </w:r>
      <w:r>
        <w:rPr>
          <w:rtl/>
        </w:rPr>
        <w:t xml:space="preserve"> </w:t>
      </w:r>
      <w:r w:rsidRPr="00253AEB">
        <w:rPr>
          <w:rtl/>
        </w:rPr>
        <w:t>קבלת ההחלטות</w:t>
      </w:r>
      <w:r>
        <w:rPr>
          <w:rtl/>
        </w:rPr>
        <w:t xml:space="preserve"> </w:t>
      </w:r>
      <w:r w:rsidRPr="00253AEB">
        <w:rPr>
          <w:rtl/>
        </w:rPr>
        <w:t>בתחומים</w:t>
      </w:r>
      <w:r>
        <w:rPr>
          <w:rtl/>
        </w:rPr>
        <w:t xml:space="preserve"> </w:t>
      </w:r>
      <w:r w:rsidRPr="00253AEB">
        <w:rPr>
          <w:rtl/>
        </w:rPr>
        <w:t>אלו, בהתבסס על</w:t>
      </w:r>
      <w:r>
        <w:rPr>
          <w:rtl/>
        </w:rPr>
        <w:t xml:space="preserve"> </w:t>
      </w:r>
      <w:r w:rsidRPr="00253AEB">
        <w:rPr>
          <w:rtl/>
        </w:rPr>
        <w:t>ניתוחים מקצועיים,</w:t>
      </w:r>
      <w:r>
        <w:rPr>
          <w:rtl/>
        </w:rPr>
        <w:t xml:space="preserve"> </w:t>
      </w:r>
      <w:r w:rsidRPr="00253AEB">
        <w:rPr>
          <w:rtl/>
        </w:rPr>
        <w:t>נתונים</w:t>
      </w:r>
      <w:r>
        <w:rPr>
          <w:rtl/>
        </w:rPr>
        <w:t xml:space="preserve"> </w:t>
      </w:r>
      <w:r w:rsidRPr="00253AEB">
        <w:rPr>
          <w:rtl/>
        </w:rPr>
        <w:t>עד</w:t>
      </w:r>
      <w:r>
        <w:rPr>
          <w:rtl/>
        </w:rPr>
        <w:t>כניים וחשיבה שיטתית ארוכת טווח</w:t>
      </w:r>
      <w:r>
        <w:rPr>
          <w:rFonts w:hint="cs"/>
          <w:rtl/>
        </w:rPr>
        <w:t>"</w:t>
      </w:r>
      <w:r>
        <w:rPr>
          <w:rStyle w:val="FootnoteReference2"/>
          <w:rtl/>
        </w:rPr>
        <w:footnoteReference w:id="37"/>
      </w:r>
      <w:r>
        <w:rPr>
          <w:rtl/>
        </w:rPr>
        <w:t xml:space="preserve">. </w:t>
      </w:r>
      <w:r>
        <w:rPr>
          <w:rFonts w:hint="cs"/>
          <w:rtl/>
        </w:rPr>
        <w:t xml:space="preserve">המועצה רואה בין </w:t>
      </w:r>
      <w:r>
        <w:rPr>
          <w:rtl/>
        </w:rPr>
        <w:t>תפקידי</w:t>
      </w:r>
      <w:r>
        <w:rPr>
          <w:rFonts w:hint="cs"/>
          <w:rtl/>
        </w:rPr>
        <w:t>ה</w:t>
      </w:r>
      <w:r>
        <w:rPr>
          <w:rtl/>
        </w:rPr>
        <w:t xml:space="preserve"> </w:t>
      </w:r>
      <w:r>
        <w:rPr>
          <w:rFonts w:hint="cs"/>
          <w:rtl/>
        </w:rPr>
        <w:t>כ</w:t>
      </w:r>
      <w:r>
        <w:rPr>
          <w:rtl/>
        </w:rPr>
        <w:t>כוללים ייעוץ לראש הממשלה בנושאים כלכליים וגיבוש והובל</w:t>
      </w:r>
      <w:r>
        <w:rPr>
          <w:rFonts w:hint="cs"/>
          <w:rtl/>
        </w:rPr>
        <w:t>ה</w:t>
      </w:r>
      <w:r>
        <w:rPr>
          <w:rtl/>
        </w:rPr>
        <w:t xml:space="preserve"> </w:t>
      </w:r>
      <w:r>
        <w:rPr>
          <w:rFonts w:hint="cs"/>
          <w:rtl/>
        </w:rPr>
        <w:t xml:space="preserve">של </w:t>
      </w:r>
      <w:r>
        <w:rPr>
          <w:rtl/>
        </w:rPr>
        <w:t>תהליכים אסטרטגיים לקידום המשק והחברה הישראלית, בשיתוף משרדי הממשלה, רשויות וגופים פרטיים.</w:t>
      </w:r>
      <w:r>
        <w:rPr>
          <w:rFonts w:hint="cs"/>
          <w:rtl/>
        </w:rPr>
        <w:t xml:space="preserve"> </w:t>
      </w:r>
      <w:r w:rsidRPr="00071965">
        <w:rPr>
          <w:rtl/>
        </w:rPr>
        <w:t xml:space="preserve">החל </w:t>
      </w:r>
      <w:r>
        <w:rPr>
          <w:rFonts w:hint="cs"/>
          <w:rtl/>
        </w:rPr>
        <w:t>ב</w:t>
      </w:r>
      <w:r w:rsidRPr="00071965">
        <w:rPr>
          <w:rtl/>
        </w:rPr>
        <w:t>שנת 2012 המועצה מרכזת את עבודת הממשלה לקידום אסטרטגיה כלכלית-חברתית ממשלתית</w:t>
      </w:r>
      <w:r>
        <w:rPr>
          <w:rFonts w:hint="cs"/>
          <w:rtl/>
        </w:rPr>
        <w:t>, ובכלל זה היא</w:t>
      </w:r>
      <w:r w:rsidRPr="00071965">
        <w:rPr>
          <w:rtl/>
        </w:rPr>
        <w:t xml:space="preserve"> מרכזת עבודת מטה כלל</w:t>
      </w:r>
      <w:r>
        <w:rPr>
          <w:rFonts w:hint="cs"/>
          <w:rtl/>
        </w:rPr>
        <w:t>-</w:t>
      </w:r>
      <w:r w:rsidRPr="00071965">
        <w:rPr>
          <w:rtl/>
        </w:rPr>
        <w:t>ממשלתית לגיבוש הערכת מצב אסטרטגית כלכלית חברתית</w:t>
      </w:r>
      <w:r>
        <w:rPr>
          <w:rFonts w:hint="cs"/>
          <w:rtl/>
        </w:rPr>
        <w:t xml:space="preserve"> (להלן - הערכת מצב אסטרטגית)</w:t>
      </w:r>
      <w:r w:rsidRPr="00071965">
        <w:rPr>
          <w:rtl/>
        </w:rPr>
        <w:t xml:space="preserve"> המוצגת לכל ממשלה נכנסת בתחילת הקדנציה שלה. </w:t>
      </w:r>
    </w:p>
    <w:p w:rsidR="00F20E3F" w:rsidP="00703BF5" w14:paraId="62A40522" w14:textId="77777777">
      <w:pPr>
        <w:pStyle w:val="7316"/>
        <w:rPr>
          <w:rtl/>
        </w:rPr>
      </w:pPr>
      <w:r>
        <w:rPr>
          <w:rFonts w:hint="cs"/>
          <w:rtl/>
        </w:rPr>
        <w:t>בתגובה לדוח הקודם כתבה המועצה כאמור כי היא</w:t>
      </w:r>
      <w:r w:rsidRPr="00BC1582">
        <w:rPr>
          <w:rtl/>
        </w:rPr>
        <w:t xml:space="preserve"> </w:t>
      </w:r>
      <w:r>
        <w:rPr>
          <w:rFonts w:hint="cs"/>
          <w:rtl/>
        </w:rPr>
        <w:t>"</w:t>
      </w:r>
      <w:r w:rsidRPr="00BC1582">
        <w:rPr>
          <w:rtl/>
        </w:rPr>
        <w:t>מאמצת את ההמלצה</w:t>
      </w:r>
      <w:r>
        <w:rPr>
          <w:rFonts w:hint="cs"/>
          <w:rtl/>
        </w:rPr>
        <w:t>" של הדוח הקודם לבצע הערכה מקרו-כלכלית, וכי היא "</w:t>
      </w:r>
      <w:r w:rsidRPr="00BC1582">
        <w:rPr>
          <w:rtl/>
        </w:rPr>
        <w:t>פעלה לקידום הנושא בהערכת המצב האסטרטגית</w:t>
      </w:r>
      <w:r>
        <w:rPr>
          <w:rFonts w:hint="cs"/>
          <w:rtl/>
        </w:rPr>
        <w:t>".</w:t>
      </w:r>
      <w:r w:rsidRPr="00336FBB">
        <w:rPr>
          <w:rFonts w:hint="cs"/>
          <w:rtl/>
        </w:rPr>
        <w:t xml:space="preserve"> </w:t>
      </w:r>
      <w:r>
        <w:rPr>
          <w:rFonts w:hint="cs"/>
          <w:rtl/>
        </w:rPr>
        <w:t xml:space="preserve">הערכת המצב שגובשה </w:t>
      </w:r>
      <w:r>
        <w:rPr>
          <w:rtl/>
        </w:rPr>
        <w:t xml:space="preserve">כללה התייחסות למשבר האקלים והמלצות לפעולה, </w:t>
      </w:r>
      <w:r>
        <w:rPr>
          <w:rFonts w:hint="cs"/>
          <w:rtl/>
        </w:rPr>
        <w:t xml:space="preserve">אולם היא </w:t>
      </w:r>
      <w:r>
        <w:rPr>
          <w:rtl/>
        </w:rPr>
        <w:t xml:space="preserve">לא הובאה לאישור הממשלה ה-36, </w:t>
      </w:r>
      <w:r>
        <w:rPr>
          <w:rFonts w:hint="cs"/>
          <w:rtl/>
        </w:rPr>
        <w:t>לפי המועצה "</w:t>
      </w:r>
      <w:r>
        <w:rPr>
          <w:rtl/>
        </w:rPr>
        <w:t>בשל אי מינויו של ראש המועצה הלאומית לכלכלה בממשלה ה-36</w:t>
      </w:r>
      <w:r>
        <w:rPr>
          <w:rFonts w:hint="cs"/>
          <w:rtl/>
        </w:rPr>
        <w:t>"</w:t>
      </w:r>
      <w:r>
        <w:rPr>
          <w:rtl/>
        </w:rPr>
        <w:t xml:space="preserve">. </w:t>
      </w:r>
      <w:r>
        <w:rPr>
          <w:rFonts w:hint="cs"/>
          <w:rtl/>
        </w:rPr>
        <w:t>המועצה ציינה עוד כי במהלך הביקורת, ביוני 2023,</w:t>
      </w:r>
      <w:r>
        <w:rPr>
          <w:rtl/>
        </w:rPr>
        <w:t xml:space="preserve"> </w:t>
      </w:r>
      <w:r>
        <w:rPr>
          <w:rFonts w:hint="cs"/>
          <w:rtl/>
        </w:rPr>
        <w:t xml:space="preserve">היא </w:t>
      </w:r>
      <w:r>
        <w:rPr>
          <w:rtl/>
        </w:rPr>
        <w:t>החלה לגבש את הערכת המצב העדכנית</w:t>
      </w:r>
      <w:r>
        <w:rPr>
          <w:rFonts w:hint="cs"/>
          <w:rtl/>
        </w:rPr>
        <w:t>, שבמס</w:t>
      </w:r>
      <w:r>
        <w:rPr>
          <w:rtl/>
        </w:rPr>
        <w:t>גרת</w:t>
      </w:r>
      <w:r>
        <w:rPr>
          <w:rFonts w:hint="cs"/>
          <w:rtl/>
        </w:rPr>
        <w:t>ה</w:t>
      </w:r>
      <w:r>
        <w:rPr>
          <w:rtl/>
        </w:rPr>
        <w:t xml:space="preserve"> נע</w:t>
      </w:r>
      <w:r>
        <w:rPr>
          <w:rFonts w:hint="cs"/>
          <w:rtl/>
        </w:rPr>
        <w:t>שה</w:t>
      </w:r>
      <w:r>
        <w:rPr>
          <w:rtl/>
        </w:rPr>
        <w:t xml:space="preserve"> הליך שיתוף הציבור ונשמעו משרדי הממשלה השונים</w:t>
      </w:r>
      <w:r>
        <w:rPr>
          <w:rFonts w:hint="cs"/>
          <w:rtl/>
        </w:rPr>
        <w:t>, ומהם עלה</w:t>
      </w:r>
      <w:r>
        <w:rPr>
          <w:rtl/>
        </w:rPr>
        <w:t xml:space="preserve"> כי </w:t>
      </w:r>
      <w:r>
        <w:rPr>
          <w:rFonts w:hint="cs"/>
          <w:rtl/>
        </w:rPr>
        <w:t>"</w:t>
      </w:r>
      <w:r>
        <w:rPr>
          <w:rtl/>
        </w:rPr>
        <w:t>נושא האקלים מהווה נושא מרכזי מבין הסוגיות האסטרטגיות שעלו בפני המועצה, וסביר כי הוא ישולב בהערכת המצב הקרובה, כפי ששולב בהערכת המצב הקודמת</w:t>
      </w:r>
      <w:r>
        <w:rPr>
          <w:rFonts w:hint="cs"/>
          <w:rtl/>
        </w:rPr>
        <w:t>"</w:t>
      </w:r>
      <w:r>
        <w:rPr>
          <w:rtl/>
        </w:rPr>
        <w:t>.</w:t>
      </w:r>
      <w:r w:rsidRPr="00640ED4">
        <w:rPr>
          <w:rFonts w:hint="cs"/>
          <w:rtl/>
        </w:rPr>
        <w:t xml:space="preserve"> </w:t>
      </w:r>
      <w:r>
        <w:rPr>
          <w:rFonts w:hint="cs"/>
          <w:rtl/>
        </w:rPr>
        <w:t xml:space="preserve">יצוין כי הערכת מצב אסטרטגית מציגה </w:t>
      </w:r>
      <w:r w:rsidRPr="00336FBB">
        <w:rPr>
          <w:rtl/>
        </w:rPr>
        <w:t>מיפוי של המצב הכלכלי-חברתי של מדינת ישראל, מטרת</w:t>
      </w:r>
      <w:r>
        <w:rPr>
          <w:rFonts w:hint="cs"/>
          <w:rtl/>
        </w:rPr>
        <w:t xml:space="preserve">ה </w:t>
      </w:r>
      <w:r w:rsidRPr="00336FBB">
        <w:rPr>
          <w:rtl/>
        </w:rPr>
        <w:t>להציג לממשלה הנכנסת תמונת מצב</w:t>
      </w:r>
      <w:r>
        <w:rPr>
          <w:rFonts w:hint="cs"/>
          <w:rtl/>
        </w:rPr>
        <w:t>, ואין מדובר בהערכת עומק של ניתוח כלכלי של נושא כפי שנעשה בפרויקטים של המועצה.</w:t>
      </w:r>
    </w:p>
    <w:p w:rsidR="00F20E3F" w:rsidP="00703BF5" w14:paraId="4965C836" w14:textId="77777777">
      <w:pPr>
        <w:pStyle w:val="7316"/>
        <w:rPr>
          <w:rtl/>
        </w:rPr>
      </w:pPr>
      <w:r>
        <w:rPr>
          <w:rFonts w:hint="cs"/>
          <w:rtl/>
        </w:rPr>
        <w:t>המועצה הלאומית לכלכלה ציינה ביוני 2023 את כוונתה להתניע "</w:t>
      </w:r>
      <w:r>
        <w:rPr>
          <w:rtl/>
        </w:rPr>
        <w:t xml:space="preserve">בימים אלו עבודה לכימות העלות (משקית ותקציבית) והתועלת (בהפחתת פליטות </w:t>
      </w:r>
      <w:r>
        <w:rPr>
          <w:rtl/>
        </w:rPr>
        <w:t>פד"ח</w:t>
      </w:r>
      <w:r>
        <w:rPr>
          <w:rtl/>
        </w:rPr>
        <w:t>) של צעדי מדיניות שונים להשגת יעדי הפחתת הפליטות שהציבה הממשלה</w:t>
      </w:r>
      <w:r>
        <w:rPr>
          <w:rFonts w:hint="cs"/>
          <w:rtl/>
        </w:rPr>
        <w:t>",</w:t>
      </w:r>
      <w:r>
        <w:rPr>
          <w:rtl/>
        </w:rPr>
        <w:t xml:space="preserve"> </w:t>
      </w:r>
      <w:r>
        <w:rPr>
          <w:rFonts w:hint="cs"/>
          <w:rtl/>
        </w:rPr>
        <w:t>שבה תבחן</w:t>
      </w:r>
      <w:r>
        <w:rPr>
          <w:rtl/>
        </w:rPr>
        <w:t xml:space="preserve"> צעדי מדיניות שונים, </w:t>
      </w:r>
      <w:r>
        <w:rPr>
          <w:rFonts w:hint="cs"/>
          <w:rtl/>
        </w:rPr>
        <w:t>בארבעה</w:t>
      </w:r>
      <w:r>
        <w:rPr>
          <w:rtl/>
        </w:rPr>
        <w:t xml:space="preserve"> תחומים שהוגדרו בהחלטת </w:t>
      </w:r>
      <w:r>
        <w:rPr>
          <w:rFonts w:hint="cs"/>
          <w:rtl/>
        </w:rPr>
        <w:t>ה</w:t>
      </w:r>
      <w:r>
        <w:rPr>
          <w:rtl/>
        </w:rPr>
        <w:t>ממשלה 171</w:t>
      </w:r>
      <w:r>
        <w:rPr>
          <w:rFonts w:hint="cs"/>
          <w:rtl/>
        </w:rPr>
        <w:t xml:space="preserve"> (</w:t>
      </w:r>
      <w:r>
        <w:rPr>
          <w:rtl/>
        </w:rPr>
        <w:t>אנרגייה</w:t>
      </w:r>
      <w:r>
        <w:rPr>
          <w:rtl/>
        </w:rPr>
        <w:t>, תעשייה, תחבורה ופסולת</w:t>
      </w:r>
      <w:r>
        <w:rPr>
          <w:rFonts w:hint="cs"/>
          <w:rtl/>
        </w:rPr>
        <w:t>) ותבדוק את</w:t>
      </w:r>
      <w:r>
        <w:rPr>
          <w:rtl/>
        </w:rPr>
        <w:t xml:space="preserve"> </w:t>
      </w:r>
      <w:r>
        <w:rPr>
          <w:rFonts w:hint="cs"/>
          <w:rtl/>
        </w:rPr>
        <w:t>ה</w:t>
      </w:r>
      <w:r>
        <w:rPr>
          <w:rtl/>
        </w:rPr>
        <w:t>כדאיות.</w:t>
      </w:r>
    </w:p>
    <w:p w:rsidR="00F20E3F" w:rsidRPr="00703BF5" w:rsidP="00703BF5" w14:paraId="60BE97CE" w14:textId="77777777">
      <w:pPr>
        <w:pStyle w:val="739"/>
      </w:pPr>
      <w:r w:rsidRPr="00703BF5">
        <w:rPr>
          <w:rFonts w:hint="cs"/>
          <w:rtl/>
        </w:rPr>
        <w:t xml:space="preserve">ביקורת המעקב העלתה כי גם המועצה הלאומית לכלכלה לא ביצעה הערכה כלכלית בנושא שינויי האקלים, אף שלמועצה מנדט לעסוק בסוגיות כלכליות ארוכות טווח. עוד עלה כי נכון ליולי 2023, כשנה וחצי לאחר פרסום הדוח הקודם בנושא האקלים, המועצה לא הציגה לפני ממשלת ישראל הערכת מצב אסטרטגית עם התייחסות לנושא האקלים, בין היתר בשל אי-מינוי ראש מועצה במשך כשנה וחצי (מאמצע 2021 עד ינואר 2023). </w:t>
      </w:r>
    </w:p>
    <w:p w:rsidR="00F20E3F" w:rsidRPr="005C3074" w:rsidP="00C44928" w14:paraId="0AD2B206" w14:textId="77777777">
      <w:pPr>
        <w:pStyle w:val="734"/>
        <w:numPr>
          <w:ilvl w:val="1"/>
          <w:numId w:val="71"/>
        </w:numPr>
        <w:rPr>
          <w:b/>
          <w:bCs/>
          <w:rtl/>
        </w:rPr>
      </w:pPr>
      <w:r>
        <w:rPr>
          <w:rFonts w:hint="cs"/>
          <w:rtl/>
        </w:rPr>
        <w:t xml:space="preserve">חטיבת המחקר בבנק ישראל </w:t>
      </w:r>
      <w:r>
        <w:rPr>
          <w:rtl/>
        </w:rPr>
        <w:t>מלווה את הפעילות המקצועית בבנק בתחום המדיניות המוניטרית, בייעוץ הכלכלי לממשלה ובתחום הפיננסי. פעילות החטיבה מסייעת לנגיד בגיבוש המלצות מדיניות ובהערכת המדיניות של הממשלה.</w:t>
      </w:r>
      <w:r>
        <w:rPr>
          <w:rFonts w:hint="cs"/>
          <w:rtl/>
        </w:rPr>
        <w:t xml:space="preserve"> </w:t>
      </w:r>
      <w:r>
        <w:rPr>
          <w:rtl/>
        </w:rPr>
        <w:t xml:space="preserve">תוצאות הניתוח השוטף, המחקר וההערכות מובאות </w:t>
      </w:r>
      <w:r>
        <w:rPr>
          <w:rFonts w:hint="cs"/>
          <w:rtl/>
        </w:rPr>
        <w:t>ל</w:t>
      </w:r>
      <w:r>
        <w:rPr>
          <w:rtl/>
        </w:rPr>
        <w:t xml:space="preserve">פני מקבלי ההחלטות בבנק ישראל ובכללם הוועדה המוניטרית </w:t>
      </w:r>
      <w:r>
        <w:rPr>
          <w:rFonts w:hint="cs"/>
          <w:rtl/>
        </w:rPr>
        <w:t xml:space="preserve">ולפני מקבלי ההחלטות </w:t>
      </w:r>
      <w:r>
        <w:rPr>
          <w:rtl/>
        </w:rPr>
        <w:t>במשרדי הממשלה, בגופים רגולטוריים בתחום הפיננסי, בוועדות הכנסת ו</w:t>
      </w:r>
      <w:r>
        <w:rPr>
          <w:rFonts w:hint="cs"/>
          <w:rtl/>
        </w:rPr>
        <w:t>ל</w:t>
      </w:r>
      <w:r>
        <w:rPr>
          <w:rtl/>
        </w:rPr>
        <w:t xml:space="preserve">פני הציבור הרחב. הן מסייעות בהבנת תהליכים כלכליים, בזיהוי מגמות וסיכונים, בבחינה של הצעות מדיניות, בגיבוש המדיניות במשרד האוצר ובמשרדי הממשלה האחרים </w:t>
      </w:r>
      <w:r>
        <w:rPr>
          <w:rFonts w:hint="cs"/>
          <w:rtl/>
        </w:rPr>
        <w:t>ו</w:t>
      </w:r>
      <w:r>
        <w:rPr>
          <w:rtl/>
        </w:rPr>
        <w:t>בבניית תקציב המדינה.</w:t>
      </w:r>
      <w:r>
        <w:rPr>
          <w:rFonts w:hint="cs"/>
          <w:rtl/>
        </w:rPr>
        <w:t xml:space="preserve"> </w:t>
      </w:r>
      <w:r w:rsidRPr="00EE352C">
        <w:rPr>
          <w:rtl/>
        </w:rPr>
        <w:t xml:space="preserve">אף שהחטיבה עוסקת בהיבטים שונים הנוגעים לשינויי </w:t>
      </w:r>
      <w:r>
        <w:rPr>
          <w:rFonts w:hint="cs"/>
          <w:rtl/>
        </w:rPr>
        <w:t>ה</w:t>
      </w:r>
      <w:r w:rsidRPr="00EE352C">
        <w:rPr>
          <w:rtl/>
        </w:rPr>
        <w:t xml:space="preserve">אקלים (כמו מס פחמן וטביעת הרגל הפחמנית של סקטור התחבורה), </w:t>
      </w:r>
      <w:r w:rsidRPr="00EE352C">
        <w:rPr>
          <w:rFonts w:hint="cs"/>
          <w:rtl/>
        </w:rPr>
        <w:t xml:space="preserve">היא טרם גיבשה ניתוח כלכלי על השפעות ארוכות טווח של שינויי </w:t>
      </w:r>
      <w:r>
        <w:rPr>
          <w:rFonts w:hint="cs"/>
          <w:rtl/>
        </w:rPr>
        <w:t>ה</w:t>
      </w:r>
      <w:r w:rsidRPr="00EE352C">
        <w:rPr>
          <w:rFonts w:hint="cs"/>
          <w:rtl/>
        </w:rPr>
        <w:t>אקלים.</w:t>
      </w:r>
      <w:r>
        <w:rPr>
          <w:rFonts w:hint="cs"/>
          <w:b/>
          <w:bCs/>
          <w:rtl/>
        </w:rPr>
        <w:t xml:space="preserve"> </w:t>
      </w:r>
    </w:p>
    <w:p w:rsidR="00F20E3F" w:rsidRPr="00703BF5" w:rsidP="00703BF5" w14:paraId="50045124" w14:textId="77777777">
      <w:pPr>
        <w:pStyle w:val="7317"/>
        <w:rPr>
          <w:rtl/>
        </w:rPr>
      </w:pPr>
      <w:r w:rsidRPr="00703BF5">
        <w:rPr>
          <w:rFonts w:hint="cs"/>
          <w:rtl/>
        </w:rPr>
        <w:t>בדוח הקודם עלה ש</w:t>
      </w:r>
      <w:r w:rsidRPr="00703BF5">
        <w:rPr>
          <w:rtl/>
        </w:rPr>
        <w:t>אף גוף ממשלתי כלכלי או גורם האמון על תחזיות מקרו-כלכליות בישראל</w:t>
      </w:r>
      <w:r w:rsidRPr="00703BF5">
        <w:rPr>
          <w:rFonts w:hint="cs"/>
          <w:rtl/>
        </w:rPr>
        <w:t>, כמו</w:t>
      </w:r>
      <w:r w:rsidRPr="00703BF5">
        <w:rPr>
          <w:rtl/>
        </w:rPr>
        <w:t xml:space="preserve"> משרד האוצר והמועצה הלאומית לכלכלה</w:t>
      </w:r>
      <w:r w:rsidRPr="00703BF5">
        <w:rPr>
          <w:rFonts w:hint="cs"/>
          <w:rtl/>
        </w:rPr>
        <w:t>,</w:t>
      </w:r>
      <w:r w:rsidRPr="00703BF5">
        <w:rPr>
          <w:rtl/>
        </w:rPr>
        <w:t xml:space="preserve"> לא ביצע הערכה לאומית בנוגע להשפעות </w:t>
      </w:r>
      <w:r w:rsidRPr="00703BF5">
        <w:rPr>
          <w:rFonts w:hint="cs"/>
          <w:rtl/>
        </w:rPr>
        <w:t xml:space="preserve">הכלכליות </w:t>
      </w:r>
      <w:r w:rsidRPr="00703BF5">
        <w:rPr>
          <w:rtl/>
        </w:rPr>
        <w:t>של שינויי האקלים</w:t>
      </w:r>
      <w:r w:rsidRPr="00703BF5">
        <w:rPr>
          <w:rFonts w:hint="cs"/>
          <w:rtl/>
        </w:rPr>
        <w:t xml:space="preserve"> על ישראל</w:t>
      </w:r>
      <w:r w:rsidRPr="00703BF5">
        <w:rPr>
          <w:rtl/>
        </w:rPr>
        <w:t xml:space="preserve"> לטווח הארוך</w:t>
      </w:r>
      <w:r w:rsidRPr="00703BF5">
        <w:rPr>
          <w:rFonts w:hint="cs"/>
          <w:rtl/>
        </w:rPr>
        <w:t>.</w:t>
      </w:r>
      <w:r w:rsidRPr="00703BF5">
        <w:rPr>
          <w:rtl/>
        </w:rPr>
        <w:t xml:space="preserve"> </w:t>
      </w:r>
      <w:r w:rsidRPr="00703BF5">
        <w:rPr>
          <w:rFonts w:hint="cs"/>
          <w:rtl/>
        </w:rPr>
        <w:t xml:space="preserve">ביקורת המעקב העלתה כי כשנה וחצי לאחר פרסום הדוח הקודם עדיין </w:t>
      </w:r>
      <w:r w:rsidRPr="00703BF5">
        <w:rPr>
          <w:rFonts w:hint="eastAsia"/>
          <w:rtl/>
        </w:rPr>
        <w:t>אף</w:t>
      </w:r>
      <w:r w:rsidRPr="00703BF5">
        <w:rPr>
          <w:rtl/>
        </w:rPr>
        <w:t xml:space="preserve"> אחד מהגורמים האמונים </w:t>
      </w:r>
      <w:r w:rsidRPr="00703BF5">
        <w:rPr>
          <w:rFonts w:hint="eastAsia"/>
          <w:rtl/>
        </w:rPr>
        <w:t>האמורים</w:t>
      </w:r>
      <w:r w:rsidRPr="00703BF5">
        <w:rPr>
          <w:rtl/>
        </w:rPr>
        <w:t xml:space="preserve">, </w:t>
      </w:r>
      <w:r w:rsidRPr="00703BF5">
        <w:rPr>
          <w:rFonts w:hint="eastAsia"/>
          <w:rtl/>
        </w:rPr>
        <w:t>ובראשם</w:t>
      </w:r>
      <w:r w:rsidRPr="00703BF5">
        <w:rPr>
          <w:rtl/>
        </w:rPr>
        <w:t xml:space="preserve"> </w:t>
      </w:r>
      <w:r w:rsidRPr="00703BF5">
        <w:rPr>
          <w:rFonts w:hint="eastAsia"/>
          <w:rtl/>
        </w:rPr>
        <w:t>משרד</w:t>
      </w:r>
      <w:r w:rsidRPr="00703BF5">
        <w:rPr>
          <w:rtl/>
        </w:rPr>
        <w:t xml:space="preserve"> </w:t>
      </w:r>
      <w:r w:rsidRPr="00703BF5">
        <w:rPr>
          <w:rFonts w:hint="eastAsia"/>
          <w:rtl/>
        </w:rPr>
        <w:t>האוצר</w:t>
      </w:r>
      <w:r w:rsidRPr="00703BF5">
        <w:rPr>
          <w:rFonts w:hint="cs"/>
          <w:rtl/>
        </w:rPr>
        <w:t>, המועצה הלאומית לכלכלה ובנק ישראל, לא גיבש הערכה כלכלית-פיסקלית לאומית כאמור, הקשורה בשינויי האקלים ובנקיטת מדיניות אקלים (</w:t>
      </w:r>
      <w:r w:rsidRPr="00703BF5">
        <w:rPr>
          <w:rFonts w:hint="cs"/>
          <w:rtl/>
        </w:rPr>
        <w:t>מיטיגציה</w:t>
      </w:r>
      <w:r w:rsidRPr="00703BF5">
        <w:rPr>
          <w:rFonts w:hint="cs"/>
          <w:rtl/>
        </w:rPr>
        <w:t xml:space="preserve"> ואדפטציה) - בטווח הארוך או הבינוני. </w:t>
      </w:r>
      <w:r w:rsidRPr="00703BF5">
        <w:rPr>
          <w:rtl/>
        </w:rPr>
        <w:t>ביצוע הערכ</w:t>
      </w:r>
      <w:r w:rsidRPr="00703BF5">
        <w:rPr>
          <w:rFonts w:hint="cs"/>
          <w:rtl/>
        </w:rPr>
        <w:t>ה כלכלית-פיסקלית לאומית אחודה ומתוקפת עבור כל הממשלה</w:t>
      </w:r>
      <w:r w:rsidRPr="00703BF5">
        <w:rPr>
          <w:rtl/>
        </w:rPr>
        <w:t xml:space="preserve"> ה</w:t>
      </w:r>
      <w:r w:rsidRPr="00703BF5">
        <w:rPr>
          <w:rFonts w:hint="cs"/>
          <w:rtl/>
        </w:rPr>
        <w:t>וא</w:t>
      </w:r>
      <w:r w:rsidRPr="00703BF5">
        <w:rPr>
          <w:rtl/>
        </w:rPr>
        <w:t xml:space="preserve"> כלי חשוב לצמצום חוסר הוודאות </w:t>
      </w:r>
      <w:r w:rsidRPr="00703BF5">
        <w:rPr>
          <w:rFonts w:hint="cs"/>
          <w:rtl/>
        </w:rPr>
        <w:t>ו</w:t>
      </w:r>
      <w:r w:rsidRPr="00703BF5">
        <w:rPr>
          <w:rtl/>
        </w:rPr>
        <w:t xml:space="preserve">לצורך קבלת החלטות ועיצוב </w:t>
      </w:r>
      <w:r w:rsidRPr="00703BF5">
        <w:rPr>
          <w:rFonts w:hint="cs"/>
          <w:rtl/>
        </w:rPr>
        <w:t>מושכל של</w:t>
      </w:r>
      <w:r w:rsidRPr="00703BF5">
        <w:rPr>
          <w:rtl/>
        </w:rPr>
        <w:t xml:space="preserve"> מדיניות</w:t>
      </w:r>
      <w:r w:rsidRPr="00703BF5">
        <w:rPr>
          <w:rFonts w:hint="cs"/>
          <w:rtl/>
        </w:rPr>
        <w:t xml:space="preserve"> אקלים</w:t>
      </w:r>
      <w:r w:rsidRPr="00703BF5">
        <w:rPr>
          <w:rtl/>
        </w:rPr>
        <w:t xml:space="preserve"> </w:t>
      </w:r>
      <w:r w:rsidRPr="00703BF5">
        <w:rPr>
          <w:rFonts w:hint="cs"/>
          <w:rtl/>
        </w:rPr>
        <w:t>ב</w:t>
      </w:r>
      <w:r w:rsidRPr="00703BF5">
        <w:rPr>
          <w:rtl/>
        </w:rPr>
        <w:t>ישראל</w:t>
      </w:r>
      <w:r w:rsidRPr="00703BF5">
        <w:rPr>
          <w:rFonts w:hint="cs"/>
          <w:rtl/>
        </w:rPr>
        <w:t>. הדבר עשוי לקדם את ישראל לעבר עיסוק בתקצוב ירוק, שכאמור, לפי קואליציית שרי האוצר וארגון ה-</w:t>
      </w:r>
      <w:r w:rsidRPr="00703BF5">
        <w:rPr>
          <w:rFonts w:hint="cs"/>
        </w:rPr>
        <w:t>OEC</w:t>
      </w:r>
      <w:r w:rsidRPr="00703BF5">
        <w:t>D</w:t>
      </w:r>
      <w:r w:rsidRPr="00703BF5">
        <w:rPr>
          <w:rFonts w:hint="cs"/>
          <w:rtl/>
        </w:rPr>
        <w:t xml:space="preserve"> עוסקות בכך מדינות מפותחות ומתפתחות. </w:t>
      </w:r>
    </w:p>
    <w:p w:rsidR="00F20E3F" w:rsidRPr="00703BF5" w:rsidP="00703BF5" w14:paraId="50A9BE6C" w14:textId="76D714F5">
      <w:pPr>
        <w:pStyle w:val="7317"/>
        <w:rPr>
          <w:rtl/>
        </w:rPr>
      </w:pPr>
      <w:r w:rsidRPr="00703BF5">
        <w:rPr>
          <w:rFonts w:hint="cs"/>
          <w:rtl/>
        </w:rPr>
        <w:t xml:space="preserve">מומלץ כי משרד האוצר ייזום ויוביל מחקר עומק לניתוח ההשפעות הכלכליות-פיסקליות ארוכות הטווח הכולל הערכות של עלויות ההיערכות לשינויי האקלים בישראל ועלויות נקיטת אמצעי </w:t>
      </w:r>
      <w:r w:rsidRPr="00703BF5">
        <w:rPr>
          <w:rFonts w:hint="cs"/>
          <w:rtl/>
        </w:rPr>
        <w:t>מיטיגציה</w:t>
      </w:r>
      <w:r w:rsidRPr="00703BF5">
        <w:rPr>
          <w:rFonts w:hint="cs"/>
          <w:rtl/>
        </w:rPr>
        <w:t xml:space="preserve"> להשגת יעדים לאומיים בעניין</w:t>
      </w:r>
      <w:r w:rsidR="00523140">
        <w:rPr>
          <w:rFonts w:hint="cs"/>
          <w:rtl/>
        </w:rPr>
        <w:t xml:space="preserve"> </w:t>
      </w:r>
      <w:r w:rsidRPr="00523140" w:rsidR="00523140">
        <w:rPr>
          <w:rtl/>
        </w:rPr>
        <w:t>וכן עלויות של אי-נקיטת אמצעים אלו</w:t>
      </w:r>
      <w:r w:rsidR="00FE1225">
        <w:rPr>
          <w:rFonts w:hint="cs"/>
          <w:rtl/>
        </w:rPr>
        <w:t>.</w:t>
      </w:r>
      <w:r w:rsidRPr="00703BF5">
        <w:rPr>
          <w:rFonts w:hint="cs"/>
          <w:rtl/>
        </w:rPr>
        <w:t xml:space="preserve"> זאת לפי תרחישי מדיניות אקלים שונים ובשים לב למחקרים כלכליים ולהערכות שכבר בוצעו בעניין, כמו הערכות המשרד </w:t>
      </w:r>
      <w:r w:rsidRPr="00703BF5">
        <w:rPr>
          <w:rFonts w:hint="cs"/>
          <w:rtl/>
        </w:rPr>
        <w:t>להג"ס</w:t>
      </w:r>
      <w:r w:rsidRPr="00703BF5">
        <w:rPr>
          <w:rFonts w:hint="cs"/>
          <w:rtl/>
        </w:rPr>
        <w:t>, ובשים לב למחקרים כלכליים עולמיים עדכניים ולהמלצות הבין-לאומיות של ארגון ה-</w:t>
      </w:r>
      <w:r w:rsidRPr="00703BF5">
        <w:rPr>
          <w:rFonts w:hint="cs"/>
        </w:rPr>
        <w:t>OECD</w:t>
      </w:r>
      <w:r w:rsidRPr="00703BF5">
        <w:rPr>
          <w:rFonts w:hint="cs"/>
          <w:rtl/>
        </w:rPr>
        <w:t>, קואליציית שרי האוצר וה-</w:t>
      </w:r>
      <w:r w:rsidRPr="00703BF5">
        <w:rPr>
          <w:rFonts w:hint="cs"/>
        </w:rPr>
        <w:t>IMF</w:t>
      </w:r>
      <w:r w:rsidRPr="00703BF5">
        <w:rPr>
          <w:rFonts w:hint="cs"/>
          <w:rtl/>
        </w:rPr>
        <w:t xml:space="preserve"> המיועדות למשרדי אוצר. מסקנות המחקר ישמשו בסיס להערכה כלכלית-פיסקלית לאומית מנחה ומתוקפת. בהכנת הערכה זו ובתיקופה ראוי כי משרד האוצר ישתף את המועצה הלאומית לכלכלה, בנק ישראל, המשרד </w:t>
      </w:r>
      <w:r w:rsidRPr="00703BF5">
        <w:rPr>
          <w:rFonts w:hint="cs"/>
          <w:rtl/>
        </w:rPr>
        <w:t>להג"ס</w:t>
      </w:r>
      <w:r w:rsidRPr="00703BF5">
        <w:rPr>
          <w:rFonts w:hint="cs"/>
          <w:rtl/>
        </w:rPr>
        <w:t xml:space="preserve">, משרד </w:t>
      </w:r>
      <w:r w:rsidRPr="00703BF5">
        <w:rPr>
          <w:rFonts w:hint="cs"/>
          <w:rtl/>
        </w:rPr>
        <w:t>האנרגייה</w:t>
      </w:r>
      <w:r w:rsidRPr="00703BF5">
        <w:rPr>
          <w:rFonts w:hint="cs"/>
          <w:rtl/>
        </w:rPr>
        <w:t xml:space="preserve"> </w:t>
      </w:r>
      <w:r w:rsidRPr="00703BF5">
        <w:rPr>
          <w:rFonts w:hint="cs"/>
          <w:rtl/>
        </w:rPr>
        <w:t>והשמ"ט</w:t>
      </w:r>
      <w:r w:rsidRPr="00703BF5">
        <w:rPr>
          <w:rFonts w:hint="cs"/>
          <w:rtl/>
        </w:rPr>
        <w:t xml:space="preserve"> (לצורך הגדרת תרחישי ייחוס), וכן יבקש </w:t>
      </w:r>
      <w:r w:rsidRPr="00703BF5">
        <w:rPr>
          <w:rFonts w:hint="cs"/>
          <w:rtl/>
        </w:rPr>
        <w:t>ויאגם</w:t>
      </w:r>
      <w:r w:rsidRPr="00703BF5">
        <w:rPr>
          <w:rFonts w:hint="cs"/>
          <w:rtl/>
        </w:rPr>
        <w:t xml:space="preserve"> הערכות מכל המשרדים הממשלתיים והגופים הציבוריים שתשומותיהם רלוונטיות לגיבוש הערכה זו. עוד מומלץ כי משרד האוצר יפעל לכך שמהערכה זו ומתרחישי ייחוס אקלימיים ייגזרו משמעויות תקציביות, ועל בסיס אלו גם יתקבלו החלטות מדיניות בכל משרדי הממשלה, לרוחב המשק. לבסוף מוצע כי המועצה הלאומית לכלכלה תשלים את הערכת המצב</w:t>
      </w:r>
      <w:r w:rsidRPr="00C244DA">
        <w:rPr>
          <w:rFonts w:hint="cs"/>
          <w:b/>
          <w:bCs/>
          <w:sz w:val="24"/>
          <w:rtl/>
        </w:rPr>
        <w:t xml:space="preserve"> </w:t>
      </w:r>
      <w:r w:rsidRPr="00703BF5">
        <w:rPr>
          <w:rFonts w:hint="cs"/>
          <w:rtl/>
        </w:rPr>
        <w:t xml:space="preserve">האסטרטגית אשר תתייחס </w:t>
      </w:r>
      <w:r w:rsidRPr="00703BF5">
        <w:rPr>
          <w:rFonts w:hint="eastAsia"/>
          <w:rtl/>
        </w:rPr>
        <w:t>גם</w:t>
      </w:r>
      <w:r w:rsidRPr="00703BF5">
        <w:rPr>
          <w:rFonts w:hint="cs"/>
          <w:rtl/>
        </w:rPr>
        <w:t xml:space="preserve"> לשינויי אקלים ותביאה לדיון בממשלה.</w:t>
      </w:r>
    </w:p>
    <w:p w:rsidR="00F20E3F" w:rsidP="002F2907" w14:paraId="1AFB281A" w14:textId="77777777">
      <w:pPr>
        <w:pStyle w:val="7392"/>
        <w:rPr>
          <w:sz w:val="24"/>
          <w:rtl/>
        </w:rPr>
      </w:pPr>
      <w:r w:rsidRPr="00833DA7">
        <w:rPr>
          <w:rFonts w:hint="cs"/>
          <w:sz w:val="24"/>
          <w:rtl/>
        </w:rPr>
        <w:t>חטיבת המחקר בבנק ישראל מסרה למשרד מבקר המדינה בתשובתה מאוגוסט 2023 כי ההמלצה לעניין ביצוע הערכה כלכלית על השפעות שינויי האקלים על מדינת ישראל ברוכה</w:t>
      </w:r>
      <w:r>
        <w:rPr>
          <w:rFonts w:hint="cs"/>
          <w:sz w:val="24"/>
          <w:rtl/>
        </w:rPr>
        <w:t>,</w:t>
      </w:r>
      <w:r w:rsidRPr="00833DA7">
        <w:rPr>
          <w:rFonts w:hint="cs"/>
          <w:sz w:val="24"/>
          <w:rtl/>
        </w:rPr>
        <w:t xml:space="preserve"> </w:t>
      </w:r>
      <w:r>
        <w:rPr>
          <w:rFonts w:hint="cs"/>
          <w:sz w:val="24"/>
          <w:rtl/>
        </w:rPr>
        <w:t>וכי יש</w:t>
      </w:r>
      <w:r w:rsidRPr="00833DA7">
        <w:rPr>
          <w:rFonts w:hint="cs"/>
          <w:sz w:val="24"/>
          <w:rtl/>
        </w:rPr>
        <w:t xml:space="preserve"> לפעול בהתאם</w:t>
      </w:r>
      <w:r>
        <w:rPr>
          <w:rFonts w:hint="cs"/>
          <w:sz w:val="24"/>
          <w:rtl/>
        </w:rPr>
        <w:t xml:space="preserve"> לסדר הדברים שעליו המליץ בנק ישראל ואותו ביטא הנגיד בישיבת ממשלה בעניין</w:t>
      </w:r>
      <w:r w:rsidRPr="00833DA7">
        <w:rPr>
          <w:rFonts w:hint="cs"/>
          <w:sz w:val="24"/>
          <w:rtl/>
        </w:rPr>
        <w:t xml:space="preserve">. </w:t>
      </w:r>
      <w:r w:rsidRPr="00833DA7">
        <w:rPr>
          <w:sz w:val="24"/>
          <w:rtl/>
        </w:rPr>
        <w:t>השלב הראשון בניתוח צריך להיות עבודה מדעית</w:t>
      </w:r>
      <w:r>
        <w:rPr>
          <w:sz w:val="24"/>
          <w:rtl/>
        </w:rPr>
        <w:t xml:space="preserve"> </w:t>
      </w:r>
      <w:r w:rsidRPr="00833DA7">
        <w:rPr>
          <w:sz w:val="24"/>
          <w:rtl/>
        </w:rPr>
        <w:t>שתספק תחזית מבוססת מודל להשפעות הספציפיות של ההתחממות הגלובלית על אזורים</w:t>
      </w:r>
      <w:r>
        <w:rPr>
          <w:rFonts w:hint="cs"/>
          <w:sz w:val="24"/>
          <w:rtl/>
        </w:rPr>
        <w:t xml:space="preserve"> </w:t>
      </w:r>
      <w:r w:rsidRPr="00833DA7">
        <w:rPr>
          <w:sz w:val="24"/>
          <w:rtl/>
        </w:rPr>
        <w:t>שונים בישראל, ו</w:t>
      </w:r>
      <w:r>
        <w:rPr>
          <w:rFonts w:hint="cs"/>
          <w:sz w:val="24"/>
          <w:rtl/>
        </w:rPr>
        <w:t>ע</w:t>
      </w:r>
      <w:r w:rsidRPr="00833DA7">
        <w:rPr>
          <w:sz w:val="24"/>
          <w:rtl/>
        </w:rPr>
        <w:t>ל</w:t>
      </w:r>
      <w:r>
        <w:rPr>
          <w:rFonts w:hint="cs"/>
          <w:sz w:val="24"/>
          <w:rtl/>
        </w:rPr>
        <w:t xml:space="preserve"> ה</w:t>
      </w:r>
      <w:r w:rsidRPr="00833DA7">
        <w:rPr>
          <w:sz w:val="24"/>
          <w:rtl/>
        </w:rPr>
        <w:t>מדינה בכללותה</w:t>
      </w:r>
      <w:r>
        <w:rPr>
          <w:rFonts w:hint="cs"/>
          <w:sz w:val="24"/>
          <w:rtl/>
        </w:rPr>
        <w:t xml:space="preserve">, שכן </w:t>
      </w:r>
      <w:r w:rsidRPr="00833DA7">
        <w:rPr>
          <w:sz w:val="24"/>
          <w:rtl/>
        </w:rPr>
        <w:t>הדוחות הבי</w:t>
      </w:r>
      <w:r>
        <w:rPr>
          <w:rFonts w:hint="cs"/>
          <w:sz w:val="24"/>
          <w:rtl/>
        </w:rPr>
        <w:t>ן-</w:t>
      </w:r>
      <w:r w:rsidRPr="00833DA7">
        <w:rPr>
          <w:sz w:val="24"/>
          <w:rtl/>
        </w:rPr>
        <w:t>לאומיים אינם מספקים כיום</w:t>
      </w:r>
      <w:r>
        <w:rPr>
          <w:rFonts w:hint="cs"/>
          <w:sz w:val="24"/>
          <w:rtl/>
        </w:rPr>
        <w:t xml:space="preserve"> </w:t>
      </w:r>
      <w:r w:rsidRPr="00833DA7">
        <w:rPr>
          <w:sz w:val="24"/>
          <w:rtl/>
        </w:rPr>
        <w:t>נתונים ברזולוציה כזאת.</w:t>
      </w:r>
      <w:r>
        <w:rPr>
          <w:rFonts w:hint="cs"/>
          <w:sz w:val="24"/>
          <w:rtl/>
        </w:rPr>
        <w:t xml:space="preserve"> </w:t>
      </w:r>
      <w:r w:rsidRPr="00833DA7">
        <w:rPr>
          <w:sz w:val="24"/>
          <w:rtl/>
        </w:rPr>
        <w:t>על</w:t>
      </w:r>
      <w:r>
        <w:rPr>
          <w:rFonts w:hint="cs"/>
          <w:sz w:val="24"/>
          <w:rtl/>
        </w:rPr>
        <w:t xml:space="preserve"> </w:t>
      </w:r>
      <w:r w:rsidRPr="00833DA7">
        <w:rPr>
          <w:sz w:val="24"/>
          <w:rtl/>
        </w:rPr>
        <w:t xml:space="preserve">בסיס מודלים אלה ניתן יהיה להניע </w:t>
      </w:r>
      <w:r>
        <w:rPr>
          <w:rFonts w:hint="cs"/>
          <w:sz w:val="24"/>
          <w:rtl/>
        </w:rPr>
        <w:t xml:space="preserve">בשלב השני </w:t>
      </w:r>
      <w:r w:rsidRPr="00833DA7">
        <w:rPr>
          <w:sz w:val="24"/>
          <w:rtl/>
        </w:rPr>
        <w:t>עבודה מקצועית שתזהה מה הנזקים</w:t>
      </w:r>
      <w:r>
        <w:rPr>
          <w:rFonts w:hint="cs"/>
          <w:sz w:val="24"/>
          <w:rtl/>
        </w:rPr>
        <w:t xml:space="preserve"> </w:t>
      </w:r>
      <w:r w:rsidRPr="00833DA7">
        <w:rPr>
          <w:sz w:val="24"/>
          <w:rtl/>
        </w:rPr>
        <w:t>הצפויים בסביבה הפי</w:t>
      </w:r>
      <w:r>
        <w:rPr>
          <w:rFonts w:hint="cs"/>
          <w:sz w:val="24"/>
          <w:rtl/>
        </w:rPr>
        <w:t>ז</w:t>
      </w:r>
      <w:r w:rsidRPr="00833DA7">
        <w:rPr>
          <w:sz w:val="24"/>
          <w:rtl/>
        </w:rPr>
        <w:t xml:space="preserve">ית </w:t>
      </w:r>
      <w:r>
        <w:rPr>
          <w:rFonts w:hint="cs"/>
          <w:sz w:val="24"/>
          <w:rtl/>
        </w:rPr>
        <w:t>(</w:t>
      </w:r>
      <w:r w:rsidRPr="00833DA7">
        <w:rPr>
          <w:sz w:val="24"/>
          <w:rtl/>
        </w:rPr>
        <w:t xml:space="preserve">בין היתר, חקלאות, הצפות, </w:t>
      </w:r>
      <w:r w:rsidRPr="00833DA7">
        <w:rPr>
          <w:sz w:val="24"/>
          <w:rtl/>
        </w:rPr>
        <w:t>מידבור</w:t>
      </w:r>
      <w:r w:rsidRPr="00833DA7">
        <w:rPr>
          <w:sz w:val="24"/>
          <w:rtl/>
        </w:rPr>
        <w:t>, תשתיות, מגפות</w:t>
      </w:r>
      <w:r>
        <w:rPr>
          <w:rFonts w:hint="cs"/>
          <w:sz w:val="24"/>
          <w:rtl/>
        </w:rPr>
        <w:t>)</w:t>
      </w:r>
      <w:r w:rsidRPr="00833DA7">
        <w:rPr>
          <w:sz w:val="24"/>
          <w:rtl/>
        </w:rPr>
        <w:t>. הערכות</w:t>
      </w:r>
      <w:r>
        <w:rPr>
          <w:rFonts w:hint="cs"/>
          <w:sz w:val="24"/>
          <w:rtl/>
        </w:rPr>
        <w:t xml:space="preserve"> </w:t>
      </w:r>
      <w:r w:rsidRPr="00833DA7">
        <w:rPr>
          <w:sz w:val="24"/>
          <w:rtl/>
        </w:rPr>
        <w:t>מקצועיות אלה יאפשרו גם לגבש מדיניות הולמת שתשקלל את הנזקים הצפויים מול העלות</w:t>
      </w:r>
      <w:r>
        <w:rPr>
          <w:rFonts w:hint="cs"/>
          <w:sz w:val="24"/>
          <w:rtl/>
        </w:rPr>
        <w:t xml:space="preserve"> </w:t>
      </w:r>
      <w:r w:rsidRPr="00833DA7">
        <w:rPr>
          <w:sz w:val="24"/>
          <w:rtl/>
        </w:rPr>
        <w:t>הצפויה של הפתרונות.</w:t>
      </w:r>
    </w:p>
    <w:p w:rsidR="00F20E3F" w:rsidP="002F2907" w14:paraId="303E3261" w14:textId="77777777">
      <w:pPr>
        <w:pStyle w:val="7392"/>
        <w:rPr>
          <w:rtl/>
        </w:rPr>
      </w:pPr>
      <w:r>
        <w:rPr>
          <w:rFonts w:hint="cs"/>
          <w:rtl/>
        </w:rPr>
        <w:t>אגף התקציבים כתב בתשובתו כי כדי</w:t>
      </w:r>
      <w:r>
        <w:rPr>
          <w:rtl/>
        </w:rPr>
        <w:t xml:space="preserve"> להעריך את עלויות האדפטציה, יש לקבוע תרחישי ייחוס למשבר האקלים והשפעותיו בישראל</w:t>
      </w:r>
      <w:r>
        <w:rPr>
          <w:rFonts w:hint="cs"/>
          <w:rtl/>
        </w:rPr>
        <w:t>, ו</w:t>
      </w:r>
      <w:r>
        <w:rPr>
          <w:rtl/>
        </w:rPr>
        <w:t>אין זה בתחום מומחיותו לקבוע תרחישי ייחוס שכאלה</w:t>
      </w:r>
      <w:r>
        <w:rPr>
          <w:rFonts w:hint="cs"/>
          <w:rtl/>
        </w:rPr>
        <w:t>.</w:t>
      </w:r>
      <w:r>
        <w:rPr>
          <w:rtl/>
        </w:rPr>
        <w:t xml:space="preserve"> </w:t>
      </w:r>
      <w:r>
        <w:rPr>
          <w:rFonts w:hint="cs"/>
          <w:rtl/>
        </w:rPr>
        <w:t>אולם</w:t>
      </w:r>
      <w:r>
        <w:rPr>
          <w:rtl/>
        </w:rPr>
        <w:t xml:space="preserve"> לאור חשיבות</w:t>
      </w:r>
      <w:r>
        <w:rPr>
          <w:rFonts w:hint="cs"/>
          <w:rtl/>
        </w:rPr>
        <w:t xml:space="preserve"> העניין, </w:t>
      </w:r>
      <w:r>
        <w:rPr>
          <w:rtl/>
        </w:rPr>
        <w:t xml:space="preserve">משרד האוצר </w:t>
      </w:r>
      <w:r>
        <w:rPr>
          <w:rFonts w:hint="cs"/>
          <w:rtl/>
        </w:rPr>
        <w:t>משתתף</w:t>
      </w:r>
      <w:r>
        <w:rPr>
          <w:rtl/>
        </w:rPr>
        <w:t xml:space="preserve"> </w:t>
      </w:r>
      <w:r>
        <w:rPr>
          <w:rtl/>
        </w:rPr>
        <w:t>במ</w:t>
      </w:r>
      <w:r>
        <w:rPr>
          <w:rFonts w:hint="cs"/>
          <w:rtl/>
        </w:rPr>
        <w:t>י</w:t>
      </w:r>
      <w:r>
        <w:rPr>
          <w:rtl/>
        </w:rPr>
        <w:t>נהלת</w:t>
      </w:r>
      <w:r>
        <w:rPr>
          <w:rtl/>
        </w:rPr>
        <w:t xml:space="preserve"> שינויי אקלים שמוביל המשרד </w:t>
      </w:r>
      <w:r>
        <w:rPr>
          <w:rtl/>
        </w:rPr>
        <w:t>להג</w:t>
      </w:r>
      <w:r>
        <w:rPr>
          <w:rFonts w:hint="cs"/>
          <w:rtl/>
        </w:rPr>
        <w:t>"ס</w:t>
      </w:r>
      <w:r>
        <w:rPr>
          <w:rFonts w:hint="cs"/>
          <w:rtl/>
        </w:rPr>
        <w:t>,</w:t>
      </w:r>
      <w:r>
        <w:rPr>
          <w:rtl/>
        </w:rPr>
        <w:t xml:space="preserve"> ו</w:t>
      </w:r>
      <w:r>
        <w:rPr>
          <w:rFonts w:hint="cs"/>
          <w:rtl/>
        </w:rPr>
        <w:t>ב</w:t>
      </w:r>
      <w:r>
        <w:rPr>
          <w:rtl/>
        </w:rPr>
        <w:t xml:space="preserve">מסגרתה נעשית עבודה לקביעת תרחישי הייחוס ונבחנות עלויות האדפטציה של המשרדים השונים. </w:t>
      </w:r>
      <w:r>
        <w:rPr>
          <w:rFonts w:hint="cs"/>
          <w:rtl/>
        </w:rPr>
        <w:t>עוד הוסיף האגף כי "</w:t>
      </w:r>
      <w:r w:rsidRPr="00842896">
        <w:rPr>
          <w:rtl/>
        </w:rPr>
        <w:t>הערכת העלויות של יעדי הפליטות של 2050 צריכה להתבסס על תכנית פעולה לעמידה ביעדים אלו, ונכון לאוגוסט 2023 לא ידוע למשרד על תכנית פעולה מתוקפת או ישימה להגעה ליעדים שנקבעו בהחלטת ממשלה 171. ככל והמשרדים יציגו תכנית כאמור המשרד יבצע בחינה לעלותה</w:t>
      </w:r>
      <w:r>
        <w:rPr>
          <w:rFonts w:hint="cs"/>
          <w:rtl/>
        </w:rPr>
        <w:t>"</w:t>
      </w:r>
      <w:r w:rsidRPr="00842896">
        <w:rPr>
          <w:rtl/>
        </w:rPr>
        <w:t>.</w:t>
      </w:r>
    </w:p>
    <w:p w:rsidR="00F20E3F" w:rsidRPr="00702237" w:rsidP="002F2907" w14:paraId="5D1F9146" w14:textId="77777777">
      <w:pPr>
        <w:pStyle w:val="7392"/>
        <w:rPr>
          <w:b/>
          <w:bCs/>
          <w:rtl/>
        </w:rPr>
      </w:pPr>
      <w:r>
        <w:rPr>
          <w:rFonts w:hint="cs"/>
          <w:rtl/>
        </w:rPr>
        <w:t>משרד ראש הממשלה ציין בתשובתו ש</w:t>
      </w:r>
      <w:r>
        <w:rPr>
          <w:rtl/>
        </w:rPr>
        <w:t xml:space="preserve">המועצה הלאומית לכלכלה החלה </w:t>
      </w:r>
      <w:r>
        <w:rPr>
          <w:rFonts w:hint="cs"/>
          <w:rtl/>
        </w:rPr>
        <w:t xml:space="preserve">בביצוע </w:t>
      </w:r>
      <w:r>
        <w:rPr>
          <w:rtl/>
        </w:rPr>
        <w:t xml:space="preserve">עבודה בנושא ניתוח ההשפעות המקרו-כלכליות (הרחבות) </w:t>
      </w:r>
      <w:r>
        <w:rPr>
          <w:rFonts w:hint="cs"/>
          <w:rtl/>
        </w:rPr>
        <w:t>של</w:t>
      </w:r>
      <w:r>
        <w:rPr>
          <w:rtl/>
        </w:rPr>
        <w:t xml:space="preserve"> שינו</w:t>
      </w:r>
      <w:r>
        <w:rPr>
          <w:rFonts w:hint="cs"/>
          <w:rtl/>
        </w:rPr>
        <w:t>י</w:t>
      </w:r>
      <w:r>
        <w:rPr>
          <w:rtl/>
        </w:rPr>
        <w:t xml:space="preserve">י האקלים על ישראל לטווח הארוך. כמו כן המועצה הלאומית לכלכלה פועלת בימים אלה עם המשרדים הרלוונטיים על הערכה כלכלית בנושא עלות הפחתת </w:t>
      </w:r>
      <w:r>
        <w:rPr>
          <w:rtl/>
        </w:rPr>
        <w:t>גז</w:t>
      </w:r>
      <w:r>
        <w:rPr>
          <w:rFonts w:hint="cs"/>
          <w:rtl/>
        </w:rPr>
        <w:t>"ח</w:t>
      </w:r>
      <w:r>
        <w:rPr>
          <w:rtl/>
        </w:rPr>
        <w:t xml:space="preserve">, בהתאם לעלות השולית של כלים שונים בכל סקטור, וזאת במטרה למפות </w:t>
      </w:r>
      <w:r>
        <w:rPr>
          <w:rFonts w:hint="cs"/>
          <w:rtl/>
        </w:rPr>
        <w:t>ל</w:t>
      </w:r>
      <w:r>
        <w:rPr>
          <w:rtl/>
        </w:rPr>
        <w:t xml:space="preserve">פני מקבלי ההחלטות את האפשרויות השונות ואת העלות הנגזרת ליישום כל אחת מהאפשרויות. </w:t>
      </w:r>
    </w:p>
    <w:p w:rsidR="003824AD" w:rsidRPr="006C304E" w:rsidP="003824AD" w14:paraId="2AD986A3" w14:textId="77777777">
      <w:pPr>
        <w:pStyle w:val="0-"/>
        <w:rPr>
          <w:rtl/>
        </w:rPr>
      </w:pPr>
      <w:r w:rsidRPr="006C304E">
        <w:rPr>
          <w:rFonts w:hint="cs"/>
          <w:rtl/>
        </w:rPr>
        <w:t>מידת תיקון הליקוי</w:t>
      </w:r>
    </w:p>
    <w:p w:rsidR="003824AD" w:rsidRPr="006C304E" w:rsidP="00FB13B2" w14:paraId="760EEADC" w14:textId="77777777">
      <w:pPr>
        <w:spacing w:before="240" w:after="360"/>
        <w:jc w:val="center"/>
        <w:rPr>
          <w:rtl/>
        </w:rPr>
      </w:pPr>
      <w:r w:rsidRPr="006C304E">
        <w:rPr>
          <w:noProof/>
        </w:rPr>
        <w:drawing>
          <wp:inline distT="0" distB="0" distL="0" distR="0">
            <wp:extent cx="3960935" cy="740593"/>
            <wp:effectExtent l="0" t="0" r="0" b="0"/>
            <wp:docPr id="1237145517" name="תמונה 1237145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445133" name="תמונה 1986381801"/>
                    <pic:cNvPicPr/>
                  </pic:nvPicPr>
                  <pic:blipFill>
                    <a:blip xmlns:r="http://schemas.openxmlformats.org/officeDocument/2006/relationships" r:embed="rId37">
                      <a:extLst>
                        <a:ext xmlns:a="http://schemas.openxmlformats.org/drawingml/2006/main" uri="{28A0092B-C50C-407E-A947-70E740481C1C}">
                          <a14:useLocalDpi xmlns:a14="http://schemas.microsoft.com/office/drawing/2010/main" val="0"/>
                        </a:ext>
                      </a:extLst>
                    </a:blip>
                    <a:stretch>
                      <a:fillRect/>
                    </a:stretch>
                  </pic:blipFill>
                  <pic:spPr>
                    <a:xfrm>
                      <a:off x="0" y="0"/>
                      <a:ext cx="4045187" cy="756346"/>
                    </a:xfrm>
                    <a:prstGeom prst="rect">
                      <a:avLst/>
                    </a:prstGeom>
                  </pic:spPr>
                </pic:pic>
              </a:graphicData>
            </a:graphic>
          </wp:inline>
        </w:drawing>
      </w:r>
    </w:p>
    <w:p w:rsidR="00F20E3F" w:rsidRPr="00F271A9" w:rsidP="00F271A9" w14:paraId="637DBFBD" w14:textId="39187BBE">
      <w:pPr>
        <w:pStyle w:val="733155"/>
        <w:rPr>
          <w:rtl/>
        </w:rPr>
      </w:pPr>
      <w:r w:rsidRPr="00F271A9">
        <w:rPr>
          <w:rFonts w:hint="cs"/>
          <w:rtl/>
        </w:rPr>
        <w:t>3.3 תמחור פחמן והיבטי מיסוי נוספים</w:t>
      </w:r>
    </w:p>
    <w:p w:rsidR="00F20E3F" w:rsidP="002F2907" w14:paraId="6A31A2AE" w14:textId="77777777">
      <w:pPr>
        <w:pStyle w:val="7392"/>
        <w:rPr>
          <w:rtl/>
        </w:rPr>
      </w:pPr>
      <w:r w:rsidRPr="00582BF3">
        <w:rPr>
          <w:rtl/>
        </w:rPr>
        <w:t>בבסיסה של תופעת ההתחממות הגלובלית עומד</w:t>
      </w:r>
      <w:r w:rsidRPr="00582BF3">
        <w:rPr>
          <w:rFonts w:hint="cs"/>
          <w:rtl/>
        </w:rPr>
        <w:t xml:space="preserve"> כאמור</w:t>
      </w:r>
      <w:r w:rsidRPr="00582BF3">
        <w:rPr>
          <w:rtl/>
        </w:rPr>
        <w:t xml:space="preserve"> כשל שוק</w:t>
      </w:r>
      <w:r w:rsidRPr="00582BF3">
        <w:rPr>
          <w:rFonts w:hint="cs"/>
          <w:rtl/>
        </w:rPr>
        <w:t xml:space="preserve">, </w:t>
      </w:r>
      <w:r>
        <w:rPr>
          <w:rFonts w:hint="cs"/>
          <w:rtl/>
        </w:rPr>
        <w:t>ו</w:t>
      </w:r>
      <w:r w:rsidRPr="00582BF3">
        <w:rPr>
          <w:rFonts w:hint="cs"/>
          <w:rtl/>
        </w:rPr>
        <w:t>לפיו כל זמן שאין התערבות של רגולטורים, השחקנים הכלכליים אינם מביאים בחשבון את הנזקים לסביבה שכן אין לנזקים אלה מחיר שוק</w:t>
      </w:r>
      <w:r>
        <w:rPr>
          <w:vertAlign w:val="superscript"/>
          <w:rtl/>
        </w:rPr>
        <w:footnoteReference w:id="38"/>
      </w:r>
      <w:r w:rsidRPr="00582BF3">
        <w:rPr>
          <w:rFonts w:hint="cs"/>
          <w:rtl/>
        </w:rPr>
        <w:t xml:space="preserve">. לכן, </w:t>
      </w:r>
      <w:r w:rsidRPr="00582BF3">
        <w:rPr>
          <w:rtl/>
        </w:rPr>
        <w:t>מ</w:t>
      </w:r>
      <w:r>
        <w:rPr>
          <w:rFonts w:hint="cs"/>
          <w:rtl/>
        </w:rPr>
        <w:t>ה</w:t>
      </w:r>
      <w:r w:rsidRPr="00582BF3">
        <w:rPr>
          <w:rtl/>
        </w:rPr>
        <w:t xml:space="preserve">בחינה </w:t>
      </w:r>
      <w:r>
        <w:rPr>
          <w:rFonts w:hint="cs"/>
          <w:rtl/>
        </w:rPr>
        <w:t>ה</w:t>
      </w:r>
      <w:r w:rsidRPr="00582BF3">
        <w:rPr>
          <w:rtl/>
        </w:rPr>
        <w:t>כלכלית</w:t>
      </w:r>
      <w:r w:rsidRPr="00582BF3">
        <w:rPr>
          <w:rFonts w:hint="cs"/>
          <w:rtl/>
        </w:rPr>
        <w:t>,</w:t>
      </w:r>
      <w:r w:rsidRPr="00582BF3">
        <w:rPr>
          <w:rtl/>
        </w:rPr>
        <w:t xml:space="preserve"> ההתמודדות עם ההתחממות הגלובלית כרוכה</w:t>
      </w:r>
      <w:r w:rsidRPr="00582BF3">
        <w:rPr>
          <w:rFonts w:hint="cs"/>
          <w:rtl/>
        </w:rPr>
        <w:t xml:space="preserve"> בין היתר</w:t>
      </w:r>
      <w:r w:rsidRPr="00582BF3">
        <w:rPr>
          <w:rtl/>
        </w:rPr>
        <w:t xml:space="preserve"> בשינוי במחיר היחסי של השימוש במקורות הפולטים </w:t>
      </w:r>
      <w:r w:rsidRPr="00582BF3">
        <w:rPr>
          <w:rtl/>
        </w:rPr>
        <w:t>גז"ח</w:t>
      </w:r>
      <w:r w:rsidRPr="00582BF3">
        <w:rPr>
          <w:rFonts w:hint="cs"/>
          <w:rtl/>
        </w:rPr>
        <w:t>, וזאת באמצעות אימוץ כלי מדיניות ל</w:t>
      </w:r>
      <w:r w:rsidRPr="00582BF3">
        <w:rPr>
          <w:rtl/>
        </w:rPr>
        <w:t>הפנמת העלות הסביבתית</w:t>
      </w:r>
      <w:r w:rsidRPr="00582BF3">
        <w:rPr>
          <w:rFonts w:hint="cs"/>
          <w:rtl/>
        </w:rPr>
        <w:t xml:space="preserve"> החיצונית</w:t>
      </w:r>
      <w:r w:rsidRPr="00582BF3">
        <w:rPr>
          <w:rtl/>
        </w:rPr>
        <w:t xml:space="preserve"> של השימוש </w:t>
      </w:r>
      <w:r w:rsidRPr="00582BF3">
        <w:rPr>
          <w:rFonts w:hint="cs"/>
          <w:rtl/>
        </w:rPr>
        <w:t>בגז</w:t>
      </w:r>
      <w:r w:rsidRPr="00582BF3">
        <w:rPr>
          <w:rtl/>
        </w:rPr>
        <w:t>"</w:t>
      </w:r>
      <w:r w:rsidRPr="00582BF3">
        <w:rPr>
          <w:rFonts w:hint="cs"/>
          <w:rtl/>
        </w:rPr>
        <w:t>ח</w:t>
      </w:r>
      <w:r>
        <w:rPr>
          <w:vertAlign w:val="superscript"/>
          <w:rtl/>
        </w:rPr>
        <w:footnoteReference w:id="39"/>
      </w:r>
      <w:r w:rsidRPr="00582BF3">
        <w:rPr>
          <w:rFonts w:hint="cs"/>
          <w:rtl/>
        </w:rPr>
        <w:t xml:space="preserve">. </w:t>
      </w:r>
      <w:r>
        <w:rPr>
          <w:rFonts w:hint="cs"/>
          <w:rtl/>
        </w:rPr>
        <w:t>ה</w:t>
      </w:r>
      <w:r w:rsidRPr="00582BF3">
        <w:rPr>
          <w:rFonts w:hint="cs"/>
          <w:rtl/>
        </w:rPr>
        <w:t xml:space="preserve">עלויות </w:t>
      </w:r>
      <w:r>
        <w:rPr>
          <w:rFonts w:hint="cs"/>
          <w:rtl/>
        </w:rPr>
        <w:t>ה</w:t>
      </w:r>
      <w:r w:rsidRPr="00582BF3">
        <w:rPr>
          <w:rFonts w:hint="cs"/>
          <w:rtl/>
        </w:rPr>
        <w:t xml:space="preserve">חיצוניות </w:t>
      </w:r>
      <w:r>
        <w:rPr>
          <w:rFonts w:hint="cs"/>
          <w:rtl/>
        </w:rPr>
        <w:t>ה</w:t>
      </w:r>
      <w:r w:rsidRPr="00582BF3">
        <w:rPr>
          <w:rFonts w:hint="cs"/>
          <w:rtl/>
        </w:rPr>
        <w:t xml:space="preserve">סביבתיות מבטאות ערך כספי של אובדן </w:t>
      </w:r>
      <w:r>
        <w:rPr>
          <w:rFonts w:hint="cs"/>
          <w:rtl/>
        </w:rPr>
        <w:t>ה</w:t>
      </w:r>
      <w:r w:rsidRPr="00582BF3">
        <w:rPr>
          <w:rFonts w:hint="cs"/>
          <w:rtl/>
        </w:rPr>
        <w:t xml:space="preserve">רווחה </w:t>
      </w:r>
      <w:r>
        <w:rPr>
          <w:rFonts w:hint="cs"/>
          <w:rtl/>
        </w:rPr>
        <w:t>ה</w:t>
      </w:r>
      <w:r w:rsidRPr="00582BF3">
        <w:rPr>
          <w:rFonts w:hint="cs"/>
          <w:rtl/>
        </w:rPr>
        <w:t xml:space="preserve">חברתית הנגרם בעקבות פגיעה באיכות הסביבה. בניגוד לעלויות </w:t>
      </w:r>
      <w:r>
        <w:rPr>
          <w:rFonts w:hint="cs"/>
          <w:rtl/>
        </w:rPr>
        <w:t>ה</w:t>
      </w:r>
      <w:r w:rsidRPr="00582BF3">
        <w:rPr>
          <w:rFonts w:hint="cs"/>
          <w:rtl/>
        </w:rPr>
        <w:t xml:space="preserve">ישירות, </w:t>
      </w:r>
      <w:r>
        <w:rPr>
          <w:rFonts w:hint="cs"/>
          <w:rtl/>
        </w:rPr>
        <w:t>ה</w:t>
      </w:r>
      <w:r w:rsidRPr="00582BF3">
        <w:rPr>
          <w:rFonts w:hint="cs"/>
          <w:rtl/>
        </w:rPr>
        <w:t xml:space="preserve">עלויות </w:t>
      </w:r>
      <w:r>
        <w:rPr>
          <w:rFonts w:hint="cs"/>
          <w:rtl/>
        </w:rPr>
        <w:t>ה</w:t>
      </w:r>
      <w:r w:rsidRPr="00582BF3">
        <w:rPr>
          <w:rFonts w:hint="cs"/>
          <w:rtl/>
        </w:rPr>
        <w:t>חיצוניות אינן מקבלות ביטוי על ידי מנגנון השוק, ולכן התפתחו מתודולוגיות שונות לחישובן, שמקובלות למשל על ידי ארגון ה-</w:t>
      </w:r>
      <w:r w:rsidRPr="00582BF3">
        <w:rPr>
          <w:rFonts w:hint="cs"/>
        </w:rPr>
        <w:t>OECD</w:t>
      </w:r>
      <w:r w:rsidRPr="00582BF3">
        <w:rPr>
          <w:rFonts w:hint="cs"/>
          <w:rtl/>
        </w:rPr>
        <w:t>.</w:t>
      </w:r>
    </w:p>
    <w:p w:rsidR="00F20E3F" w:rsidP="002F2907" w14:paraId="0D3AD211" w14:textId="4EF73AF4">
      <w:pPr>
        <w:pStyle w:val="7392"/>
        <w:rPr>
          <w:rtl/>
        </w:rPr>
      </w:pPr>
      <w:r w:rsidRPr="00A83946">
        <w:rPr>
          <w:rFonts w:hint="cs"/>
          <w:rtl/>
        </w:rPr>
        <w:t xml:space="preserve">בעשור האחרון מדינות שונות </w:t>
      </w:r>
      <w:r>
        <w:rPr>
          <w:rFonts w:hint="cs"/>
          <w:rtl/>
        </w:rPr>
        <w:t>(כמו צרפת, ספרד,</w:t>
      </w:r>
      <w:r w:rsidR="000F2903">
        <w:rPr>
          <w:rFonts w:hint="cs"/>
          <w:rtl/>
        </w:rPr>
        <w:t xml:space="preserve"> </w:t>
      </w:r>
      <w:r>
        <w:rPr>
          <w:rFonts w:hint="cs"/>
          <w:rtl/>
        </w:rPr>
        <w:t xml:space="preserve">שוודיה, קנדה, איסלנד, אירלנד, פינלנד, </w:t>
      </w:r>
      <w:r>
        <w:rPr>
          <w:rFonts w:hint="cs"/>
          <w:rtl/>
        </w:rPr>
        <w:t>נורווגיה</w:t>
      </w:r>
      <w:r>
        <w:rPr>
          <w:rFonts w:hint="cs"/>
          <w:rtl/>
        </w:rPr>
        <w:t>, מקסיקו ופורטוגל)</w:t>
      </w:r>
      <w:r>
        <w:rPr>
          <w:rStyle w:val="FootnoteReference2"/>
          <w:rtl/>
        </w:rPr>
        <w:footnoteReference w:id="40"/>
      </w:r>
      <w:r>
        <w:rPr>
          <w:rFonts w:hint="cs"/>
          <w:rtl/>
        </w:rPr>
        <w:t xml:space="preserve"> </w:t>
      </w:r>
      <w:r w:rsidRPr="00A83946">
        <w:rPr>
          <w:rFonts w:hint="cs"/>
          <w:rtl/>
        </w:rPr>
        <w:t>החלו ל</w:t>
      </w:r>
      <w:r>
        <w:rPr>
          <w:rFonts w:hint="cs"/>
          <w:rtl/>
        </w:rPr>
        <w:t>ה</w:t>
      </w:r>
      <w:r w:rsidRPr="00A83946">
        <w:rPr>
          <w:rFonts w:hint="cs"/>
          <w:rtl/>
        </w:rPr>
        <w:t>ש</w:t>
      </w:r>
      <w:r>
        <w:rPr>
          <w:rFonts w:hint="cs"/>
          <w:rtl/>
        </w:rPr>
        <w:t>ת</w:t>
      </w:r>
      <w:r w:rsidRPr="00A83946">
        <w:rPr>
          <w:rFonts w:hint="cs"/>
          <w:rtl/>
        </w:rPr>
        <w:t xml:space="preserve">מש בתמחור פחמן ביחס לסקטורים תעשייתיים, כדי לעמוד ביעדי פליטות </w:t>
      </w:r>
      <w:r>
        <w:rPr>
          <w:rFonts w:hint="cs"/>
          <w:rtl/>
        </w:rPr>
        <w:t>ה</w:t>
      </w:r>
      <w:r w:rsidRPr="00A83946">
        <w:rPr>
          <w:rFonts w:hint="cs"/>
          <w:rtl/>
        </w:rPr>
        <w:t>גז</w:t>
      </w:r>
      <w:r w:rsidRPr="00A83946">
        <w:rPr>
          <w:rtl/>
        </w:rPr>
        <w:t>"</w:t>
      </w:r>
      <w:r w:rsidRPr="00A83946">
        <w:rPr>
          <w:rFonts w:hint="cs"/>
          <w:rtl/>
        </w:rPr>
        <w:t>ח</w:t>
      </w:r>
      <w:r w:rsidRPr="00A83946">
        <w:rPr>
          <w:rFonts w:hint="cs"/>
          <w:rtl/>
        </w:rPr>
        <w:t xml:space="preserve"> לפי הסכם פריז, באמצעות אימוץ מנגנון תמחור פחמן המוטל על כל טונה פליטה של </w:t>
      </w:r>
      <w:r w:rsidRPr="00A83946">
        <w:t>CO</w:t>
      </w:r>
      <w:r w:rsidRPr="00A83946">
        <w:rPr>
          <w:vertAlign w:val="subscript"/>
        </w:rPr>
        <w:t>2</w:t>
      </w:r>
      <w:r w:rsidRPr="00A83946">
        <w:rPr>
          <w:rFonts w:hint="cs"/>
          <w:rtl/>
        </w:rPr>
        <w:t xml:space="preserve"> שנפלט לאטמוספרה</w:t>
      </w:r>
      <w:r>
        <w:rPr>
          <w:rFonts w:hint="cs"/>
          <w:rtl/>
        </w:rPr>
        <w:t>, לפעמים "על גבי" מנגנון הבלו ולפעמים במס נפרד</w:t>
      </w:r>
      <w:r>
        <w:rPr>
          <w:vertAlign w:val="superscript"/>
          <w:rtl/>
        </w:rPr>
        <w:footnoteReference w:id="41"/>
      </w:r>
      <w:r w:rsidRPr="00A83946">
        <w:rPr>
          <w:rFonts w:hint="cs"/>
          <w:rtl/>
        </w:rPr>
        <w:t xml:space="preserve">. מס זה מוטל על השימוש בדלקים בתעשייה, לייצור חשמל ולתחבורה. הרציונל של שימוש במס פחמן הוא שניתן להטילו על בסיס מס רחב שישקף שיעור </w:t>
      </w:r>
      <w:r>
        <w:rPr>
          <w:rFonts w:hint="cs"/>
          <w:rtl/>
        </w:rPr>
        <w:t>ניכר</w:t>
      </w:r>
      <w:r w:rsidRPr="00A83946">
        <w:rPr>
          <w:rFonts w:hint="cs"/>
          <w:rtl/>
        </w:rPr>
        <w:t xml:space="preserve"> מהסקטורים הפולטים </w:t>
      </w:r>
      <w:r w:rsidRPr="00A83946">
        <w:rPr>
          <w:rFonts w:hint="cs"/>
          <w:rtl/>
        </w:rPr>
        <w:t>גז</w:t>
      </w:r>
      <w:r w:rsidRPr="00A83946">
        <w:rPr>
          <w:rtl/>
        </w:rPr>
        <w:t>"</w:t>
      </w:r>
      <w:r w:rsidRPr="00A83946">
        <w:rPr>
          <w:rFonts w:hint="cs"/>
          <w:rtl/>
        </w:rPr>
        <w:t>ח</w:t>
      </w:r>
      <w:r w:rsidRPr="00A83946">
        <w:rPr>
          <w:rFonts w:hint="cs"/>
          <w:rtl/>
        </w:rPr>
        <w:t xml:space="preserve">. בשוק משוכלל </w:t>
      </w:r>
      <w:r>
        <w:rPr>
          <w:rFonts w:hint="cs"/>
          <w:rtl/>
        </w:rPr>
        <w:t>מס פחמן יביא</w:t>
      </w:r>
      <w:r w:rsidRPr="00A83946">
        <w:rPr>
          <w:rFonts w:hint="cs"/>
          <w:rtl/>
        </w:rPr>
        <w:t xml:space="preserve"> </w:t>
      </w:r>
      <w:r>
        <w:rPr>
          <w:rFonts w:hint="cs"/>
          <w:rtl/>
        </w:rPr>
        <w:t>להפנמת העלויות החיצוניות ול</w:t>
      </w:r>
      <w:r w:rsidRPr="00A83946">
        <w:rPr>
          <w:rFonts w:hint="cs"/>
          <w:rtl/>
        </w:rPr>
        <w:t>ייעול</w:t>
      </w:r>
      <w:r w:rsidRPr="00A83946">
        <w:rPr>
          <w:rtl/>
        </w:rPr>
        <w:t xml:space="preserve"> הקצאת המשאבים במשק</w:t>
      </w:r>
      <w:r w:rsidRPr="00A83946">
        <w:rPr>
          <w:rFonts w:hint="cs"/>
          <w:rtl/>
        </w:rPr>
        <w:t xml:space="preserve"> </w:t>
      </w:r>
      <w:r>
        <w:rPr>
          <w:rFonts w:hint="cs"/>
          <w:rtl/>
        </w:rPr>
        <w:t>שכן הוא</w:t>
      </w:r>
      <w:r w:rsidRPr="00A83946">
        <w:rPr>
          <w:rFonts w:hint="cs"/>
          <w:rtl/>
        </w:rPr>
        <w:t xml:space="preserve"> מייקר באופן יחסי את המוצר שבייצורו נפלט פחמן רב יותר ומעודד את הצרכנים והחברות המייצרות להעדיף מוצרים חלופיים שבייצורם נפלטו פחות </w:t>
      </w:r>
      <w:r w:rsidRPr="00A83946">
        <w:rPr>
          <w:rFonts w:hint="cs"/>
          <w:rtl/>
        </w:rPr>
        <w:t>גז</w:t>
      </w:r>
      <w:r w:rsidRPr="00A83946">
        <w:rPr>
          <w:rtl/>
        </w:rPr>
        <w:t>"</w:t>
      </w:r>
      <w:r>
        <w:rPr>
          <w:rFonts w:hint="cs"/>
          <w:rtl/>
        </w:rPr>
        <w:t>ח</w:t>
      </w:r>
      <w:r w:rsidRPr="00A83946">
        <w:rPr>
          <w:rFonts w:hint="cs"/>
          <w:rtl/>
        </w:rPr>
        <w:t>. מס פחמן נתפס ככזה המייצר ודאות לגבי מחיר הפחמן</w:t>
      </w:r>
      <w:r>
        <w:rPr>
          <w:rFonts w:hint="cs"/>
          <w:rtl/>
        </w:rPr>
        <w:t>,</w:t>
      </w:r>
      <w:r w:rsidRPr="00A83946">
        <w:rPr>
          <w:rFonts w:hint="cs"/>
          <w:rtl/>
        </w:rPr>
        <w:t xml:space="preserve"> והוא פשוט יחסית לגבייה.</w:t>
      </w:r>
      <w:r>
        <w:rPr>
          <w:rFonts w:hint="cs"/>
          <w:rtl/>
        </w:rPr>
        <w:t xml:space="preserve"> </w:t>
      </w:r>
    </w:p>
    <w:p w:rsidR="00F20E3F" w:rsidP="002F2907" w14:paraId="24999C63" w14:textId="77777777">
      <w:pPr>
        <w:pStyle w:val="7392"/>
        <w:rPr>
          <w:rtl/>
        </w:rPr>
      </w:pPr>
      <w:r w:rsidRPr="00A83946">
        <w:rPr>
          <w:rFonts w:hint="cs"/>
          <w:rtl/>
        </w:rPr>
        <w:t>מנגנון תמחור פחמן נוסף מתבסס על מערכת סחר בפליטות</w:t>
      </w:r>
      <w:r>
        <w:rPr>
          <w:rFonts w:hint="cs"/>
          <w:rtl/>
        </w:rPr>
        <w:t xml:space="preserve"> (להלן - </w:t>
      </w:r>
      <w:r w:rsidRPr="00A83946">
        <w:t>(ETS</w:t>
      </w:r>
      <w:r w:rsidRPr="00A83946">
        <w:rPr>
          <w:rFonts w:hint="cs"/>
          <w:rtl/>
        </w:rPr>
        <w:t xml:space="preserve"> המאפשר </w:t>
      </w:r>
      <w:r>
        <w:rPr>
          <w:rFonts w:hint="cs"/>
          <w:rtl/>
        </w:rPr>
        <w:t>סחר</w:t>
      </w:r>
      <w:r w:rsidRPr="00A83946">
        <w:rPr>
          <w:rFonts w:hint="cs"/>
          <w:rtl/>
        </w:rPr>
        <w:t xml:space="preserve"> </w:t>
      </w:r>
      <w:r>
        <w:rPr>
          <w:rFonts w:hint="cs"/>
          <w:rtl/>
        </w:rPr>
        <w:t>ב</w:t>
      </w:r>
      <w:r w:rsidRPr="00A83946">
        <w:rPr>
          <w:rFonts w:hint="cs"/>
          <w:rtl/>
        </w:rPr>
        <w:t xml:space="preserve">פליטות </w:t>
      </w:r>
      <w:r w:rsidRPr="00A83946">
        <w:rPr>
          <w:rFonts w:hint="cs"/>
          <w:rtl/>
        </w:rPr>
        <w:t>גז</w:t>
      </w:r>
      <w:r w:rsidRPr="00A83946">
        <w:rPr>
          <w:rtl/>
        </w:rPr>
        <w:t>"</w:t>
      </w:r>
      <w:r w:rsidRPr="00A83946">
        <w:rPr>
          <w:rFonts w:hint="cs"/>
          <w:rtl/>
        </w:rPr>
        <w:t>ח</w:t>
      </w:r>
      <w:r>
        <w:rPr>
          <w:rFonts w:hint="cs"/>
          <w:rtl/>
        </w:rPr>
        <w:t xml:space="preserve"> בתעשייה, בין חברות ומפעלים בעיקר</w:t>
      </w:r>
      <w:r w:rsidRPr="00A83946">
        <w:rPr>
          <w:rFonts w:hint="cs"/>
          <w:rtl/>
        </w:rPr>
        <w:t xml:space="preserve">. במנגנון זה </w:t>
      </w:r>
      <w:r>
        <w:rPr>
          <w:rFonts w:hint="cs"/>
          <w:rtl/>
        </w:rPr>
        <w:t>מספר</w:t>
      </w:r>
      <w:r w:rsidRPr="00A83946">
        <w:rPr>
          <w:rFonts w:hint="cs"/>
          <w:rtl/>
        </w:rPr>
        <w:t xml:space="preserve"> ההיתרים לפלוט </w:t>
      </w:r>
      <w:r w:rsidRPr="00A83946">
        <w:rPr>
          <w:rFonts w:hint="cs"/>
          <w:rtl/>
        </w:rPr>
        <w:t>גז</w:t>
      </w:r>
      <w:r w:rsidRPr="00A83946">
        <w:rPr>
          <w:rtl/>
        </w:rPr>
        <w:t>"</w:t>
      </w:r>
      <w:r w:rsidRPr="00A83946">
        <w:rPr>
          <w:rFonts w:hint="cs"/>
          <w:rtl/>
        </w:rPr>
        <w:t>ח</w:t>
      </w:r>
      <w:r w:rsidRPr="00A83946">
        <w:rPr>
          <w:rFonts w:hint="cs"/>
          <w:rtl/>
        </w:rPr>
        <w:t xml:space="preserve"> מוגדר מראש וניתן לסחור </w:t>
      </w:r>
      <w:r>
        <w:rPr>
          <w:rFonts w:hint="cs"/>
          <w:rtl/>
        </w:rPr>
        <w:t>- 'למכור' או 'לקנות' היתר פליטה,</w:t>
      </w:r>
      <w:r w:rsidRPr="00A83946">
        <w:rPr>
          <w:rFonts w:hint="cs"/>
          <w:rtl/>
        </w:rPr>
        <w:t xml:space="preserve"> </w:t>
      </w:r>
      <w:r>
        <w:rPr>
          <w:rFonts w:hint="cs"/>
          <w:rtl/>
        </w:rPr>
        <w:t>ו</w:t>
      </w:r>
      <w:r w:rsidRPr="00A83946">
        <w:rPr>
          <w:rFonts w:hint="cs"/>
          <w:rtl/>
        </w:rPr>
        <w:t xml:space="preserve">המחיר </w:t>
      </w:r>
      <w:r>
        <w:rPr>
          <w:rFonts w:hint="cs"/>
          <w:rtl/>
        </w:rPr>
        <w:t>תנודתי</w:t>
      </w:r>
      <w:r w:rsidRPr="00A83946">
        <w:rPr>
          <w:rFonts w:hint="cs"/>
          <w:rtl/>
        </w:rPr>
        <w:t xml:space="preserve"> בהתאם להיצע </w:t>
      </w:r>
      <w:r w:rsidRPr="00A83946">
        <w:rPr>
          <w:rFonts w:hint="cs"/>
          <w:rtl/>
        </w:rPr>
        <w:t>ו</w:t>
      </w:r>
      <w:r>
        <w:rPr>
          <w:rFonts w:hint="cs"/>
          <w:rtl/>
        </w:rPr>
        <w:t>ל</w:t>
      </w:r>
      <w:r w:rsidRPr="00A83946">
        <w:rPr>
          <w:rFonts w:hint="cs"/>
          <w:rtl/>
        </w:rPr>
        <w:t xml:space="preserve">ביקוש. הרציונל הוא שמערכת זו תביא לידי כך שמאמצי ההפחתה ינותבו לגורמים שיכולים להפחית פליטות בעלות הנמוכה ביותר. </w:t>
      </w:r>
    </w:p>
    <w:p w:rsidR="00F20E3F" w:rsidP="002F2907" w14:paraId="34113D02" w14:textId="77777777">
      <w:pPr>
        <w:pStyle w:val="7392"/>
        <w:rPr>
          <w:rtl/>
        </w:rPr>
      </w:pPr>
      <w:r w:rsidRPr="002C2579">
        <w:rPr>
          <w:rtl/>
        </w:rPr>
        <w:t xml:space="preserve">לפי המשרד </w:t>
      </w:r>
      <w:r w:rsidRPr="002C2579">
        <w:rPr>
          <w:rtl/>
        </w:rPr>
        <w:t>להג"ס</w:t>
      </w:r>
      <w:r w:rsidRPr="002C2579">
        <w:rPr>
          <w:rtl/>
        </w:rPr>
        <w:t xml:space="preserve">, </w:t>
      </w:r>
      <w:r>
        <w:rPr>
          <w:rFonts w:hint="cs"/>
          <w:rtl/>
        </w:rPr>
        <w:t xml:space="preserve">המנגנון המתאים ביותר לתמחור פחמן בישראל הוא באמצעות מס פחמן שכן הוא מאפשר כיסוי נרחב יותר של פליטות </w:t>
      </w:r>
      <w:r>
        <w:rPr>
          <w:rFonts w:hint="cs"/>
          <w:rtl/>
        </w:rPr>
        <w:t>גז"ח</w:t>
      </w:r>
      <w:r>
        <w:rPr>
          <w:rFonts w:hint="cs"/>
          <w:rtl/>
        </w:rPr>
        <w:t xml:space="preserve"> ויכול "להתלבש" על מנגנון מיסוי דלקים הקיים היום בישראל - מס הבלו על דלקים</w:t>
      </w:r>
      <w:r>
        <w:rPr>
          <w:rStyle w:val="FootnoteReference2"/>
          <w:rtl/>
        </w:rPr>
        <w:footnoteReference w:id="42"/>
      </w:r>
      <w:r w:rsidRPr="002C2579">
        <w:rPr>
          <w:rtl/>
        </w:rPr>
        <w:t>.</w:t>
      </w:r>
      <w:r>
        <w:rPr>
          <w:rFonts w:hint="cs"/>
          <w:rtl/>
        </w:rPr>
        <w:t xml:space="preserve"> גם</w:t>
      </w:r>
      <w:r w:rsidRPr="002C2579">
        <w:rPr>
          <w:rtl/>
        </w:rPr>
        <w:t xml:space="preserve"> </w:t>
      </w:r>
      <w:r>
        <w:rPr>
          <w:rFonts w:ascii="David" w:hAnsi="David" w:hint="cs"/>
          <w:sz w:val="24"/>
          <w:rtl/>
        </w:rPr>
        <w:t>לפי חטיבת המחקר בבנק ישראל "</w:t>
      </w:r>
      <w:r w:rsidRPr="004740B9">
        <w:rPr>
          <w:rFonts w:ascii="David" w:hAnsi="David"/>
          <w:sz w:val="24"/>
          <w:rtl/>
        </w:rPr>
        <w:t xml:space="preserve">מס הפחמן מייעל את הקצאת המשאבים במשק בהיותו מוטל על המוצר המזהם, וגורם </w:t>
      </w:r>
      <w:r w:rsidRPr="002F2907">
        <w:rPr>
          <w:rtl/>
        </w:rPr>
        <w:t>ליצרנים</w:t>
      </w:r>
      <w:r w:rsidRPr="004740B9">
        <w:rPr>
          <w:rFonts w:ascii="David" w:hAnsi="David"/>
          <w:sz w:val="24"/>
          <w:rtl/>
        </w:rPr>
        <w:t xml:space="preserve"> ולצרכנים להפנים במחירו את השפעותיו החיצוניות.</w:t>
      </w:r>
      <w:r>
        <w:rPr>
          <w:rFonts w:ascii="David" w:hAnsi="David" w:hint="cs"/>
          <w:sz w:val="24"/>
          <w:rtl/>
        </w:rPr>
        <w:t xml:space="preserve">.. </w:t>
      </w:r>
      <w:r w:rsidRPr="009835F4">
        <w:rPr>
          <w:rtl/>
        </w:rPr>
        <w:t>יהיה ניתן לווסת את גובה המס בהתאם לפער בין תוצאות הפעלתו להשפעה המבוקשת. מסיבה זו נראה כי הוא היעיל ביותר מבין האמצעים שהשפעתם על יצירת הזיהום היא ישירה</w:t>
      </w:r>
      <w:r>
        <w:rPr>
          <w:rFonts w:hint="cs"/>
          <w:rtl/>
        </w:rPr>
        <w:t>"</w:t>
      </w:r>
      <w:r>
        <w:rPr>
          <w:rStyle w:val="FootnoteReference2"/>
          <w:rtl/>
        </w:rPr>
        <w:footnoteReference w:id="43"/>
      </w:r>
      <w:r w:rsidRPr="009835F4">
        <w:rPr>
          <w:rtl/>
        </w:rPr>
        <w:t>.</w:t>
      </w:r>
      <w:r>
        <w:rPr>
          <w:rFonts w:ascii="David" w:hAnsi="David" w:hint="cs"/>
          <w:sz w:val="24"/>
          <w:rtl/>
        </w:rPr>
        <w:t xml:space="preserve"> </w:t>
      </w:r>
      <w:r>
        <w:rPr>
          <w:rFonts w:hint="cs"/>
          <w:rtl/>
        </w:rPr>
        <w:t xml:space="preserve">גם </w:t>
      </w:r>
      <w:r w:rsidRPr="00937E5D">
        <w:rPr>
          <w:rtl/>
        </w:rPr>
        <w:t xml:space="preserve">סקירה </w:t>
      </w:r>
      <w:r>
        <w:rPr>
          <w:rFonts w:hint="cs"/>
          <w:rtl/>
        </w:rPr>
        <w:t>של</w:t>
      </w:r>
      <w:r w:rsidRPr="00937E5D">
        <w:rPr>
          <w:rtl/>
        </w:rPr>
        <w:t xml:space="preserve"> ה-</w:t>
      </w:r>
      <w:r w:rsidRPr="002F2907">
        <w:t>IMF</w:t>
      </w:r>
      <w:r w:rsidRPr="0018148D">
        <w:rPr>
          <w:szCs w:val="22"/>
          <w:rtl/>
        </w:rPr>
        <w:t xml:space="preserve"> </w:t>
      </w:r>
      <w:r>
        <w:rPr>
          <w:rFonts w:hint="cs"/>
          <w:rtl/>
        </w:rPr>
        <w:t>מ</w:t>
      </w:r>
      <w:r w:rsidRPr="00937E5D">
        <w:rPr>
          <w:rtl/>
        </w:rPr>
        <w:t xml:space="preserve">שנת 2019 </w:t>
      </w:r>
      <w:r>
        <w:rPr>
          <w:rFonts w:hint="cs"/>
          <w:rtl/>
        </w:rPr>
        <w:t>מציינת כי מ</w:t>
      </w:r>
      <w:r w:rsidRPr="00937E5D">
        <w:rPr>
          <w:rtl/>
        </w:rPr>
        <w:t xml:space="preserve">מכלול האסטרטגיות להפחתת </w:t>
      </w:r>
      <w:r w:rsidRPr="00937E5D">
        <w:rPr>
          <w:rtl/>
        </w:rPr>
        <w:t>גז"ח</w:t>
      </w:r>
      <w:r w:rsidRPr="00937E5D">
        <w:rPr>
          <w:rtl/>
        </w:rPr>
        <w:t xml:space="preserve">, מיסי פחמן המוטלים לאורך שרשרת ההספקה של דלקים </w:t>
      </w:r>
      <w:r w:rsidRPr="00937E5D">
        <w:rPr>
          <w:rtl/>
        </w:rPr>
        <w:t>פוסיליים</w:t>
      </w:r>
      <w:r w:rsidRPr="00937E5D">
        <w:rPr>
          <w:rtl/>
        </w:rPr>
        <w:t xml:space="preserve"> בהתאם לריכוזי הפחמן בהם </w:t>
      </w:r>
      <w:r>
        <w:rPr>
          <w:rFonts w:hint="cs"/>
          <w:rtl/>
        </w:rPr>
        <w:t>-</w:t>
      </w:r>
      <w:r w:rsidRPr="00937E5D">
        <w:rPr>
          <w:rtl/>
        </w:rPr>
        <w:t xml:space="preserve"> הם אמצעי בעל ההשפעה החזקה </w:t>
      </w:r>
      <w:r>
        <w:rPr>
          <w:rtl/>
        </w:rPr>
        <w:t>והאפקטיבית ביותר לשיקוף העלות ה</w:t>
      </w:r>
      <w:r w:rsidRPr="00937E5D">
        <w:rPr>
          <w:rtl/>
        </w:rPr>
        <w:t>א</w:t>
      </w:r>
      <w:r>
        <w:rPr>
          <w:rtl/>
        </w:rPr>
        <w:t xml:space="preserve">מיתית של השימוש </w:t>
      </w:r>
      <w:r>
        <w:rPr>
          <w:rtl/>
        </w:rPr>
        <w:t>באנרגייה</w:t>
      </w:r>
      <w:r>
        <w:rPr>
          <w:rtl/>
        </w:rPr>
        <w:t xml:space="preserve"> מזהמת</w:t>
      </w:r>
      <w:r>
        <w:rPr>
          <w:vertAlign w:val="superscript"/>
          <w:rtl/>
        </w:rPr>
        <w:footnoteReference w:id="44"/>
      </w:r>
      <w:r w:rsidRPr="00937E5D">
        <w:rPr>
          <w:rtl/>
        </w:rPr>
        <w:t>.</w:t>
      </w:r>
      <w:r>
        <w:rPr>
          <w:rFonts w:hint="cs"/>
          <w:rtl/>
        </w:rPr>
        <w:t xml:space="preserve"> לנוכח חשיבות העניין, פרק ביקורת זה יתמקד אפוא במעקב אחר יישום הממצאים וההמלצות בפרק בנושא "החלת מס פחמן בישראל".</w:t>
      </w:r>
    </w:p>
    <w:p w:rsidR="00F20E3F" w:rsidRPr="00EE03EA" w:rsidP="002F2907" w14:paraId="145E54AA" w14:textId="77777777">
      <w:pPr>
        <w:pStyle w:val="7392"/>
        <w:rPr>
          <w:rtl/>
        </w:rPr>
      </w:pPr>
      <w:r w:rsidRPr="00EE03EA">
        <w:rPr>
          <w:rtl/>
        </w:rPr>
        <w:t xml:space="preserve">למיסוי פחמן </w:t>
      </w:r>
      <w:r>
        <w:rPr>
          <w:rFonts w:hint="cs"/>
          <w:rtl/>
        </w:rPr>
        <w:t>בישראל</w:t>
      </w:r>
      <w:r w:rsidRPr="00EE03EA">
        <w:rPr>
          <w:rtl/>
        </w:rPr>
        <w:t xml:space="preserve"> יש משמעויות משקיות וכלכליות נרחבות, כגון עלייה ביוקר המחיה בתחומים שונים</w:t>
      </w:r>
      <w:r>
        <w:rPr>
          <w:rtl/>
        </w:rPr>
        <w:t xml:space="preserve">, </w:t>
      </w:r>
      <w:r>
        <w:rPr>
          <w:rFonts w:hint="cs"/>
          <w:rtl/>
        </w:rPr>
        <w:t>ו</w:t>
      </w:r>
      <w:r w:rsidRPr="00EE03EA">
        <w:rPr>
          <w:rtl/>
        </w:rPr>
        <w:t>מ</w:t>
      </w:r>
      <w:r>
        <w:rPr>
          <w:rFonts w:hint="cs"/>
          <w:rtl/>
        </w:rPr>
        <w:t>שנת</w:t>
      </w:r>
      <w:r w:rsidRPr="00EE03EA">
        <w:rPr>
          <w:rtl/>
        </w:rPr>
        <w:t xml:space="preserve"> 2008 בוצעו בישראל שורה של עבודות על ידי גורמים ממשלתיים ומקצועיים, אשר ניתחו את המשמעויות הכרוכות במיסוי פחמן ועמדו על היתרונות הגלומים במהלך זה.</w:t>
      </w:r>
      <w:r>
        <w:rPr>
          <w:rFonts w:hint="cs"/>
          <w:rtl/>
        </w:rPr>
        <w:t xml:space="preserve"> סקירה מפורטת של ניתוחים אלו הוצגה בדוח הקודם. </w:t>
      </w:r>
    </w:p>
    <w:p w:rsidR="00F20E3F" w:rsidP="007B7A97" w14:paraId="71823349" w14:textId="77777777">
      <w:pPr>
        <w:pStyle w:val="73414"/>
        <w:rPr>
          <w:rtl/>
        </w:rPr>
      </w:pPr>
      <w:r>
        <w:rPr>
          <w:rFonts w:hint="cs"/>
          <w:rtl/>
        </w:rPr>
        <w:t>החלת מס פחמן בישראל</w:t>
      </w:r>
    </w:p>
    <w:p w:rsidR="00F20E3F" w:rsidRPr="008938C0" w:rsidP="00523140" w14:paraId="48AFE73F" w14:textId="77777777">
      <w:pPr>
        <w:pStyle w:val="73120"/>
        <w:rPr>
          <w:rtl/>
        </w:rPr>
      </w:pPr>
      <w:r w:rsidRPr="008938C0">
        <w:rPr>
          <w:rtl/>
        </w:rPr>
        <w:t>הדוח הקודם</w:t>
      </w:r>
    </w:p>
    <w:p w:rsidR="00F20E3F" w:rsidRPr="002F2907" w:rsidP="002F2907" w14:paraId="1F47380D" w14:textId="77777777">
      <w:pPr>
        <w:pStyle w:val="7392"/>
        <w:rPr>
          <w:rtl/>
        </w:rPr>
      </w:pPr>
      <w:r w:rsidRPr="002F2907">
        <w:rPr>
          <w:rStyle w:val="7"/>
          <w:rFonts w:eastAsiaTheme="minorHAnsi" w:hint="eastAsia"/>
          <w:b/>
          <w:color w:val="0073C3"/>
          <w:spacing w:val="0"/>
          <w:rtl/>
        </w:rPr>
        <w:t>הליקוי</w:t>
      </w:r>
      <w:r w:rsidRPr="002F2907">
        <w:rPr>
          <w:rStyle w:val="7"/>
          <w:rFonts w:eastAsiaTheme="minorHAnsi"/>
          <w:b/>
          <w:color w:val="0073C3"/>
          <w:spacing w:val="0"/>
          <w:rtl/>
        </w:rPr>
        <w:t>:</w:t>
      </w:r>
      <w:r w:rsidRPr="002F2907">
        <w:rPr>
          <w:rFonts w:hint="cs"/>
          <w:color w:val="0073C3"/>
          <w:rtl/>
        </w:rPr>
        <w:t xml:space="preserve"> </w:t>
      </w:r>
      <w:r w:rsidRPr="002F2907">
        <w:rPr>
          <w:rtl/>
        </w:rPr>
        <w:t xml:space="preserve">במהלך השנים גדל מספר ההסדרים לתמחור פחמן, ונכון ליולי 2021 קיימים 61 </w:t>
      </w:r>
      <w:r w:rsidRPr="002F2907">
        <w:rPr>
          <w:rFonts w:hint="cs"/>
          <w:rtl/>
        </w:rPr>
        <w:t>מדינות</w:t>
      </w:r>
      <w:r w:rsidRPr="002F2907">
        <w:rPr>
          <w:rtl/>
        </w:rPr>
        <w:t xml:space="preserve"> בעולם שאימצו הסדרים כאלו. בה בעת האיחוד האירופי מקדם מדיניות להטלת מס פחמן על יבוא בכניסה לגבולות אירופה </w:t>
      </w:r>
      <w:r w:rsidRPr="002F2907">
        <w:t>(CBAM - Carbon Border Adjustment Mechanism)</w:t>
      </w:r>
      <w:r w:rsidRPr="002F2907">
        <w:rPr>
          <w:rtl/>
        </w:rPr>
        <w:t xml:space="preserve"> על מדינות </w:t>
      </w:r>
      <w:r w:rsidRPr="002F2907">
        <w:rPr>
          <w:rStyle w:val="7"/>
          <w:rFonts w:eastAsiaTheme="minorHAnsi"/>
          <w:bCs w:val="0"/>
          <w:spacing w:val="0"/>
          <w:rtl/>
        </w:rPr>
        <w:t>שאין בהן</w:t>
      </w:r>
      <w:r w:rsidRPr="002F2907">
        <w:rPr>
          <w:rtl/>
        </w:rPr>
        <w:t xml:space="preserve"> מנגנון תמחור פחמן. הטלת מס זה עלולה להביא למציאות שבה שותפות סחר של האיחוד האירופי, שישראל נמנית עימן, עלולות להיות מושפעות ממדיניות האיחוד האירופי באופן שיצוא טובין (עתיר פחמן בעיקר) מישראל עשוי להיות חשוף למגבלות סחר.</w:t>
      </w:r>
      <w:r w:rsidRPr="002F2907">
        <w:rPr>
          <w:rFonts w:hint="cs"/>
          <w:rtl/>
        </w:rPr>
        <w:t xml:space="preserve"> </w:t>
      </w:r>
    </w:p>
    <w:p w:rsidR="00F20E3F" w:rsidRPr="00855559" w:rsidP="002F2907" w14:paraId="0A3E0E3D" w14:textId="77777777">
      <w:pPr>
        <w:pStyle w:val="7392"/>
        <w:rPr>
          <w:rtl/>
        </w:rPr>
      </w:pPr>
      <w:r w:rsidRPr="00981F98">
        <w:rPr>
          <w:rStyle w:val="7371"/>
          <w:rFonts w:hint="eastAsia"/>
          <w:color w:val="0073C3"/>
          <w:rtl/>
        </w:rPr>
        <w:t>ההמלצה</w:t>
      </w:r>
      <w:r w:rsidRPr="00981F98">
        <w:rPr>
          <w:rStyle w:val="7371"/>
          <w:color w:val="0073C3"/>
          <w:rtl/>
        </w:rPr>
        <w:t>:</w:t>
      </w:r>
      <w:r w:rsidRPr="00981F98">
        <w:rPr>
          <w:color w:val="0073C3"/>
          <w:rtl/>
        </w:rPr>
        <w:t xml:space="preserve"> </w:t>
      </w:r>
      <w:r w:rsidRPr="00855559">
        <w:rPr>
          <w:rtl/>
        </w:rPr>
        <w:t xml:space="preserve">החלטת הממשלה 286 מאוגוסט 2021 </w:t>
      </w:r>
      <w:r>
        <w:rPr>
          <w:rFonts w:hint="cs"/>
          <w:rtl/>
        </w:rPr>
        <w:t xml:space="preserve">בנושא תמחור פליטות </w:t>
      </w:r>
      <w:r>
        <w:rPr>
          <w:rFonts w:hint="cs"/>
          <w:rtl/>
        </w:rPr>
        <w:t>גז"ח</w:t>
      </w:r>
      <w:r>
        <w:rPr>
          <w:rFonts w:hint="cs"/>
          <w:rtl/>
        </w:rPr>
        <w:t xml:space="preserve">, </w:t>
      </w:r>
      <w:r w:rsidRPr="00855559">
        <w:rPr>
          <w:rtl/>
        </w:rPr>
        <w:t xml:space="preserve">שפורסמה בסמוך לסיום הביקורת, קבעה מתווה למיסוי פחמן ולכן מהווה צעד משמעותי של ממשלת ישראל להשגת יעדי הסכם פריז ולאימוץ מנגנונים אפקטיביים להפחתת פליטות </w:t>
      </w:r>
      <w:r w:rsidRPr="00855559">
        <w:rPr>
          <w:rtl/>
        </w:rPr>
        <w:t>גז"ח</w:t>
      </w:r>
      <w:r w:rsidRPr="00855559">
        <w:rPr>
          <w:rtl/>
        </w:rPr>
        <w:t>.</w:t>
      </w:r>
      <w:r>
        <w:rPr>
          <w:rFonts w:hint="cs"/>
          <w:rtl/>
        </w:rPr>
        <w:t xml:space="preserve"> ה</w:t>
      </w:r>
      <w:r w:rsidRPr="00855559">
        <w:rPr>
          <w:rtl/>
        </w:rPr>
        <w:t xml:space="preserve">ומלץ כי </w:t>
      </w:r>
      <w:r>
        <w:rPr>
          <w:rtl/>
        </w:rPr>
        <w:t>במסגרת הרפורמה בנושא מיסוי פחמן</w:t>
      </w:r>
      <w:r w:rsidRPr="00855559">
        <w:rPr>
          <w:rtl/>
        </w:rPr>
        <w:t xml:space="preserve"> ובעת קביעת שיעור מיסוי הפחמן על דלקים במונחי מס </w:t>
      </w:r>
      <w:r w:rsidRPr="00855559">
        <w:rPr>
          <w:rtl/>
        </w:rPr>
        <w:t xml:space="preserve">לטונה פחמן, כפי שנקבע בהחלטת הממשלה, יפעלו משרדי האוצר, </w:t>
      </w:r>
      <w:r w:rsidRPr="00855559">
        <w:rPr>
          <w:rtl/>
        </w:rPr>
        <w:t>הג"ס</w:t>
      </w:r>
      <w:r w:rsidRPr="00855559">
        <w:rPr>
          <w:rtl/>
        </w:rPr>
        <w:t xml:space="preserve">, </w:t>
      </w:r>
      <w:r w:rsidRPr="00855559">
        <w:rPr>
          <w:rtl/>
        </w:rPr>
        <w:t>האנרגייה</w:t>
      </w:r>
      <w:r w:rsidRPr="00855559">
        <w:rPr>
          <w:rtl/>
        </w:rPr>
        <w:t xml:space="preserve">, התחבורה והחוץ, עם רשות המיסים, רשות החשמל, המגזר העסקי והתעשיינים, לגיבוש המלצות על בסיס ראייה רוחבית של המשק הישראלי, ובכלל זאת יבחנו את השפעת התמחור על התעשייה המקומית, על כושר התחרות והיצוא הישראלי ועל אופי השימוש בתקבולי המס; יפעלו לגיבוש מערך תמריצים והשקעות ותוכנית של תשתיות וחלופות זמינות בראייה רוחבית ארוכת טווח לצורך מעבר </w:t>
      </w:r>
      <w:r w:rsidRPr="00855559">
        <w:rPr>
          <w:rtl/>
        </w:rPr>
        <w:t>לאנרגייה</w:t>
      </w:r>
      <w:r w:rsidRPr="00855559">
        <w:rPr>
          <w:rtl/>
        </w:rPr>
        <w:t xml:space="preserve"> מתחדשת; ויכללו מנגנון לבחינת אפקטיביות תמחור המס על המשק הישראלי.</w:t>
      </w:r>
    </w:p>
    <w:p w:rsidR="00F20E3F" w:rsidRPr="009D532C" w:rsidP="00885246" w14:paraId="09B4E087" w14:textId="77777777">
      <w:pPr>
        <w:pStyle w:val="101"/>
        <w:rPr>
          <w:rtl/>
        </w:rPr>
      </w:pPr>
      <w:r w:rsidRPr="009D532C">
        <w:rPr>
          <w:rStyle w:val="7"/>
          <w:rFonts w:eastAsiaTheme="minorHAnsi"/>
          <w:bCs/>
          <w:spacing w:val="20"/>
          <w:rtl/>
        </w:rPr>
        <w:t xml:space="preserve">תגובת </w:t>
      </w:r>
      <w:r w:rsidRPr="009D532C">
        <w:rPr>
          <w:rtl/>
        </w:rPr>
        <w:t>המשרד</w:t>
      </w:r>
      <w:r w:rsidRPr="009D532C">
        <w:rPr>
          <w:rFonts w:hint="eastAsia"/>
          <w:rtl/>
        </w:rPr>
        <w:t>ים</w:t>
      </w:r>
      <w:r w:rsidRPr="009D532C">
        <w:rPr>
          <w:rtl/>
        </w:rPr>
        <w:t xml:space="preserve"> על הדוח הקודם</w:t>
      </w:r>
      <w:r w:rsidRPr="009D532C">
        <w:rPr>
          <w:rStyle w:val="7"/>
          <w:rFonts w:eastAsiaTheme="minorHAnsi"/>
          <w:bCs/>
          <w:spacing w:val="20"/>
          <w:rtl/>
        </w:rPr>
        <w:t xml:space="preserve"> </w:t>
      </w:r>
    </w:p>
    <w:p w:rsidR="00F20E3F" w:rsidRPr="00981F98" w:rsidP="00C44928" w14:paraId="7B164E84" w14:textId="77777777">
      <w:pPr>
        <w:pStyle w:val="7114"/>
        <w:numPr>
          <w:ilvl w:val="0"/>
          <w:numId w:val="52"/>
        </w:numPr>
        <w:rPr>
          <w:rtl/>
        </w:rPr>
      </w:pPr>
      <w:r w:rsidRPr="00981F98">
        <w:rPr>
          <w:rStyle w:val="7"/>
          <w:rFonts w:eastAsiaTheme="minorHAnsi" w:hint="eastAsia"/>
          <w:b/>
          <w:spacing w:val="0"/>
          <w:rtl/>
        </w:rPr>
        <w:t>המשרד</w:t>
      </w:r>
      <w:r w:rsidRPr="00981F98">
        <w:rPr>
          <w:rStyle w:val="7"/>
          <w:rFonts w:eastAsiaTheme="minorHAnsi"/>
          <w:b/>
          <w:spacing w:val="0"/>
          <w:rtl/>
        </w:rPr>
        <w:t xml:space="preserve"> </w:t>
      </w:r>
      <w:r w:rsidRPr="00981F98">
        <w:rPr>
          <w:rStyle w:val="7"/>
          <w:rFonts w:eastAsiaTheme="minorHAnsi" w:hint="eastAsia"/>
          <w:b/>
          <w:spacing w:val="0"/>
          <w:rtl/>
        </w:rPr>
        <w:t>להג</w:t>
      </w:r>
      <w:r w:rsidRPr="00981F98">
        <w:rPr>
          <w:rStyle w:val="7"/>
          <w:rFonts w:eastAsiaTheme="minorHAnsi"/>
          <w:b/>
          <w:spacing w:val="0"/>
          <w:rtl/>
        </w:rPr>
        <w:t>"ס</w:t>
      </w:r>
      <w:r w:rsidRPr="00981F98">
        <w:rPr>
          <w:rStyle w:val="7"/>
          <w:rFonts w:eastAsiaTheme="minorHAnsi" w:hint="cs"/>
          <w:spacing w:val="0"/>
          <w:rtl/>
        </w:rPr>
        <w:t>:</w:t>
      </w:r>
      <w:r w:rsidRPr="00981F98">
        <w:rPr>
          <w:rtl/>
        </w:rPr>
        <w:t xml:space="preserve"> </w:t>
      </w:r>
      <w:r w:rsidRPr="00981F98">
        <w:rPr>
          <w:rFonts w:hint="cs"/>
          <w:rtl/>
        </w:rPr>
        <w:t xml:space="preserve">במסגרת </w:t>
      </w:r>
      <w:r w:rsidRPr="00981F98">
        <w:rPr>
          <w:rtl/>
        </w:rPr>
        <w:t>ההצעה למיסוי פחמן שעלתה ב</w:t>
      </w:r>
      <w:r w:rsidRPr="00981F98">
        <w:rPr>
          <w:rFonts w:hint="cs"/>
          <w:rtl/>
        </w:rPr>
        <w:t>הצעת מחליטים בחוק ההסדרים וב</w:t>
      </w:r>
      <w:r w:rsidRPr="00981F98">
        <w:rPr>
          <w:rtl/>
        </w:rPr>
        <w:t>מסגרת</w:t>
      </w:r>
      <w:r w:rsidRPr="00981F98">
        <w:rPr>
          <w:rFonts w:hint="cs"/>
          <w:rtl/>
        </w:rPr>
        <w:t xml:space="preserve"> </w:t>
      </w:r>
      <w:r w:rsidRPr="00981F98">
        <w:rPr>
          <w:rtl/>
        </w:rPr>
        <w:t>ההיערכות לדיונים בוועדת הכספים גובשו מנגנונים שונים שנותנים מענה הולם לנושאים</w:t>
      </w:r>
      <w:r w:rsidRPr="00981F98">
        <w:rPr>
          <w:rFonts w:hint="cs"/>
          <w:rtl/>
        </w:rPr>
        <w:t xml:space="preserve"> </w:t>
      </w:r>
      <w:r w:rsidRPr="00981F98">
        <w:rPr>
          <w:rtl/>
        </w:rPr>
        <w:t>שעלו בדוח הביקורת.</w:t>
      </w:r>
    </w:p>
    <w:p w:rsidR="00F20E3F" w:rsidRPr="00981F98" w:rsidP="00C44928" w14:paraId="21CF15FE" w14:textId="77777777">
      <w:pPr>
        <w:pStyle w:val="7114"/>
        <w:numPr>
          <w:ilvl w:val="0"/>
          <w:numId w:val="52"/>
        </w:numPr>
        <w:rPr>
          <w:rtl/>
        </w:rPr>
      </w:pPr>
      <w:r w:rsidRPr="00981F98">
        <w:rPr>
          <w:rStyle w:val="7"/>
          <w:rFonts w:eastAsiaTheme="minorHAnsi" w:hint="eastAsia"/>
          <w:b/>
          <w:spacing w:val="0"/>
          <w:rtl/>
        </w:rPr>
        <w:t>משרד</w:t>
      </w:r>
      <w:r w:rsidRPr="00981F98">
        <w:rPr>
          <w:rStyle w:val="7"/>
          <w:rFonts w:eastAsiaTheme="minorHAnsi"/>
          <w:b/>
          <w:spacing w:val="0"/>
          <w:rtl/>
        </w:rPr>
        <w:t xml:space="preserve"> </w:t>
      </w:r>
      <w:r w:rsidRPr="00981F98">
        <w:rPr>
          <w:rStyle w:val="7"/>
          <w:rFonts w:eastAsiaTheme="minorHAnsi" w:hint="eastAsia"/>
          <w:b/>
          <w:spacing w:val="0"/>
          <w:rtl/>
        </w:rPr>
        <w:t>האוצר</w:t>
      </w:r>
      <w:r w:rsidRPr="00981F98">
        <w:rPr>
          <w:rStyle w:val="7"/>
          <w:rFonts w:eastAsiaTheme="minorHAnsi"/>
          <w:b/>
          <w:spacing w:val="0"/>
          <w:rtl/>
        </w:rPr>
        <w:t>:</w:t>
      </w:r>
      <w:r w:rsidRPr="00981F98">
        <w:rPr>
          <w:rFonts w:hint="cs"/>
          <w:rtl/>
        </w:rPr>
        <w:t xml:space="preserve"> </w:t>
      </w:r>
      <w:r w:rsidRPr="00981F98">
        <w:rPr>
          <w:rtl/>
        </w:rPr>
        <w:t xml:space="preserve">החלטת </w:t>
      </w:r>
      <w:r w:rsidRPr="00981F98">
        <w:rPr>
          <w:rFonts w:hint="cs"/>
          <w:rtl/>
        </w:rPr>
        <w:t>ה</w:t>
      </w:r>
      <w:r w:rsidRPr="00981F98">
        <w:rPr>
          <w:rtl/>
        </w:rPr>
        <w:t>ממשלה 286 נקבעה על סמך בחינה מקצועית שע</w:t>
      </w:r>
      <w:r w:rsidRPr="00981F98">
        <w:rPr>
          <w:rFonts w:hint="cs"/>
          <w:rtl/>
        </w:rPr>
        <w:t>שו</w:t>
      </w:r>
      <w:r w:rsidRPr="00981F98">
        <w:rPr>
          <w:rtl/>
        </w:rPr>
        <w:t xml:space="preserve"> משרדי הממשלה </w:t>
      </w:r>
      <w:r w:rsidRPr="00981F98">
        <w:rPr>
          <w:rFonts w:hint="cs"/>
          <w:rtl/>
        </w:rPr>
        <w:t>המוזכרים</w:t>
      </w:r>
      <w:r w:rsidRPr="00981F98">
        <w:rPr>
          <w:rtl/>
        </w:rPr>
        <w:t xml:space="preserve"> בהמלצה. משרדי הממשלה פועלים לאור החלטת </w:t>
      </w:r>
      <w:r w:rsidRPr="00981F98">
        <w:rPr>
          <w:rFonts w:hint="cs"/>
          <w:rtl/>
        </w:rPr>
        <w:t>ה</w:t>
      </w:r>
      <w:r w:rsidRPr="00981F98">
        <w:rPr>
          <w:rtl/>
        </w:rPr>
        <w:t xml:space="preserve">ממשלה 286 לצורך קביעת מס פחמן במסגרת ועדת </w:t>
      </w:r>
      <w:r w:rsidRPr="00981F98">
        <w:rPr>
          <w:rFonts w:hint="cs"/>
          <w:rtl/>
        </w:rPr>
        <w:t>ה</w:t>
      </w:r>
      <w:r w:rsidRPr="00981F98">
        <w:rPr>
          <w:rtl/>
        </w:rPr>
        <w:t>כספים בכנסת</w:t>
      </w:r>
      <w:r w:rsidRPr="00981F98">
        <w:rPr>
          <w:rFonts w:hint="cs"/>
          <w:rtl/>
        </w:rPr>
        <w:t>.</w:t>
      </w:r>
    </w:p>
    <w:p w:rsidR="00F20E3F" w:rsidRPr="00981F98" w:rsidP="00C44928" w14:paraId="208B6474" w14:textId="77777777">
      <w:pPr>
        <w:pStyle w:val="7114"/>
        <w:numPr>
          <w:ilvl w:val="0"/>
          <w:numId w:val="52"/>
        </w:numPr>
      </w:pPr>
      <w:r w:rsidRPr="00981F98">
        <w:rPr>
          <w:rStyle w:val="7"/>
          <w:rFonts w:eastAsiaTheme="minorHAnsi" w:hint="eastAsia"/>
          <w:b/>
          <w:spacing w:val="0"/>
          <w:rtl/>
        </w:rPr>
        <w:t>משרד</w:t>
      </w:r>
      <w:r w:rsidRPr="00981F98">
        <w:rPr>
          <w:rStyle w:val="7"/>
          <w:rFonts w:eastAsiaTheme="minorHAnsi"/>
          <w:b/>
          <w:spacing w:val="0"/>
          <w:rtl/>
        </w:rPr>
        <w:t xml:space="preserve"> </w:t>
      </w:r>
      <w:r w:rsidRPr="00981F98">
        <w:rPr>
          <w:rStyle w:val="7"/>
          <w:rFonts w:eastAsiaTheme="minorHAnsi"/>
          <w:b/>
          <w:spacing w:val="0"/>
          <w:rtl/>
        </w:rPr>
        <w:t>האנרגייה</w:t>
      </w:r>
      <w:r w:rsidRPr="00981F98">
        <w:rPr>
          <w:rStyle w:val="7"/>
          <w:rFonts w:eastAsiaTheme="minorHAnsi"/>
          <w:b/>
          <w:spacing w:val="0"/>
          <w:rtl/>
        </w:rPr>
        <w:t>:</w:t>
      </w:r>
      <w:r w:rsidRPr="00981F98">
        <w:rPr>
          <w:rtl/>
        </w:rPr>
        <w:t xml:space="preserve"> </w:t>
      </w:r>
      <w:r w:rsidRPr="00981F98">
        <w:rPr>
          <w:rFonts w:hint="cs"/>
          <w:rtl/>
        </w:rPr>
        <w:t xml:space="preserve">את </w:t>
      </w:r>
      <w:r w:rsidRPr="00981F98">
        <w:rPr>
          <w:rtl/>
        </w:rPr>
        <w:t xml:space="preserve">מנגנון מס </w:t>
      </w:r>
      <w:r w:rsidRPr="00981F98">
        <w:rPr>
          <w:rFonts w:hint="cs"/>
          <w:rtl/>
        </w:rPr>
        <w:t>ה</w:t>
      </w:r>
      <w:r w:rsidRPr="00981F98">
        <w:rPr>
          <w:rtl/>
        </w:rPr>
        <w:t>פחמן מנהל</w:t>
      </w:r>
      <w:r w:rsidRPr="00981F98">
        <w:rPr>
          <w:rFonts w:hint="cs"/>
          <w:rtl/>
        </w:rPr>
        <w:t>ת</w:t>
      </w:r>
      <w:r w:rsidRPr="00981F98">
        <w:rPr>
          <w:rtl/>
        </w:rPr>
        <w:t xml:space="preserve"> הכלכלנית הראשית במשרד האוצר. </w:t>
      </w:r>
      <w:r w:rsidRPr="00981F98">
        <w:rPr>
          <w:rFonts w:hint="cs"/>
          <w:rtl/>
        </w:rPr>
        <w:t xml:space="preserve">בדצמבר 2021 </w:t>
      </w:r>
      <w:r w:rsidRPr="00981F98">
        <w:rPr>
          <w:rtl/>
        </w:rPr>
        <w:t xml:space="preserve">התקיים הדיון הראשון בכנסת על מס </w:t>
      </w:r>
      <w:r w:rsidRPr="00981F98">
        <w:rPr>
          <w:rFonts w:hint="cs"/>
          <w:rtl/>
        </w:rPr>
        <w:t>ה</w:t>
      </w:r>
      <w:r w:rsidRPr="00981F98">
        <w:rPr>
          <w:rtl/>
        </w:rPr>
        <w:t xml:space="preserve">פחמן. החלטה 286 קובעת כי משרד </w:t>
      </w:r>
      <w:r w:rsidRPr="00981F98">
        <w:rPr>
          <w:rtl/>
        </w:rPr>
        <w:t>האנרגייה</w:t>
      </w:r>
      <w:r w:rsidRPr="00981F98">
        <w:rPr>
          <w:rtl/>
        </w:rPr>
        <w:t xml:space="preserve"> יביא לממשלה </w:t>
      </w:r>
      <w:r w:rsidRPr="00981F98">
        <w:rPr>
          <w:rFonts w:hint="cs"/>
          <w:rtl/>
        </w:rPr>
        <w:t>ב</w:t>
      </w:r>
      <w:r w:rsidRPr="00981F98">
        <w:rPr>
          <w:rtl/>
        </w:rPr>
        <w:t>תוך 60 יום ת</w:t>
      </w:r>
      <w:r w:rsidRPr="00981F98">
        <w:rPr>
          <w:rFonts w:hint="cs"/>
          <w:rtl/>
        </w:rPr>
        <w:t>ו</w:t>
      </w:r>
      <w:r w:rsidRPr="00981F98">
        <w:rPr>
          <w:rtl/>
        </w:rPr>
        <w:t>כנית לאומית רב</w:t>
      </w:r>
      <w:r w:rsidRPr="00981F98">
        <w:rPr>
          <w:rFonts w:hint="cs"/>
          <w:rtl/>
        </w:rPr>
        <w:t>-</w:t>
      </w:r>
      <w:r w:rsidRPr="00981F98">
        <w:rPr>
          <w:rtl/>
        </w:rPr>
        <w:t xml:space="preserve">שנתית להתייעלות אנרגטית למגזר העסקי בדגש על </w:t>
      </w:r>
      <w:r w:rsidRPr="00981F98">
        <w:rPr>
          <w:rFonts w:hint="cs"/>
          <w:rtl/>
        </w:rPr>
        <w:t xml:space="preserve">סקטור </w:t>
      </w:r>
      <w:r w:rsidRPr="00981F98">
        <w:rPr>
          <w:rtl/>
        </w:rPr>
        <w:t xml:space="preserve">התעשייה </w:t>
      </w:r>
      <w:r w:rsidRPr="00981F98">
        <w:rPr>
          <w:rFonts w:hint="cs"/>
          <w:rtl/>
        </w:rPr>
        <w:t>ב</w:t>
      </w:r>
      <w:r w:rsidRPr="00981F98">
        <w:rPr>
          <w:rtl/>
        </w:rPr>
        <w:t xml:space="preserve">סך 350 מיליון ש"ח מתקציב משרד </w:t>
      </w:r>
      <w:r w:rsidRPr="00981F98">
        <w:rPr>
          <w:rtl/>
        </w:rPr>
        <w:t>האנרגייה</w:t>
      </w:r>
      <w:r w:rsidRPr="00981F98">
        <w:rPr>
          <w:rtl/>
        </w:rPr>
        <w:t>. אופן הקצאת התקציבים, בהתאם להחלטת הממשלה שתתקבל</w:t>
      </w:r>
      <w:r w:rsidRPr="00981F98">
        <w:rPr>
          <w:rFonts w:hint="cs"/>
          <w:rtl/>
        </w:rPr>
        <w:t>,</w:t>
      </w:r>
      <w:r w:rsidRPr="00981F98">
        <w:rPr>
          <w:rtl/>
        </w:rPr>
        <w:t xml:space="preserve"> ייעשה בהסכמות עם משרד האוצר, משרד </w:t>
      </w:r>
      <w:r w:rsidRPr="00981F98">
        <w:rPr>
          <w:rtl/>
        </w:rPr>
        <w:t>האנרגייה</w:t>
      </w:r>
      <w:r w:rsidRPr="00981F98">
        <w:rPr>
          <w:rtl/>
        </w:rPr>
        <w:t xml:space="preserve"> ומשרד הכלכלה והתעשייה</w:t>
      </w:r>
      <w:r w:rsidRPr="00981F98">
        <w:rPr>
          <w:rFonts w:hint="cs"/>
          <w:rtl/>
        </w:rPr>
        <w:t xml:space="preserve"> (להלן - משרד הכלכלה)</w:t>
      </w:r>
      <w:r w:rsidRPr="00981F98">
        <w:rPr>
          <w:rtl/>
        </w:rPr>
        <w:t>. החלטה זו התקבלה טרום אישור תקציב המדינה ולמעשה מומשה באישור הת</w:t>
      </w:r>
      <w:r w:rsidRPr="00981F98">
        <w:rPr>
          <w:rFonts w:hint="cs"/>
          <w:rtl/>
        </w:rPr>
        <w:t>ו</w:t>
      </w:r>
      <w:r w:rsidRPr="00981F98">
        <w:rPr>
          <w:rtl/>
        </w:rPr>
        <w:t xml:space="preserve">כנית הלאומית להתייעלות </w:t>
      </w:r>
      <w:r w:rsidRPr="00981F98">
        <w:rPr>
          <w:rtl/>
        </w:rPr>
        <w:t>באנרגייה</w:t>
      </w:r>
      <w:r w:rsidRPr="00981F98">
        <w:rPr>
          <w:rtl/>
        </w:rPr>
        <w:t xml:space="preserve"> והפחתת פליטות שאושרה בהחלטת </w:t>
      </w:r>
      <w:r w:rsidRPr="00981F98">
        <w:rPr>
          <w:rFonts w:hint="cs"/>
          <w:rtl/>
        </w:rPr>
        <w:t>ה</w:t>
      </w:r>
      <w:r w:rsidRPr="00981F98">
        <w:rPr>
          <w:rtl/>
        </w:rPr>
        <w:t xml:space="preserve">ממשלה 541 </w:t>
      </w:r>
      <w:r w:rsidRPr="00981F98">
        <w:rPr>
          <w:rFonts w:hint="cs"/>
          <w:rtl/>
        </w:rPr>
        <w:t>מאוקטובר 2021</w:t>
      </w:r>
      <w:r w:rsidRPr="00981F98">
        <w:rPr>
          <w:rtl/>
        </w:rPr>
        <w:t xml:space="preserve"> וכוללת תקציבים רבים אף מ</w:t>
      </w:r>
      <w:r w:rsidRPr="00981F98">
        <w:rPr>
          <w:rFonts w:hint="cs"/>
          <w:rtl/>
        </w:rPr>
        <w:t>לבד</w:t>
      </w:r>
      <w:r w:rsidRPr="00981F98">
        <w:rPr>
          <w:rtl/>
        </w:rPr>
        <w:t xml:space="preserve"> 350 מ</w:t>
      </w:r>
      <w:r w:rsidRPr="00981F98">
        <w:rPr>
          <w:rFonts w:hint="cs"/>
          <w:rtl/>
        </w:rPr>
        <w:t xml:space="preserve">יליון </w:t>
      </w:r>
      <w:r w:rsidRPr="00981F98">
        <w:rPr>
          <w:rtl/>
        </w:rPr>
        <w:t>ש"ח המחויבים בהחלט</w:t>
      </w:r>
      <w:r w:rsidRPr="00981F98">
        <w:rPr>
          <w:rFonts w:hint="cs"/>
          <w:rtl/>
        </w:rPr>
        <w:t>ת הממשלה</w:t>
      </w:r>
      <w:r w:rsidRPr="00981F98">
        <w:rPr>
          <w:rtl/>
        </w:rPr>
        <w:t xml:space="preserve"> 286.</w:t>
      </w:r>
    </w:p>
    <w:p w:rsidR="00F20E3F" w:rsidRPr="00981F98" w:rsidP="00981F98" w14:paraId="1E996BF1" w14:textId="77777777">
      <w:pPr>
        <w:pStyle w:val="7111"/>
      </w:pPr>
      <w:r w:rsidRPr="00981F98">
        <w:rPr>
          <w:rFonts w:hint="cs"/>
          <w:rtl/>
        </w:rPr>
        <w:t>כמו כן</w:t>
      </w:r>
      <w:r w:rsidRPr="00981F98">
        <w:rPr>
          <w:rtl/>
        </w:rPr>
        <w:t xml:space="preserve">, בהתאם להחלטת הממשלה 286 </w:t>
      </w:r>
      <w:r w:rsidRPr="00981F98">
        <w:rPr>
          <w:rFonts w:hint="cs"/>
          <w:rtl/>
        </w:rPr>
        <w:t>(</w:t>
      </w:r>
      <w:r w:rsidRPr="00981F98">
        <w:rPr>
          <w:rtl/>
        </w:rPr>
        <w:t>סעיף 2</w:t>
      </w:r>
      <w:r w:rsidRPr="00981F98">
        <w:rPr>
          <w:rFonts w:hint="cs"/>
          <w:rtl/>
        </w:rPr>
        <w:t>)</w:t>
      </w:r>
      <w:r w:rsidRPr="00981F98">
        <w:rPr>
          <w:rtl/>
        </w:rPr>
        <w:t>, הוקם צוות בין-משרדי ל</w:t>
      </w:r>
      <w:r w:rsidRPr="00981F98">
        <w:rPr>
          <w:rFonts w:hint="cs"/>
          <w:rtl/>
        </w:rPr>
        <w:t>צורך</w:t>
      </w:r>
      <w:r w:rsidRPr="00981F98">
        <w:rPr>
          <w:rtl/>
        </w:rPr>
        <w:t xml:space="preserve"> גיבוש המלצות על מנגנונים שיקלו </w:t>
      </w:r>
      <w:r w:rsidRPr="00981F98">
        <w:rPr>
          <w:rFonts w:hint="cs"/>
          <w:rtl/>
        </w:rPr>
        <w:t>את</w:t>
      </w:r>
      <w:r w:rsidRPr="00981F98">
        <w:rPr>
          <w:rtl/>
        </w:rPr>
        <w:t xml:space="preserve"> המעבר </w:t>
      </w:r>
      <w:r w:rsidRPr="00981F98">
        <w:rPr>
          <w:rtl/>
        </w:rPr>
        <w:t>לאנרגייה</w:t>
      </w:r>
      <w:r w:rsidRPr="00981F98">
        <w:rPr>
          <w:rtl/>
        </w:rPr>
        <w:t xml:space="preserve"> נק</w:t>
      </w:r>
      <w:r w:rsidRPr="00981F98">
        <w:rPr>
          <w:rFonts w:hint="cs"/>
          <w:rtl/>
        </w:rPr>
        <w:t>י</w:t>
      </w:r>
      <w:r w:rsidRPr="00981F98">
        <w:rPr>
          <w:rtl/>
        </w:rPr>
        <w:t>יה לאוכלוסיות מוחלשות.</w:t>
      </w:r>
      <w:r w:rsidRPr="00981F98">
        <w:rPr>
          <w:rFonts w:hint="cs"/>
          <w:rtl/>
        </w:rPr>
        <w:t xml:space="preserve"> </w:t>
      </w:r>
      <w:r w:rsidRPr="00981F98">
        <w:rPr>
          <w:rtl/>
        </w:rPr>
        <w:t xml:space="preserve">הצוות מבצע סקירה של מנגנונים קיימים בארץ ובעולם למתן תמיכה </w:t>
      </w:r>
      <w:r w:rsidRPr="00981F98">
        <w:rPr>
          <w:rFonts w:hint="cs"/>
          <w:rtl/>
        </w:rPr>
        <w:t>-</w:t>
      </w:r>
      <w:r w:rsidRPr="00981F98">
        <w:rPr>
          <w:rtl/>
        </w:rPr>
        <w:t xml:space="preserve"> ובכלל זה תמיכה ישירה במשקי בית פגיעים, מימון, סיוע </w:t>
      </w:r>
      <w:r w:rsidRPr="00981F98">
        <w:rPr>
          <w:rtl/>
        </w:rPr>
        <w:t>ותמרוץ</w:t>
      </w:r>
      <w:r w:rsidRPr="00981F98">
        <w:rPr>
          <w:rtl/>
        </w:rPr>
        <w:t xml:space="preserve"> של התייעלות של משקי </w:t>
      </w:r>
      <w:r w:rsidRPr="00981F98">
        <w:rPr>
          <w:rFonts w:hint="cs"/>
          <w:rtl/>
        </w:rPr>
        <w:t>ה</w:t>
      </w:r>
      <w:r w:rsidRPr="00981F98">
        <w:rPr>
          <w:rtl/>
        </w:rPr>
        <w:t xml:space="preserve">בית. ההמלצות יוגשו למנכ"ל משרד </w:t>
      </w:r>
      <w:r w:rsidRPr="00981F98">
        <w:rPr>
          <w:rtl/>
        </w:rPr>
        <w:t>האנרגייה</w:t>
      </w:r>
      <w:r w:rsidRPr="00981F98">
        <w:rPr>
          <w:rtl/>
        </w:rPr>
        <w:t xml:space="preserve"> בהתאם להחלטת הממשלה.</w:t>
      </w:r>
    </w:p>
    <w:p w:rsidR="00F20E3F" w:rsidRPr="00981F98" w:rsidP="00C44928" w14:paraId="7ECEC00F" w14:textId="77777777">
      <w:pPr>
        <w:pStyle w:val="7114"/>
        <w:numPr>
          <w:ilvl w:val="0"/>
          <w:numId w:val="72"/>
        </w:numPr>
      </w:pPr>
      <w:r w:rsidRPr="00981F98">
        <w:rPr>
          <w:rStyle w:val="7"/>
          <w:rFonts w:eastAsiaTheme="minorHAnsi" w:hint="eastAsia"/>
          <w:b/>
          <w:spacing w:val="0"/>
          <w:rtl/>
        </w:rPr>
        <w:t>משרד</w:t>
      </w:r>
      <w:r w:rsidRPr="00981F98">
        <w:rPr>
          <w:rStyle w:val="7"/>
          <w:rFonts w:eastAsiaTheme="minorHAnsi"/>
          <w:b/>
          <w:spacing w:val="0"/>
          <w:rtl/>
        </w:rPr>
        <w:t xml:space="preserve"> </w:t>
      </w:r>
      <w:r w:rsidRPr="00981F98">
        <w:rPr>
          <w:rStyle w:val="7"/>
          <w:rFonts w:eastAsiaTheme="minorHAnsi" w:hint="eastAsia"/>
          <w:b/>
          <w:spacing w:val="0"/>
          <w:rtl/>
        </w:rPr>
        <w:t>ראש</w:t>
      </w:r>
      <w:r w:rsidRPr="00981F98">
        <w:rPr>
          <w:rStyle w:val="7"/>
          <w:rFonts w:eastAsiaTheme="minorHAnsi"/>
          <w:b/>
          <w:spacing w:val="0"/>
          <w:rtl/>
        </w:rPr>
        <w:t xml:space="preserve"> </w:t>
      </w:r>
      <w:r w:rsidRPr="00981F98">
        <w:rPr>
          <w:rStyle w:val="7"/>
          <w:rFonts w:eastAsiaTheme="minorHAnsi" w:hint="eastAsia"/>
          <w:b/>
          <w:spacing w:val="0"/>
          <w:rtl/>
        </w:rPr>
        <w:t>הממשלה</w:t>
      </w:r>
      <w:r w:rsidRPr="00981F98">
        <w:rPr>
          <w:rStyle w:val="7"/>
          <w:rFonts w:eastAsiaTheme="minorHAnsi"/>
          <w:b/>
          <w:spacing w:val="0"/>
          <w:rtl/>
        </w:rPr>
        <w:t>:</w:t>
      </w:r>
      <w:r w:rsidRPr="00981F98">
        <w:rPr>
          <w:rFonts w:hint="cs"/>
          <w:rtl/>
        </w:rPr>
        <w:t xml:space="preserve"> </w:t>
      </w:r>
      <w:r w:rsidRPr="00981F98">
        <w:rPr>
          <w:rtl/>
        </w:rPr>
        <w:t>הליקוי אינו באחריות משרד ראש הממשלה</w:t>
      </w:r>
      <w:r w:rsidRPr="00981F98">
        <w:rPr>
          <w:rFonts w:hint="cs"/>
          <w:rtl/>
        </w:rPr>
        <w:t xml:space="preserve">. </w:t>
      </w:r>
    </w:p>
    <w:p w:rsidR="00F20E3F" w:rsidRPr="00981F98" w:rsidP="00C44928" w14:paraId="5CAAF28A" w14:textId="77777777">
      <w:pPr>
        <w:pStyle w:val="7114"/>
        <w:numPr>
          <w:ilvl w:val="0"/>
          <w:numId w:val="72"/>
        </w:numPr>
        <w:rPr>
          <w:rtl/>
        </w:rPr>
      </w:pPr>
      <w:r w:rsidRPr="00981F98">
        <w:rPr>
          <w:rStyle w:val="7"/>
          <w:rFonts w:eastAsiaTheme="minorHAnsi" w:hint="eastAsia"/>
          <w:b/>
          <w:spacing w:val="0"/>
          <w:rtl/>
        </w:rPr>
        <w:t>משרד</w:t>
      </w:r>
      <w:r w:rsidRPr="00981F98">
        <w:rPr>
          <w:rStyle w:val="7"/>
          <w:rFonts w:eastAsiaTheme="minorHAnsi"/>
          <w:b/>
          <w:spacing w:val="0"/>
          <w:rtl/>
        </w:rPr>
        <w:t xml:space="preserve"> התחבורה:</w:t>
      </w:r>
      <w:r w:rsidRPr="00981F98">
        <w:rPr>
          <w:rtl/>
        </w:rPr>
        <w:t xml:space="preserve"> הליקוי א</w:t>
      </w:r>
      <w:r w:rsidRPr="00981F98">
        <w:rPr>
          <w:rFonts w:hint="cs"/>
          <w:rtl/>
        </w:rPr>
        <w:t>ינו</w:t>
      </w:r>
      <w:r w:rsidRPr="00981F98">
        <w:rPr>
          <w:rtl/>
        </w:rPr>
        <w:t xml:space="preserve"> מופנה כלפי משרד התחבורה. מדובר בתעשייה של מוצרים המיועדים ליצוא.</w:t>
      </w:r>
    </w:p>
    <w:p w:rsidR="00F20E3F" w:rsidRPr="00981F98" w:rsidP="00C44928" w14:paraId="252771F9" w14:textId="77777777">
      <w:pPr>
        <w:pStyle w:val="7114"/>
        <w:numPr>
          <w:ilvl w:val="0"/>
          <w:numId w:val="72"/>
        </w:numPr>
        <w:rPr>
          <w:rtl/>
        </w:rPr>
      </w:pPr>
      <w:r w:rsidRPr="00981F98">
        <w:rPr>
          <w:rStyle w:val="7"/>
          <w:rFonts w:eastAsiaTheme="minorHAnsi" w:hint="eastAsia"/>
          <w:b/>
          <w:spacing w:val="0"/>
          <w:rtl/>
        </w:rPr>
        <w:t>משרד</w:t>
      </w:r>
      <w:r w:rsidRPr="00981F98">
        <w:rPr>
          <w:rStyle w:val="7"/>
          <w:rFonts w:eastAsiaTheme="minorHAnsi"/>
          <w:b/>
          <w:spacing w:val="0"/>
          <w:rtl/>
        </w:rPr>
        <w:t xml:space="preserve"> </w:t>
      </w:r>
      <w:r w:rsidRPr="00981F98">
        <w:rPr>
          <w:rStyle w:val="7"/>
          <w:rFonts w:eastAsiaTheme="minorHAnsi" w:hint="eastAsia"/>
          <w:b/>
          <w:spacing w:val="0"/>
          <w:rtl/>
        </w:rPr>
        <w:t>החוץ</w:t>
      </w:r>
      <w:r w:rsidRPr="00981F98">
        <w:rPr>
          <w:rStyle w:val="7"/>
          <w:rFonts w:eastAsiaTheme="minorHAnsi"/>
          <w:b/>
          <w:spacing w:val="0"/>
          <w:rtl/>
        </w:rPr>
        <w:t>:</w:t>
      </w:r>
      <w:r w:rsidRPr="00981F98">
        <w:rPr>
          <w:rtl/>
        </w:rPr>
        <w:t xml:space="preserve"> משרד החוץ פועל באופן שיטתי כדי להציב את הנושא של הש</w:t>
      </w:r>
      <w:r w:rsidRPr="00981F98">
        <w:rPr>
          <w:rFonts w:hint="cs"/>
          <w:rtl/>
        </w:rPr>
        <w:t>פע</w:t>
      </w:r>
      <w:r w:rsidRPr="00981F98">
        <w:rPr>
          <w:rtl/>
        </w:rPr>
        <w:t xml:space="preserve">ות מס </w:t>
      </w:r>
      <w:r w:rsidRPr="00981F98">
        <w:rPr>
          <w:rFonts w:hint="cs"/>
          <w:rtl/>
        </w:rPr>
        <w:t>ה</w:t>
      </w:r>
      <w:r w:rsidRPr="00981F98">
        <w:rPr>
          <w:rtl/>
        </w:rPr>
        <w:t>פחמן בעולם על המשק הישראלי. כן בכוונת המשרד לבחון את היתרונות הטמונים בנושא של סחר בי</w:t>
      </w:r>
      <w:r w:rsidRPr="00981F98">
        <w:rPr>
          <w:rFonts w:hint="cs"/>
          <w:rtl/>
        </w:rPr>
        <w:t>ן-</w:t>
      </w:r>
      <w:r w:rsidRPr="00981F98">
        <w:rPr>
          <w:rtl/>
        </w:rPr>
        <w:t>ל</w:t>
      </w:r>
      <w:r w:rsidRPr="00981F98">
        <w:rPr>
          <w:rFonts w:hint="cs"/>
          <w:rtl/>
        </w:rPr>
        <w:t>אומי</w:t>
      </w:r>
      <w:r w:rsidRPr="00981F98">
        <w:rPr>
          <w:rtl/>
        </w:rPr>
        <w:t xml:space="preserve"> בפליטות </w:t>
      </w:r>
      <w:r w:rsidRPr="00981F98">
        <w:rPr>
          <w:rtl/>
        </w:rPr>
        <w:t>גז</w:t>
      </w:r>
      <w:r w:rsidRPr="00981F98">
        <w:rPr>
          <w:rFonts w:hint="cs"/>
          <w:rtl/>
        </w:rPr>
        <w:t>"ח</w:t>
      </w:r>
      <w:r w:rsidRPr="00981F98">
        <w:rPr>
          <w:rFonts w:hint="cs"/>
          <w:rtl/>
        </w:rPr>
        <w:t xml:space="preserve"> ולפרסם</w:t>
      </w:r>
      <w:r w:rsidRPr="00981F98">
        <w:rPr>
          <w:rtl/>
        </w:rPr>
        <w:t xml:space="preserve"> את המידע </w:t>
      </w:r>
      <w:r w:rsidRPr="00981F98">
        <w:rPr>
          <w:rFonts w:hint="cs"/>
          <w:rtl/>
        </w:rPr>
        <w:t>ו</w:t>
      </w:r>
      <w:r w:rsidRPr="00981F98">
        <w:rPr>
          <w:rtl/>
        </w:rPr>
        <w:t xml:space="preserve">המלצותיו כיצד על המשק בישראל להשתלב בכך ולהפיק את מרב היתרונות שבשווקים אלו. </w:t>
      </w:r>
    </w:p>
    <w:p w:rsidR="00F20E3F" w:rsidRPr="0080333A" w:rsidP="0080333A" w14:paraId="06B8DE62" w14:textId="77777777">
      <w:pPr>
        <w:pStyle w:val="73120"/>
        <w:rPr>
          <w:rtl/>
        </w:rPr>
      </w:pPr>
      <w:r w:rsidRPr="0080333A">
        <w:rPr>
          <w:rFonts w:hint="cs"/>
          <w:rtl/>
        </w:rPr>
        <w:t xml:space="preserve">ביקורת המעקב </w:t>
      </w:r>
    </w:p>
    <w:p w:rsidR="00F20E3F" w:rsidP="00215F0A" w14:paraId="7D37FD89" w14:textId="77777777">
      <w:pPr>
        <w:pStyle w:val="7392"/>
        <w:rPr>
          <w:rtl/>
        </w:rPr>
      </w:pPr>
      <w:r>
        <w:rPr>
          <w:rFonts w:hint="cs"/>
          <w:rtl/>
        </w:rPr>
        <w:t>כ-</w:t>
      </w:r>
      <w:r w:rsidRPr="00EF5C7D">
        <w:rPr>
          <w:rFonts w:hint="cs"/>
          <w:rtl/>
        </w:rPr>
        <w:t xml:space="preserve">80% מפליטות </w:t>
      </w:r>
      <w:r>
        <w:rPr>
          <w:rFonts w:hint="cs"/>
          <w:rtl/>
        </w:rPr>
        <w:t>הגז"ח</w:t>
      </w:r>
      <w:r w:rsidRPr="00EF5C7D">
        <w:rPr>
          <w:rFonts w:hint="cs"/>
          <w:rtl/>
        </w:rPr>
        <w:t xml:space="preserve"> </w:t>
      </w:r>
      <w:r>
        <w:rPr>
          <w:rFonts w:hint="cs"/>
          <w:rtl/>
        </w:rPr>
        <w:t>בישראל מקורן</w:t>
      </w:r>
      <w:r w:rsidRPr="00EF5C7D">
        <w:rPr>
          <w:rFonts w:hint="cs"/>
          <w:rtl/>
        </w:rPr>
        <w:t xml:space="preserve"> </w:t>
      </w:r>
      <w:r>
        <w:rPr>
          <w:rFonts w:hint="cs"/>
          <w:rtl/>
        </w:rPr>
        <w:t>ב</w:t>
      </w:r>
      <w:r w:rsidRPr="00EF5C7D">
        <w:rPr>
          <w:rFonts w:hint="cs"/>
          <w:rtl/>
        </w:rPr>
        <w:t xml:space="preserve">שריפת דלקים לייצור </w:t>
      </w:r>
      <w:r>
        <w:rPr>
          <w:rFonts w:hint="cs"/>
          <w:rtl/>
        </w:rPr>
        <w:t>אנרגייה</w:t>
      </w:r>
      <w:r>
        <w:rPr>
          <w:rFonts w:hint="cs"/>
          <w:rtl/>
        </w:rPr>
        <w:t xml:space="preserve"> - בעיקר פחם, גז טבעי סולר ובנזין. יתר הפליטות מקורן בפסולת (כ-8%), גזי קירור (כ-7%) ומקורות אחרים (5%). הפליטות משריפת דלקים בלבד מתפלגות באופן הזה:</w:t>
      </w:r>
    </w:p>
    <w:p w:rsidR="00F20E3F" w:rsidRPr="002F2907" w:rsidP="002F2907" w14:paraId="680669DA" w14:textId="77777777">
      <w:pPr>
        <w:pStyle w:val="733"/>
        <w:rPr>
          <w:rtl/>
        </w:rPr>
      </w:pPr>
      <w:r w:rsidRPr="0080333A">
        <w:rPr>
          <w:rFonts w:hint="eastAsia"/>
          <w:b w:val="0"/>
          <w:bCs w:val="0"/>
          <w:rtl/>
        </w:rPr>
        <w:t>תרשים</w:t>
      </w:r>
      <w:r w:rsidRPr="0080333A">
        <w:rPr>
          <w:rFonts w:hint="cs"/>
          <w:b w:val="0"/>
          <w:bCs w:val="0"/>
          <w:rtl/>
        </w:rPr>
        <w:t xml:space="preserve"> 34</w:t>
      </w:r>
      <w:r w:rsidRPr="0080333A">
        <w:rPr>
          <w:b w:val="0"/>
          <w:bCs w:val="0"/>
          <w:rtl/>
        </w:rPr>
        <w:t>:</w:t>
      </w:r>
      <w:r w:rsidRPr="00947A1F">
        <w:rPr>
          <w:rFonts w:hint="cs"/>
          <w:rtl/>
        </w:rPr>
        <w:t xml:space="preserve"> </w:t>
      </w:r>
      <w:r>
        <w:rPr>
          <w:rFonts w:hint="cs"/>
          <w:rtl/>
        </w:rPr>
        <w:t xml:space="preserve">התפלגות </w:t>
      </w:r>
      <w:r w:rsidRPr="00947A1F">
        <w:rPr>
          <w:rFonts w:hint="cs"/>
          <w:rtl/>
        </w:rPr>
        <w:t xml:space="preserve">פליטות </w:t>
      </w:r>
      <w:r w:rsidRPr="00947A1F">
        <w:rPr>
          <w:rFonts w:hint="cs"/>
        </w:rPr>
        <w:t>C</w:t>
      </w:r>
      <w:r w:rsidRPr="00947A1F">
        <w:t>O</w:t>
      </w:r>
      <w:r w:rsidRPr="002F2907">
        <w:rPr>
          <w:vertAlign w:val="subscript"/>
        </w:rPr>
        <w:t>2</w:t>
      </w:r>
      <w:r>
        <w:rPr>
          <w:rFonts w:hint="cs"/>
          <w:rtl/>
        </w:rPr>
        <w:t xml:space="preserve"> משריפת דלקים בישראל, אומדן 2021</w:t>
      </w:r>
    </w:p>
    <w:p w:rsidR="00F20E3F" w:rsidRPr="0080333A" w:rsidP="001B31B5" w14:paraId="5917BE6A" w14:textId="36F264A9">
      <w:pPr>
        <w:jc w:val="center"/>
        <w:rPr>
          <w:rtl/>
        </w:rPr>
      </w:pPr>
      <w:r>
        <w:rPr>
          <w:noProof/>
          <w:rtl/>
          <w:lang w:val="he-IL"/>
        </w:rPr>
        <w:drawing>
          <wp:inline distT="0" distB="0" distL="0" distR="0">
            <wp:extent cx="4774616" cy="3484179"/>
            <wp:effectExtent l="0" t="0" r="0" b="0"/>
            <wp:docPr id="1882493753" name="תמונה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889499" name="תמונה 44"/>
                    <pic:cNvPicPr/>
                  </pic:nvPicPr>
                  <pic:blipFill>
                    <a:blip xmlns:r="http://schemas.openxmlformats.org/officeDocument/2006/relationships" r:embed="rId38">
                      <a:extLst>
                        <a:ext xmlns:a="http://schemas.openxmlformats.org/drawingml/2006/main" uri="{28A0092B-C50C-407E-A947-70E740481C1C}">
                          <a14:useLocalDpi xmlns:a14="http://schemas.microsoft.com/office/drawing/2010/main" val="0"/>
                        </a:ext>
                      </a:extLst>
                    </a:blip>
                    <a:stretch>
                      <a:fillRect/>
                    </a:stretch>
                  </pic:blipFill>
                  <pic:spPr>
                    <a:xfrm>
                      <a:off x="0" y="0"/>
                      <a:ext cx="4788570" cy="3494362"/>
                    </a:xfrm>
                    <a:prstGeom prst="rect">
                      <a:avLst/>
                    </a:prstGeom>
                  </pic:spPr>
                </pic:pic>
              </a:graphicData>
            </a:graphic>
          </wp:inline>
        </w:drawing>
      </w:r>
    </w:p>
    <w:p w:rsidR="00F20E3F" w:rsidRPr="00F271A9" w:rsidP="00F271A9" w14:paraId="7EF0C9C3" w14:textId="77777777">
      <w:pPr>
        <w:pStyle w:val="737"/>
        <w:rPr>
          <w:rtl/>
        </w:rPr>
      </w:pPr>
      <w:r w:rsidRPr="00F271A9">
        <w:rPr>
          <w:rFonts w:hint="cs"/>
          <w:rtl/>
        </w:rPr>
        <w:t>המקור: משרד האוצר, 2021,</w:t>
      </w:r>
      <w:r w:rsidRPr="00F271A9">
        <w:rPr>
          <w:rFonts w:hint="cs"/>
        </w:rPr>
        <w:t xml:space="preserve"> </w:t>
      </w:r>
      <w:r w:rsidRPr="00F271A9">
        <w:rPr>
          <w:rFonts w:hint="cs"/>
          <w:rtl/>
        </w:rPr>
        <w:t>בעיבוד משרד מבקר המדינה.</w:t>
      </w:r>
    </w:p>
    <w:p w:rsidR="00F20E3F" w:rsidP="00215F0A" w14:paraId="76793533" w14:textId="520BAA25">
      <w:pPr>
        <w:pStyle w:val="7392"/>
        <w:rPr>
          <w:rtl/>
        </w:rPr>
      </w:pPr>
      <w:r>
        <w:rPr>
          <w:rFonts w:hint="cs"/>
          <w:rtl/>
        </w:rPr>
        <w:t>על פי התרשים, נכון לשנת 2021, כ-40% מפליטות ה-</w:t>
      </w:r>
      <w:r w:rsidRPr="002F2907">
        <w:rPr>
          <w:rFonts w:hint="cs"/>
        </w:rPr>
        <w:t>CO</w:t>
      </w:r>
      <w:r w:rsidRPr="002F2907">
        <w:rPr>
          <w:vertAlign w:val="subscript"/>
        </w:rPr>
        <w:t>2</w:t>
      </w:r>
      <w:r>
        <w:rPr>
          <w:sz w:val="24"/>
          <w:rtl/>
        </w:rPr>
        <w:t xml:space="preserve"> </w:t>
      </w:r>
      <w:r>
        <w:rPr>
          <w:rFonts w:hint="cs"/>
          <w:rtl/>
        </w:rPr>
        <w:t xml:space="preserve">מדלקים מקורן בשריפת גז טבעי, </w:t>
      </w:r>
      <w:r w:rsidR="001B31B5">
        <w:rPr>
          <w:rtl/>
        </w:rPr>
        <w:br/>
      </w:r>
      <w:r>
        <w:rPr>
          <w:rFonts w:hint="cs"/>
          <w:rtl/>
        </w:rPr>
        <w:t>ו-23% מהן מקורן בשריפת פחם. הפחם והגז הטבעי משמשים בעיקר לייצור חשמל. 15% מהפליטות מקורן בבנזין ו-14% בסולר - שני דלקים המשמשים לתחבורה, והיתרה - כ-8% - מקורה בדלקים מסוגים אחרים, בעיקר כאלו המשמשים לתעשייה</w:t>
      </w:r>
      <w:r>
        <w:rPr>
          <w:vertAlign w:val="superscript"/>
          <w:rtl/>
        </w:rPr>
        <w:footnoteReference w:id="45"/>
      </w:r>
      <w:r>
        <w:rPr>
          <w:rFonts w:hint="cs"/>
          <w:rtl/>
        </w:rPr>
        <w:t xml:space="preserve">. </w:t>
      </w:r>
    </w:p>
    <w:p w:rsidR="00F20E3F" w:rsidRPr="002F2907" w:rsidP="0080333A" w14:paraId="22FACD01" w14:textId="68765D9A">
      <w:pPr>
        <w:pStyle w:val="733"/>
        <w:rPr>
          <w:rtl/>
        </w:rPr>
      </w:pPr>
      <w:r w:rsidRPr="0080333A">
        <w:rPr>
          <w:rFonts w:hint="eastAsia"/>
          <w:b w:val="0"/>
          <w:bCs w:val="0"/>
          <w:rtl/>
        </w:rPr>
        <w:t>תרשים</w:t>
      </w:r>
      <w:r w:rsidRPr="0080333A">
        <w:rPr>
          <w:rFonts w:hint="cs"/>
          <w:b w:val="0"/>
          <w:bCs w:val="0"/>
          <w:rtl/>
        </w:rPr>
        <w:t xml:space="preserve"> 35</w:t>
      </w:r>
      <w:r w:rsidRPr="0080333A">
        <w:rPr>
          <w:b w:val="0"/>
          <w:bCs w:val="0"/>
          <w:rtl/>
        </w:rPr>
        <w:t>:</w:t>
      </w:r>
      <w:r w:rsidRPr="003E4969">
        <w:rPr>
          <w:rFonts w:hint="cs"/>
          <w:rtl/>
        </w:rPr>
        <w:t xml:space="preserve"> הבלו לעומת העלויות החיצוניות </w:t>
      </w:r>
      <w:r>
        <w:rPr>
          <w:rFonts w:hint="cs"/>
          <w:rtl/>
        </w:rPr>
        <w:t xml:space="preserve">של פליטות מזהמים </w:t>
      </w:r>
      <w:r w:rsidRPr="003E4969">
        <w:rPr>
          <w:rFonts w:hint="cs"/>
          <w:rtl/>
        </w:rPr>
        <w:t>ו</w:t>
      </w:r>
      <w:r>
        <w:rPr>
          <w:rFonts w:hint="cs"/>
          <w:rtl/>
        </w:rPr>
        <w:t>ג</w:t>
      </w:r>
      <w:r w:rsidRPr="003E4969">
        <w:rPr>
          <w:rFonts w:hint="cs"/>
          <w:rtl/>
        </w:rPr>
        <w:t>ז</w:t>
      </w:r>
      <w:r>
        <w:rPr>
          <w:rFonts w:hint="cs"/>
          <w:rtl/>
        </w:rPr>
        <w:t>"ח</w:t>
      </w:r>
      <w:r w:rsidRPr="003E4969">
        <w:rPr>
          <w:rFonts w:hint="cs"/>
          <w:rtl/>
        </w:rPr>
        <w:t xml:space="preserve"> </w:t>
      </w:r>
      <w:r>
        <w:rPr>
          <w:rFonts w:hint="cs"/>
          <w:rtl/>
        </w:rPr>
        <w:t xml:space="preserve">לאוויר </w:t>
      </w:r>
      <w:r w:rsidRPr="003E4969">
        <w:rPr>
          <w:rFonts w:hint="cs"/>
          <w:rtl/>
        </w:rPr>
        <w:t>משריפת דלקים</w:t>
      </w:r>
      <w:r>
        <w:rPr>
          <w:rFonts w:hint="cs"/>
          <w:rtl/>
        </w:rPr>
        <w:t>, נכון לינואר 2021</w:t>
      </w:r>
      <w:r w:rsidR="000F2903">
        <w:rPr>
          <w:rFonts w:hint="cs"/>
          <w:rtl/>
        </w:rPr>
        <w:t>*</w:t>
      </w:r>
    </w:p>
    <w:p w:rsidR="00F20E3F" w:rsidRPr="003E4969" w:rsidP="0080333A" w14:paraId="0A97735D" w14:textId="77777777">
      <w:pPr>
        <w:spacing w:line="269" w:lineRule="auto"/>
        <w:jc w:val="center"/>
        <w:rPr>
          <w:b/>
          <w:bCs/>
          <w:rtl/>
        </w:rPr>
      </w:pPr>
      <w:r>
        <w:rPr>
          <w:noProof/>
        </w:rPr>
        <w:drawing>
          <wp:inline distT="0" distB="0" distL="0" distR="0">
            <wp:extent cx="4530090" cy="4650827"/>
            <wp:effectExtent l="0" t="0" r="0" b="0"/>
            <wp:docPr id="15" name="תמונה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106776" name="תמונה 15"/>
                    <pic:cNvPicPr/>
                  </pic:nvPicPr>
                  <pic:blipFill>
                    <a:blip xmlns:r="http://schemas.openxmlformats.org/officeDocument/2006/relationships" r:embed="rId39">
                      <a:extLst>
                        <a:ext xmlns:a="http://schemas.openxmlformats.org/drawingml/2006/main" uri="{28A0092B-C50C-407E-A947-70E740481C1C}">
                          <a14:useLocalDpi xmlns:a14="http://schemas.microsoft.com/office/drawing/2010/main" val="0"/>
                        </a:ext>
                      </a:extLst>
                    </a:blip>
                    <a:stretch>
                      <a:fillRect/>
                    </a:stretch>
                  </pic:blipFill>
                  <pic:spPr>
                    <a:xfrm>
                      <a:off x="0" y="0"/>
                      <a:ext cx="4540735" cy="4661755"/>
                    </a:xfrm>
                    <a:prstGeom prst="rect">
                      <a:avLst/>
                    </a:prstGeom>
                  </pic:spPr>
                </pic:pic>
              </a:graphicData>
            </a:graphic>
          </wp:inline>
        </w:drawing>
      </w:r>
    </w:p>
    <w:p w:rsidR="00F20E3F" w:rsidRPr="002F2907" w:rsidP="0080333A" w14:paraId="6F315BA6" w14:textId="77777777">
      <w:pPr>
        <w:pStyle w:val="737"/>
        <w:spacing w:after="0"/>
        <w:rPr>
          <w:rtl/>
        </w:rPr>
      </w:pPr>
      <w:r w:rsidRPr="002F2907">
        <w:rPr>
          <w:rFonts w:hint="cs"/>
          <w:rtl/>
        </w:rPr>
        <w:t xml:space="preserve">המקור: המשרד </w:t>
      </w:r>
      <w:r w:rsidRPr="002F2907">
        <w:rPr>
          <w:rFonts w:hint="cs"/>
          <w:rtl/>
        </w:rPr>
        <w:t>להג"ס</w:t>
      </w:r>
      <w:r w:rsidRPr="002F2907">
        <w:rPr>
          <w:rFonts w:hint="cs"/>
          <w:rtl/>
        </w:rPr>
        <w:t>, בעיבוד משרד מבקר המדינה.</w:t>
      </w:r>
    </w:p>
    <w:p w:rsidR="00F20E3F" w:rsidRPr="00A16551" w:rsidP="000F2903" w14:paraId="366EC9E0" w14:textId="1BA510AB">
      <w:pPr>
        <w:pStyle w:val="737"/>
        <w:spacing w:before="0" w:after="0"/>
        <w:ind w:left="424" w:hanging="425"/>
        <w:rPr>
          <w:rtl/>
        </w:rPr>
      </w:pPr>
      <w:r>
        <w:rPr>
          <w:rFonts w:hint="cs"/>
          <w:rtl/>
        </w:rPr>
        <w:t xml:space="preserve">* </w:t>
      </w:r>
      <w:r w:rsidR="0080333A">
        <w:tab/>
      </w:r>
      <w:r>
        <w:rPr>
          <w:rFonts w:hint="cs"/>
          <w:rtl/>
        </w:rPr>
        <w:t xml:space="preserve">העלויות החיצוניות של דלקים לתחבורה (סולר ובנזין) לא כוללים עלויות חיצוניות שאינן סביבתיות (עלויות גודש, תאונות דרכים ותשתיות) או עלויות סביבתיות נוספות בהן רעש ופגיעה בבתי גידול. </w:t>
      </w:r>
      <w:r w:rsidR="000F2903">
        <w:rPr>
          <w:rFonts w:hint="cs"/>
          <w:rtl/>
        </w:rPr>
        <w:t xml:space="preserve">בנוסף, </w:t>
      </w:r>
      <w:r w:rsidRPr="009D7082" w:rsidR="000F2903">
        <w:rPr>
          <w:rtl/>
        </w:rPr>
        <w:t xml:space="preserve">הבלו </w:t>
      </w:r>
      <w:r w:rsidR="000F2903">
        <w:rPr>
          <w:rFonts w:hint="cs"/>
          <w:rtl/>
        </w:rPr>
        <w:t>על ה</w:t>
      </w:r>
      <w:r w:rsidRPr="009D7082" w:rsidR="000F2903">
        <w:rPr>
          <w:rtl/>
        </w:rPr>
        <w:t xml:space="preserve">סולר </w:t>
      </w:r>
      <w:r w:rsidR="000F2903">
        <w:rPr>
          <w:rFonts w:hint="cs"/>
          <w:rtl/>
        </w:rPr>
        <w:t>ב</w:t>
      </w:r>
      <w:r w:rsidRPr="009D7082" w:rsidR="000F2903">
        <w:rPr>
          <w:rtl/>
        </w:rPr>
        <w:t>הערכת יתר, שכן בפועל ישנו מנגנון מיסוי אפקטיבי המקנה הישבון (החזר</w:t>
      </w:r>
      <w:r w:rsidR="000F2903">
        <w:rPr>
          <w:rFonts w:hint="cs"/>
          <w:rtl/>
        </w:rPr>
        <w:t>)</w:t>
      </w:r>
      <w:r w:rsidRPr="009D7082" w:rsidR="000F2903">
        <w:rPr>
          <w:rtl/>
        </w:rPr>
        <w:t xml:space="preserve"> מס על תשלום בלו על צריכת סולר עבור צרכנים מוגדרים</w:t>
      </w:r>
      <w:r w:rsidR="000F2903">
        <w:rPr>
          <w:rFonts w:hint="cs"/>
          <w:rtl/>
        </w:rPr>
        <w:t xml:space="preserve"> (ראה להלן).</w:t>
      </w:r>
    </w:p>
    <w:p w:rsidR="00F20E3F" w:rsidRPr="00703BF5" w:rsidP="00703BF5" w14:paraId="53436F3D" w14:textId="77777777">
      <w:pPr>
        <w:pStyle w:val="7317"/>
        <w:rPr>
          <w:rtl/>
        </w:rPr>
      </w:pPr>
      <w:r w:rsidRPr="00703BF5">
        <w:rPr>
          <w:rFonts w:hint="cs"/>
          <w:rtl/>
        </w:rPr>
        <w:t xml:space="preserve">עלה כי </w:t>
      </w:r>
      <w:r w:rsidRPr="00703BF5">
        <w:rPr>
          <w:rFonts w:hint="eastAsia"/>
          <w:rtl/>
        </w:rPr>
        <w:t>שיעור</w:t>
      </w:r>
      <w:r w:rsidRPr="00703BF5">
        <w:rPr>
          <w:rtl/>
        </w:rPr>
        <w:t xml:space="preserve"> </w:t>
      </w:r>
      <w:r w:rsidRPr="00703BF5">
        <w:rPr>
          <w:rFonts w:hint="eastAsia"/>
          <w:rtl/>
        </w:rPr>
        <w:t>פליטות</w:t>
      </w:r>
      <w:r w:rsidRPr="00703BF5">
        <w:rPr>
          <w:rtl/>
        </w:rPr>
        <w:t xml:space="preserve"> </w:t>
      </w:r>
      <w:r w:rsidRPr="00703BF5">
        <w:rPr>
          <w:rFonts w:hint="cs"/>
          <w:rtl/>
        </w:rPr>
        <w:t>ה</w:t>
      </w:r>
      <w:r w:rsidRPr="00703BF5">
        <w:rPr>
          <w:rFonts w:hint="eastAsia"/>
          <w:rtl/>
        </w:rPr>
        <w:t>גז</w:t>
      </w:r>
      <w:r w:rsidRPr="00703BF5">
        <w:rPr>
          <w:rtl/>
        </w:rPr>
        <w:t>"ח</w:t>
      </w:r>
      <w:r w:rsidRPr="00703BF5">
        <w:rPr>
          <w:rtl/>
        </w:rPr>
        <w:t xml:space="preserve"> </w:t>
      </w:r>
      <w:r w:rsidRPr="00703BF5">
        <w:rPr>
          <w:rFonts w:hint="eastAsia"/>
          <w:rtl/>
        </w:rPr>
        <w:t>משריפת</w:t>
      </w:r>
      <w:r w:rsidRPr="00703BF5">
        <w:rPr>
          <w:rtl/>
        </w:rPr>
        <w:t xml:space="preserve"> </w:t>
      </w:r>
      <w:r w:rsidRPr="00703BF5">
        <w:rPr>
          <w:rFonts w:hint="eastAsia"/>
          <w:rtl/>
        </w:rPr>
        <w:t>פחם</w:t>
      </w:r>
      <w:r w:rsidRPr="00703BF5">
        <w:rPr>
          <w:rtl/>
        </w:rPr>
        <w:t xml:space="preserve"> </w:t>
      </w:r>
      <w:r w:rsidRPr="00703BF5">
        <w:rPr>
          <w:rFonts w:hint="eastAsia"/>
          <w:rtl/>
        </w:rPr>
        <w:t>וגז</w:t>
      </w:r>
      <w:r w:rsidRPr="00703BF5">
        <w:rPr>
          <w:rtl/>
        </w:rPr>
        <w:t xml:space="preserve"> </w:t>
      </w:r>
      <w:r w:rsidRPr="00703BF5">
        <w:rPr>
          <w:rFonts w:hint="eastAsia"/>
          <w:rtl/>
        </w:rPr>
        <w:t>טבעי</w:t>
      </w:r>
      <w:r w:rsidRPr="00703BF5">
        <w:rPr>
          <w:rtl/>
        </w:rPr>
        <w:t xml:space="preserve"> </w:t>
      </w:r>
      <w:r w:rsidRPr="00703BF5">
        <w:rPr>
          <w:rFonts w:hint="eastAsia"/>
          <w:rtl/>
        </w:rPr>
        <w:t>מגיע</w:t>
      </w:r>
      <w:r w:rsidRPr="00703BF5">
        <w:rPr>
          <w:rtl/>
        </w:rPr>
        <w:t xml:space="preserve"> </w:t>
      </w:r>
      <w:r w:rsidRPr="00703BF5">
        <w:rPr>
          <w:rFonts w:hint="eastAsia"/>
          <w:rtl/>
        </w:rPr>
        <w:t>ל</w:t>
      </w:r>
      <w:r w:rsidRPr="00703BF5">
        <w:rPr>
          <w:rtl/>
        </w:rPr>
        <w:t xml:space="preserve">-63% </w:t>
      </w:r>
      <w:r w:rsidRPr="00703BF5">
        <w:rPr>
          <w:rFonts w:hint="eastAsia"/>
          <w:rtl/>
        </w:rPr>
        <w:t>מכלל</w:t>
      </w:r>
      <w:r w:rsidRPr="00703BF5">
        <w:rPr>
          <w:rtl/>
        </w:rPr>
        <w:t xml:space="preserve"> </w:t>
      </w:r>
      <w:r w:rsidRPr="00703BF5">
        <w:rPr>
          <w:rFonts w:hint="eastAsia"/>
          <w:rtl/>
        </w:rPr>
        <w:t>פליטות</w:t>
      </w:r>
      <w:r w:rsidRPr="00703BF5">
        <w:rPr>
          <w:rtl/>
        </w:rPr>
        <w:t xml:space="preserve"> </w:t>
      </w:r>
      <w:r w:rsidRPr="00703BF5">
        <w:rPr>
          <w:rFonts w:hint="cs"/>
          <w:rtl/>
        </w:rPr>
        <w:t>ה</w:t>
      </w:r>
      <w:r w:rsidRPr="00703BF5">
        <w:rPr>
          <w:rFonts w:hint="eastAsia"/>
          <w:rtl/>
        </w:rPr>
        <w:t>גז</w:t>
      </w:r>
      <w:r w:rsidRPr="00703BF5">
        <w:rPr>
          <w:rtl/>
        </w:rPr>
        <w:t>"ח</w:t>
      </w:r>
      <w:r w:rsidRPr="00703BF5">
        <w:rPr>
          <w:rtl/>
        </w:rPr>
        <w:t xml:space="preserve"> </w:t>
      </w:r>
      <w:r w:rsidRPr="00703BF5">
        <w:rPr>
          <w:rFonts w:hint="eastAsia"/>
          <w:rtl/>
        </w:rPr>
        <w:t>בישראל</w:t>
      </w:r>
      <w:r w:rsidRPr="00703BF5">
        <w:rPr>
          <w:rtl/>
        </w:rPr>
        <w:t xml:space="preserve">, </w:t>
      </w:r>
      <w:r w:rsidRPr="00703BF5">
        <w:rPr>
          <w:rFonts w:hint="eastAsia"/>
          <w:rtl/>
        </w:rPr>
        <w:t>אולם</w:t>
      </w:r>
      <w:r w:rsidRPr="00703BF5">
        <w:rPr>
          <w:rtl/>
        </w:rPr>
        <w:t xml:space="preserve"> </w:t>
      </w:r>
      <w:r w:rsidRPr="00703BF5">
        <w:rPr>
          <w:rFonts w:hint="eastAsia"/>
          <w:rtl/>
        </w:rPr>
        <w:t>נתוני</w:t>
      </w:r>
      <w:r w:rsidRPr="00703BF5">
        <w:rPr>
          <w:rtl/>
        </w:rPr>
        <w:t xml:space="preserve"> </w:t>
      </w:r>
      <w:r w:rsidRPr="00703BF5">
        <w:rPr>
          <w:rFonts w:hint="eastAsia"/>
          <w:rtl/>
        </w:rPr>
        <w:t>הלוח</w:t>
      </w:r>
      <w:r w:rsidRPr="00703BF5">
        <w:rPr>
          <w:rtl/>
        </w:rPr>
        <w:t xml:space="preserve"> </w:t>
      </w:r>
      <w:r w:rsidRPr="00703BF5">
        <w:rPr>
          <w:rFonts w:hint="eastAsia"/>
          <w:rtl/>
        </w:rPr>
        <w:t>מלמדים</w:t>
      </w:r>
      <w:r w:rsidRPr="00703BF5">
        <w:rPr>
          <w:rtl/>
        </w:rPr>
        <w:t xml:space="preserve"> </w:t>
      </w:r>
      <w:r w:rsidRPr="00703BF5">
        <w:rPr>
          <w:rFonts w:hint="eastAsia"/>
          <w:rtl/>
        </w:rPr>
        <w:t>כי</w:t>
      </w:r>
      <w:r w:rsidRPr="00703BF5">
        <w:rPr>
          <w:rtl/>
        </w:rPr>
        <w:t xml:space="preserve"> </w:t>
      </w:r>
      <w:r w:rsidRPr="00703BF5">
        <w:rPr>
          <w:rFonts w:hint="eastAsia"/>
          <w:rtl/>
        </w:rPr>
        <w:t>בהיעדר</w:t>
      </w:r>
      <w:r w:rsidRPr="00703BF5">
        <w:rPr>
          <w:rtl/>
        </w:rPr>
        <w:t xml:space="preserve"> </w:t>
      </w:r>
      <w:r w:rsidRPr="00703BF5">
        <w:rPr>
          <w:rFonts w:hint="eastAsia"/>
          <w:rtl/>
        </w:rPr>
        <w:t>מס</w:t>
      </w:r>
      <w:r w:rsidRPr="00703BF5">
        <w:rPr>
          <w:rtl/>
        </w:rPr>
        <w:t xml:space="preserve"> </w:t>
      </w:r>
      <w:r w:rsidRPr="00703BF5">
        <w:rPr>
          <w:rFonts w:hint="eastAsia"/>
          <w:rtl/>
        </w:rPr>
        <w:t>פחמן</w:t>
      </w:r>
      <w:r w:rsidRPr="00703BF5">
        <w:rPr>
          <w:rtl/>
        </w:rPr>
        <w:t xml:space="preserve">, </w:t>
      </w:r>
      <w:r w:rsidRPr="00703BF5">
        <w:rPr>
          <w:rFonts w:hint="eastAsia"/>
          <w:rtl/>
        </w:rPr>
        <w:t>ההפנמה</w:t>
      </w:r>
      <w:r w:rsidRPr="00703BF5">
        <w:rPr>
          <w:rtl/>
        </w:rPr>
        <w:t xml:space="preserve"> </w:t>
      </w:r>
      <w:r w:rsidRPr="00703BF5">
        <w:rPr>
          <w:rFonts w:hint="eastAsia"/>
          <w:rtl/>
        </w:rPr>
        <w:t>של</w:t>
      </w:r>
      <w:r w:rsidRPr="00703BF5">
        <w:rPr>
          <w:rtl/>
        </w:rPr>
        <w:t xml:space="preserve"> </w:t>
      </w:r>
      <w:r w:rsidRPr="00703BF5">
        <w:rPr>
          <w:rFonts w:hint="cs"/>
          <w:rtl/>
        </w:rPr>
        <w:t>ה</w:t>
      </w:r>
      <w:r w:rsidRPr="00703BF5">
        <w:rPr>
          <w:rFonts w:hint="eastAsia"/>
          <w:rtl/>
        </w:rPr>
        <w:t>עלויות</w:t>
      </w:r>
      <w:r w:rsidRPr="00703BF5">
        <w:rPr>
          <w:rtl/>
        </w:rPr>
        <w:t xml:space="preserve"> </w:t>
      </w:r>
      <w:r w:rsidRPr="00703BF5">
        <w:rPr>
          <w:rFonts w:hint="cs"/>
          <w:rtl/>
        </w:rPr>
        <w:t>ה</w:t>
      </w:r>
      <w:r w:rsidRPr="00703BF5">
        <w:rPr>
          <w:rFonts w:hint="eastAsia"/>
          <w:rtl/>
        </w:rPr>
        <w:t>חיצוניות</w:t>
      </w:r>
      <w:r w:rsidRPr="00703BF5">
        <w:rPr>
          <w:rtl/>
        </w:rPr>
        <w:t xml:space="preserve"> </w:t>
      </w:r>
      <w:r w:rsidRPr="00703BF5">
        <w:rPr>
          <w:rFonts w:hint="eastAsia"/>
          <w:rtl/>
        </w:rPr>
        <w:t>של</w:t>
      </w:r>
      <w:r w:rsidRPr="00703BF5">
        <w:rPr>
          <w:rtl/>
        </w:rPr>
        <w:t xml:space="preserve"> </w:t>
      </w:r>
      <w:r w:rsidRPr="00703BF5">
        <w:rPr>
          <w:rFonts w:hint="eastAsia"/>
          <w:rtl/>
        </w:rPr>
        <w:t>פליטות</w:t>
      </w:r>
      <w:r w:rsidRPr="00703BF5">
        <w:rPr>
          <w:rtl/>
        </w:rPr>
        <w:t xml:space="preserve"> </w:t>
      </w:r>
      <w:r w:rsidRPr="00703BF5">
        <w:rPr>
          <w:rFonts w:hint="eastAsia"/>
          <w:rtl/>
        </w:rPr>
        <w:t>מזהמים</w:t>
      </w:r>
      <w:r w:rsidRPr="00703BF5">
        <w:rPr>
          <w:rtl/>
        </w:rPr>
        <w:t xml:space="preserve"> </w:t>
      </w:r>
      <w:r w:rsidRPr="00703BF5">
        <w:rPr>
          <w:rFonts w:hint="eastAsia"/>
          <w:rtl/>
        </w:rPr>
        <w:t>וגז</w:t>
      </w:r>
      <w:r w:rsidRPr="00703BF5">
        <w:rPr>
          <w:rtl/>
        </w:rPr>
        <w:t>"ח</w:t>
      </w:r>
      <w:r w:rsidRPr="00703BF5">
        <w:rPr>
          <w:rtl/>
        </w:rPr>
        <w:t xml:space="preserve"> </w:t>
      </w:r>
      <w:r w:rsidRPr="00703BF5">
        <w:rPr>
          <w:rFonts w:hint="eastAsia"/>
          <w:rtl/>
        </w:rPr>
        <w:t>בסקטור</w:t>
      </w:r>
      <w:r w:rsidRPr="00703BF5">
        <w:rPr>
          <w:rtl/>
        </w:rPr>
        <w:t xml:space="preserve"> </w:t>
      </w:r>
      <w:r w:rsidRPr="00703BF5">
        <w:rPr>
          <w:rFonts w:hint="eastAsia"/>
          <w:rtl/>
        </w:rPr>
        <w:t>ייצור</w:t>
      </w:r>
      <w:r w:rsidRPr="00703BF5">
        <w:rPr>
          <w:rtl/>
        </w:rPr>
        <w:t xml:space="preserve"> </w:t>
      </w:r>
      <w:r w:rsidRPr="00703BF5">
        <w:rPr>
          <w:rFonts w:hint="eastAsia"/>
          <w:rtl/>
        </w:rPr>
        <w:t>החשמל</w:t>
      </w:r>
      <w:r w:rsidRPr="00703BF5">
        <w:rPr>
          <w:rtl/>
        </w:rPr>
        <w:t xml:space="preserve"> </w:t>
      </w:r>
      <w:r w:rsidRPr="00703BF5">
        <w:rPr>
          <w:rFonts w:hint="cs"/>
          <w:rtl/>
        </w:rPr>
        <w:t xml:space="preserve">נכון לינואר 2021, עוד בטרם נכנס לתוקפו ביטול הבלו על הפחם והפחתות נוספות על דלקים אחרים, </w:t>
      </w:r>
      <w:r w:rsidRPr="00703BF5">
        <w:rPr>
          <w:rFonts w:hint="eastAsia"/>
          <w:rtl/>
        </w:rPr>
        <w:t>היא</w:t>
      </w:r>
      <w:r w:rsidRPr="00703BF5">
        <w:rPr>
          <w:rtl/>
        </w:rPr>
        <w:t xml:space="preserve"> </w:t>
      </w:r>
      <w:r w:rsidRPr="00703BF5">
        <w:rPr>
          <w:rFonts w:hint="cs"/>
          <w:rtl/>
        </w:rPr>
        <w:t>מועטה</w:t>
      </w:r>
      <w:r w:rsidRPr="00703BF5">
        <w:rPr>
          <w:rtl/>
        </w:rPr>
        <w:t xml:space="preserve">: </w:t>
      </w:r>
      <w:r w:rsidRPr="00703BF5">
        <w:rPr>
          <w:rFonts w:hint="eastAsia"/>
          <w:rtl/>
        </w:rPr>
        <w:t>לגז</w:t>
      </w:r>
      <w:r w:rsidRPr="00703BF5">
        <w:rPr>
          <w:rtl/>
        </w:rPr>
        <w:t xml:space="preserve"> הטבעי עלויות חיצוניות של 680 ש"ח לקילו ליטר </w:t>
      </w:r>
      <w:r w:rsidRPr="00703BF5">
        <w:rPr>
          <w:rFonts w:hint="cs"/>
          <w:rtl/>
        </w:rPr>
        <w:t>ואילו</w:t>
      </w:r>
      <w:r w:rsidRPr="00703BF5">
        <w:rPr>
          <w:rtl/>
        </w:rPr>
        <w:t xml:space="preserve"> הבלו </w:t>
      </w:r>
      <w:r w:rsidRPr="00703BF5">
        <w:rPr>
          <w:rFonts w:hint="cs"/>
          <w:rtl/>
        </w:rPr>
        <w:t>הוא</w:t>
      </w:r>
      <w:r w:rsidRPr="00703BF5">
        <w:rPr>
          <w:rtl/>
        </w:rPr>
        <w:t xml:space="preserve"> 17 ש"ח לקילו ליטר - הפנמה של 0.025% בלבד מהעלויות החיצוניות; ולפחם עלויות חיצוניות של 685 ש"ח לטו</w:t>
      </w:r>
      <w:r w:rsidRPr="00703BF5">
        <w:rPr>
          <w:rFonts w:hint="cs"/>
          <w:rtl/>
        </w:rPr>
        <w:t>נה</w:t>
      </w:r>
      <w:r w:rsidRPr="00703BF5">
        <w:rPr>
          <w:rtl/>
        </w:rPr>
        <w:t xml:space="preserve"> </w:t>
      </w:r>
      <w:r w:rsidRPr="00703BF5">
        <w:rPr>
          <w:rFonts w:hint="cs"/>
          <w:rtl/>
        </w:rPr>
        <w:t>ואילו</w:t>
      </w:r>
      <w:r w:rsidRPr="00703BF5">
        <w:rPr>
          <w:rtl/>
        </w:rPr>
        <w:t xml:space="preserve"> הבלו </w:t>
      </w:r>
      <w:r w:rsidRPr="00703BF5">
        <w:rPr>
          <w:rFonts w:hint="cs"/>
          <w:rtl/>
        </w:rPr>
        <w:t>הוא</w:t>
      </w:r>
      <w:r w:rsidRPr="00703BF5">
        <w:rPr>
          <w:rtl/>
        </w:rPr>
        <w:t xml:space="preserve"> 10</w:t>
      </w:r>
      <w:r w:rsidRPr="00703BF5">
        <w:rPr>
          <w:rFonts w:hint="cs"/>
          <w:rtl/>
        </w:rPr>
        <w:t>3</w:t>
      </w:r>
      <w:r w:rsidRPr="00703BF5">
        <w:rPr>
          <w:rtl/>
        </w:rPr>
        <w:t xml:space="preserve"> ש"ח לטו</w:t>
      </w:r>
      <w:r w:rsidRPr="00703BF5">
        <w:rPr>
          <w:rFonts w:hint="cs"/>
          <w:rtl/>
        </w:rPr>
        <w:t>נה</w:t>
      </w:r>
      <w:r w:rsidRPr="00703BF5">
        <w:rPr>
          <w:rtl/>
        </w:rPr>
        <w:t xml:space="preserve"> - הפנמה של </w:t>
      </w:r>
      <w:r w:rsidRPr="00703BF5">
        <w:rPr>
          <w:rFonts w:hint="cs"/>
          <w:rtl/>
        </w:rPr>
        <w:t>15</w:t>
      </w:r>
      <w:r w:rsidRPr="00703BF5">
        <w:rPr>
          <w:rtl/>
        </w:rPr>
        <w:t>% בלבד מהעלויות החיצוניות</w:t>
      </w:r>
      <w:r w:rsidRPr="00703BF5">
        <w:rPr>
          <w:rFonts w:hint="cs"/>
          <w:rtl/>
        </w:rPr>
        <w:t xml:space="preserve"> (נכון לשנת 2021, לפני ההפחתות שהוחלו על הבלו)</w:t>
      </w:r>
      <w:r w:rsidRPr="00703BF5">
        <w:rPr>
          <w:rtl/>
        </w:rPr>
        <w:t>. שיעור הבלו על דלקים לתחבורה (סולר ובנזין) אמנם ג</w:t>
      </w:r>
      <w:r w:rsidRPr="00703BF5">
        <w:rPr>
          <w:rFonts w:hint="cs"/>
          <w:rtl/>
        </w:rPr>
        <w:t>דול</w:t>
      </w:r>
      <w:r w:rsidRPr="00703BF5">
        <w:rPr>
          <w:rtl/>
        </w:rPr>
        <w:t xml:space="preserve"> </w:t>
      </w:r>
      <w:r w:rsidRPr="00703BF5">
        <w:rPr>
          <w:rFonts w:hint="eastAsia"/>
          <w:rtl/>
        </w:rPr>
        <w:t>מאוד</w:t>
      </w:r>
      <w:r w:rsidRPr="00703BF5">
        <w:rPr>
          <w:rFonts w:hint="cs"/>
          <w:rtl/>
        </w:rPr>
        <w:t xml:space="preserve"> (2,928 ו-3,056 ש"ח לקילו ליטר בהתאמה)</w:t>
      </w:r>
      <w:r w:rsidRPr="00703BF5">
        <w:rPr>
          <w:rtl/>
        </w:rPr>
        <w:t xml:space="preserve">, </w:t>
      </w:r>
      <w:r w:rsidRPr="00703BF5">
        <w:rPr>
          <w:rFonts w:hint="eastAsia"/>
          <w:rtl/>
        </w:rPr>
        <w:t>אולם</w:t>
      </w:r>
      <w:r w:rsidRPr="00703BF5">
        <w:rPr>
          <w:rtl/>
        </w:rPr>
        <w:t xml:space="preserve"> </w:t>
      </w:r>
      <w:r w:rsidRPr="00703BF5">
        <w:rPr>
          <w:rFonts w:hint="eastAsia"/>
          <w:rtl/>
        </w:rPr>
        <w:t>מצב</w:t>
      </w:r>
      <w:r w:rsidRPr="00703BF5">
        <w:rPr>
          <w:rtl/>
        </w:rPr>
        <w:t xml:space="preserve"> </w:t>
      </w:r>
      <w:r w:rsidRPr="00703BF5">
        <w:rPr>
          <w:rFonts w:hint="eastAsia"/>
          <w:rtl/>
        </w:rPr>
        <w:t>זה</w:t>
      </w:r>
      <w:r w:rsidRPr="00703BF5">
        <w:rPr>
          <w:rtl/>
        </w:rPr>
        <w:t xml:space="preserve"> </w:t>
      </w:r>
      <w:r w:rsidRPr="00703BF5">
        <w:rPr>
          <w:rFonts w:hint="eastAsia"/>
          <w:rtl/>
        </w:rPr>
        <w:t>קיים</w:t>
      </w:r>
      <w:r w:rsidRPr="00703BF5">
        <w:rPr>
          <w:rtl/>
        </w:rPr>
        <w:t xml:space="preserve"> </w:t>
      </w:r>
      <w:r w:rsidRPr="00703BF5">
        <w:rPr>
          <w:rFonts w:hint="eastAsia"/>
          <w:rtl/>
        </w:rPr>
        <w:t>עשרות</w:t>
      </w:r>
      <w:r w:rsidRPr="00703BF5">
        <w:rPr>
          <w:rtl/>
        </w:rPr>
        <w:t xml:space="preserve"> </w:t>
      </w:r>
      <w:r w:rsidRPr="00703BF5">
        <w:rPr>
          <w:rFonts w:hint="eastAsia"/>
          <w:rtl/>
        </w:rPr>
        <w:t>שנים</w:t>
      </w:r>
      <w:r w:rsidRPr="00703BF5">
        <w:rPr>
          <w:rFonts w:hint="cs"/>
          <w:rtl/>
        </w:rPr>
        <w:t>,</w:t>
      </w:r>
      <w:r w:rsidRPr="00703BF5">
        <w:rPr>
          <w:rtl/>
        </w:rPr>
        <w:t xml:space="preserve"> </w:t>
      </w:r>
      <w:r w:rsidRPr="00703BF5">
        <w:rPr>
          <w:rFonts w:hint="eastAsia"/>
          <w:rtl/>
        </w:rPr>
        <w:t>והיסטורית</w:t>
      </w:r>
      <w:r w:rsidRPr="00703BF5">
        <w:rPr>
          <w:rtl/>
        </w:rPr>
        <w:t xml:space="preserve"> </w:t>
      </w:r>
      <w:r w:rsidRPr="00703BF5">
        <w:rPr>
          <w:rFonts w:hint="eastAsia"/>
          <w:rtl/>
        </w:rPr>
        <w:t>אינו</w:t>
      </w:r>
      <w:r w:rsidRPr="00703BF5">
        <w:rPr>
          <w:rtl/>
        </w:rPr>
        <w:t xml:space="preserve"> </w:t>
      </w:r>
      <w:r w:rsidRPr="00703BF5">
        <w:rPr>
          <w:rFonts w:hint="eastAsia"/>
          <w:rtl/>
        </w:rPr>
        <w:t>קשור</w:t>
      </w:r>
      <w:r w:rsidRPr="00703BF5">
        <w:rPr>
          <w:rtl/>
        </w:rPr>
        <w:t xml:space="preserve"> </w:t>
      </w:r>
      <w:r w:rsidRPr="00703BF5">
        <w:rPr>
          <w:rFonts w:hint="eastAsia"/>
          <w:rtl/>
        </w:rPr>
        <w:t>במס</w:t>
      </w:r>
      <w:r w:rsidRPr="00703BF5">
        <w:rPr>
          <w:rtl/>
        </w:rPr>
        <w:t xml:space="preserve"> </w:t>
      </w:r>
      <w:r w:rsidRPr="00703BF5">
        <w:rPr>
          <w:rFonts w:hint="cs"/>
          <w:rtl/>
        </w:rPr>
        <w:t>ה</w:t>
      </w:r>
      <w:r w:rsidRPr="00703BF5">
        <w:rPr>
          <w:rFonts w:hint="eastAsia"/>
          <w:rtl/>
        </w:rPr>
        <w:t>פחמן</w:t>
      </w:r>
      <w:r w:rsidRPr="00703BF5">
        <w:rPr>
          <w:rFonts w:hint="cs"/>
          <w:rtl/>
        </w:rPr>
        <w:t>.</w:t>
      </w:r>
    </w:p>
    <w:p w:rsidR="00F20E3F" w:rsidRPr="006512CF" w:rsidP="00215F0A" w14:paraId="5D0F6155" w14:textId="77777777">
      <w:pPr>
        <w:pStyle w:val="7392"/>
        <w:rPr>
          <w:b/>
          <w:bCs/>
          <w:rtl/>
        </w:rPr>
      </w:pPr>
      <w:r>
        <w:rPr>
          <w:rFonts w:hint="cs"/>
          <w:rtl/>
        </w:rPr>
        <w:t>במהלך השנים המליץ ארגון ה-</w:t>
      </w:r>
      <w:r>
        <w:rPr>
          <w:rFonts w:hint="cs"/>
        </w:rPr>
        <w:t>OECD</w:t>
      </w:r>
      <w:r>
        <w:rPr>
          <w:rFonts w:hint="cs"/>
          <w:rtl/>
        </w:rPr>
        <w:t xml:space="preserve"> לישראל באופן עקבי להטיל מס פחמן. למשל בשנת 2016 המליץ הארגון שישראל תטיל מס פחמן לרוחב המשק ואף תגדיל את השתתפותה בסחר בפליטות. הארגון חזר על המלצתו בסקר ביצועים סביבתיים משנת 2011, בסקירה כלכלית שערך לישראל במרץ 2018</w:t>
      </w:r>
      <w:r>
        <w:rPr>
          <w:rStyle w:val="FootnoteReference2"/>
          <w:rtl/>
        </w:rPr>
        <w:footnoteReference w:id="46"/>
      </w:r>
      <w:r>
        <w:rPr>
          <w:rFonts w:hint="cs"/>
          <w:rtl/>
        </w:rPr>
        <w:t xml:space="preserve"> ובסקר ביצועים סביבתיים משנת 2023</w:t>
      </w:r>
      <w:r>
        <w:rPr>
          <w:rStyle w:val="FootnoteReference2"/>
          <w:rtl/>
        </w:rPr>
        <w:footnoteReference w:id="47"/>
      </w:r>
      <w:r>
        <w:rPr>
          <w:rFonts w:hint="cs"/>
          <w:rtl/>
        </w:rPr>
        <w:t xml:space="preserve">. </w:t>
      </w:r>
      <w:r w:rsidRPr="00AC2190">
        <w:rPr>
          <w:rFonts w:hint="eastAsia"/>
          <w:rtl/>
        </w:rPr>
        <w:t>להלן</w:t>
      </w:r>
      <w:r w:rsidRPr="00AC2190">
        <w:rPr>
          <w:rtl/>
        </w:rPr>
        <w:t xml:space="preserve"> </w:t>
      </w:r>
      <w:r>
        <w:rPr>
          <w:rFonts w:hint="cs"/>
          <w:rtl/>
        </w:rPr>
        <w:t xml:space="preserve">כמה </w:t>
      </w:r>
      <w:r w:rsidRPr="006512CF">
        <w:rPr>
          <w:rFonts w:hint="cs"/>
          <w:rtl/>
        </w:rPr>
        <w:t>נקודות ציון ב</w:t>
      </w:r>
      <w:r w:rsidRPr="006512CF">
        <w:rPr>
          <w:rFonts w:hint="eastAsia"/>
          <w:rtl/>
        </w:rPr>
        <w:t>התפתחות</w:t>
      </w:r>
      <w:r w:rsidRPr="006512CF">
        <w:rPr>
          <w:rtl/>
        </w:rPr>
        <w:t xml:space="preserve"> </w:t>
      </w:r>
      <w:r w:rsidRPr="006512CF">
        <w:rPr>
          <w:rFonts w:hint="cs"/>
          <w:rtl/>
        </w:rPr>
        <w:t>הדיון ב</w:t>
      </w:r>
      <w:r w:rsidRPr="006512CF">
        <w:rPr>
          <w:rFonts w:hint="eastAsia"/>
          <w:rtl/>
        </w:rPr>
        <w:t>סוגיית</w:t>
      </w:r>
      <w:r w:rsidRPr="006512CF">
        <w:rPr>
          <w:rtl/>
        </w:rPr>
        <w:t xml:space="preserve"> </w:t>
      </w:r>
      <w:r w:rsidRPr="006512CF">
        <w:rPr>
          <w:rFonts w:hint="eastAsia"/>
          <w:rtl/>
        </w:rPr>
        <w:t>מס</w:t>
      </w:r>
      <w:r w:rsidRPr="006512CF">
        <w:rPr>
          <w:rtl/>
        </w:rPr>
        <w:t xml:space="preserve"> </w:t>
      </w:r>
      <w:r w:rsidRPr="006512CF">
        <w:rPr>
          <w:rFonts w:hint="eastAsia"/>
          <w:rtl/>
        </w:rPr>
        <w:t>הפחמן</w:t>
      </w:r>
      <w:r w:rsidRPr="006512CF">
        <w:rPr>
          <w:rtl/>
        </w:rPr>
        <w:t xml:space="preserve"> </w:t>
      </w:r>
      <w:r w:rsidRPr="006512CF">
        <w:rPr>
          <w:rFonts w:hint="eastAsia"/>
          <w:rtl/>
        </w:rPr>
        <w:t>בישראל</w:t>
      </w:r>
      <w:r w:rsidRPr="006512CF">
        <w:rPr>
          <w:rtl/>
        </w:rPr>
        <w:t>:</w:t>
      </w:r>
    </w:p>
    <w:p w:rsidR="0080333A" w:rsidP="002F2907" w14:paraId="2A303DD3" w14:textId="77777777">
      <w:pPr>
        <w:pStyle w:val="733"/>
      </w:pPr>
      <w:r w:rsidRPr="00703BF5">
        <w:rPr>
          <w:rFonts w:hint="eastAsia"/>
          <w:b w:val="0"/>
          <w:bCs w:val="0"/>
          <w:rtl/>
        </w:rPr>
        <w:t>לוח</w:t>
      </w:r>
      <w:r w:rsidRPr="00703BF5">
        <w:rPr>
          <w:rFonts w:hint="cs"/>
          <w:b w:val="0"/>
          <w:bCs w:val="0"/>
          <w:rtl/>
        </w:rPr>
        <w:t xml:space="preserve"> 16</w:t>
      </w:r>
      <w:r w:rsidRPr="00703BF5">
        <w:rPr>
          <w:b w:val="0"/>
          <w:bCs w:val="0"/>
          <w:rtl/>
        </w:rPr>
        <w:t>:</w:t>
      </w:r>
      <w:r w:rsidRPr="00D82779">
        <w:rPr>
          <w:rFonts w:hint="cs"/>
          <w:rtl/>
        </w:rPr>
        <w:t xml:space="preserve"> התפתחות</w:t>
      </w:r>
      <w:r w:rsidRPr="00EE352C">
        <w:rPr>
          <w:rFonts w:hint="cs"/>
          <w:rtl/>
        </w:rPr>
        <w:t xml:space="preserve"> סוגיית מס הפחמן בישראל</w:t>
      </w:r>
    </w:p>
    <w:tbl>
      <w:tblPr>
        <w:tblStyle w:val="TableGrid"/>
        <w:bidiVisual/>
        <w:tblW w:w="5000" w:type="pct"/>
        <w:tblBorders>
          <w:top w:val="none" w:sz="0" w:space="0" w:color="auto"/>
          <w:left w:val="single" w:sz="4" w:space="0" w:color="000000" w:themeColor="text1"/>
          <w:bottom w:val="none" w:sz="0" w:space="0" w:color="auto"/>
          <w:right w:val="single" w:sz="4" w:space="0" w:color="000000" w:themeColor="text1"/>
          <w:insideH w:val="none" w:sz="0" w:space="0" w:color="auto"/>
          <w:insideV w:val="single" w:sz="4" w:space="0" w:color="000000" w:themeColor="text1"/>
        </w:tblBorders>
        <w:tblLook w:val="04A0"/>
      </w:tblPr>
      <w:tblGrid>
        <w:gridCol w:w="1128"/>
        <w:gridCol w:w="6232"/>
      </w:tblGrid>
      <w:tr w14:paraId="2BFE81FB" w14:textId="77777777" w:rsidTr="000F2903">
        <w:tblPrEx>
          <w:tblW w:w="5000" w:type="pct"/>
          <w:tblBorders>
            <w:top w:val="none" w:sz="0" w:space="0" w:color="auto"/>
            <w:left w:val="single" w:sz="4" w:space="0" w:color="000000" w:themeColor="text1"/>
            <w:bottom w:val="none" w:sz="0" w:space="0" w:color="auto"/>
            <w:right w:val="single" w:sz="4" w:space="0" w:color="000000" w:themeColor="text1"/>
            <w:insideH w:val="none" w:sz="0" w:space="0" w:color="auto"/>
            <w:insideV w:val="single" w:sz="4" w:space="0" w:color="000000" w:themeColor="text1"/>
          </w:tblBorders>
          <w:tblLook w:val="04A0"/>
        </w:tblPrEx>
        <w:trPr>
          <w:tblHeader/>
        </w:trPr>
        <w:tc>
          <w:tcPr>
            <w:tcW w:w="766" w:type="pct"/>
            <w:shd w:val="clear" w:color="auto" w:fill="C8DCE4"/>
            <w:vAlign w:val="center"/>
          </w:tcPr>
          <w:p w:rsidR="0080333A" w:rsidRPr="00110250" w:rsidP="00711A1D" w14:paraId="7441DC4F" w14:textId="77777777">
            <w:pPr>
              <w:pStyle w:val="73R"/>
              <w:rPr>
                <w:rFonts w:ascii="David" w:hAnsi="David"/>
                <w:b/>
                <w:bCs/>
                <w:rtl/>
              </w:rPr>
            </w:pPr>
            <w:r w:rsidRPr="00110250">
              <w:rPr>
                <w:rFonts w:ascii="David" w:hAnsi="David" w:hint="cs"/>
                <w:b/>
                <w:bCs/>
                <w:rtl/>
              </w:rPr>
              <w:t>השנה</w:t>
            </w:r>
          </w:p>
        </w:tc>
        <w:tc>
          <w:tcPr>
            <w:tcW w:w="4234" w:type="pct"/>
            <w:shd w:val="clear" w:color="auto" w:fill="C8DCE4"/>
            <w:vAlign w:val="center"/>
          </w:tcPr>
          <w:p w:rsidR="0080333A" w:rsidRPr="00110250" w:rsidP="00711A1D" w14:paraId="1DADB4D1" w14:textId="77777777">
            <w:pPr>
              <w:pStyle w:val="73R"/>
              <w:rPr>
                <w:rFonts w:ascii="David" w:hAnsi="David"/>
                <w:b/>
                <w:bCs/>
                <w:rtl/>
              </w:rPr>
            </w:pPr>
            <w:r w:rsidRPr="00110250">
              <w:rPr>
                <w:rFonts w:ascii="David" w:hAnsi="David" w:hint="cs"/>
                <w:b/>
                <w:bCs/>
                <w:rtl/>
              </w:rPr>
              <w:t>הפעולה</w:t>
            </w:r>
          </w:p>
        </w:tc>
      </w:tr>
      <w:tr w14:paraId="6229851E" w14:textId="77777777" w:rsidTr="000F2903">
        <w:tblPrEx>
          <w:tblW w:w="5000" w:type="pct"/>
          <w:tblLook w:val="04A0"/>
        </w:tblPrEx>
        <w:tc>
          <w:tcPr>
            <w:tcW w:w="766" w:type="pct"/>
            <w:shd w:val="clear" w:color="auto" w:fill="DFECEF"/>
            <w:vAlign w:val="center"/>
          </w:tcPr>
          <w:p w:rsidR="0080333A" w:rsidRPr="00110250" w:rsidP="00711A1D" w14:paraId="5DCD3BAB" w14:textId="77777777">
            <w:pPr>
              <w:pStyle w:val="73R"/>
              <w:rPr>
                <w:rFonts w:ascii="David" w:hAnsi="David"/>
                <w:rtl/>
              </w:rPr>
            </w:pPr>
            <w:r w:rsidRPr="00110250">
              <w:rPr>
                <w:rFonts w:ascii="David" w:hAnsi="David" w:hint="cs"/>
                <w:rtl/>
              </w:rPr>
              <w:t>2008</w:t>
            </w:r>
          </w:p>
        </w:tc>
        <w:tc>
          <w:tcPr>
            <w:tcW w:w="4234" w:type="pct"/>
            <w:shd w:val="clear" w:color="auto" w:fill="DFECEF"/>
            <w:vAlign w:val="center"/>
          </w:tcPr>
          <w:p w:rsidR="0080333A" w:rsidRPr="00110250" w:rsidP="00711A1D" w14:paraId="257705E2" w14:textId="77777777">
            <w:pPr>
              <w:pStyle w:val="73R"/>
              <w:rPr>
                <w:rFonts w:ascii="David" w:hAnsi="David"/>
                <w:rtl/>
              </w:rPr>
            </w:pPr>
            <w:r w:rsidRPr="00110250">
              <w:rPr>
                <w:rFonts w:ascii="David" w:hAnsi="David" w:hint="cs"/>
                <w:rtl/>
              </w:rPr>
              <w:t xml:space="preserve">עבודות מקצועיות בשיתוף המשרד </w:t>
            </w:r>
            <w:r w:rsidRPr="00110250">
              <w:rPr>
                <w:rFonts w:ascii="David" w:hAnsi="David" w:hint="cs"/>
                <w:rtl/>
              </w:rPr>
              <w:t>להג"ס</w:t>
            </w:r>
            <w:r>
              <w:rPr>
                <w:rFonts w:ascii="David" w:hAnsi="David"/>
                <w:vertAlign w:val="superscript"/>
                <w:rtl/>
              </w:rPr>
              <w:footnoteReference w:id="48"/>
            </w:r>
          </w:p>
        </w:tc>
      </w:tr>
      <w:tr w14:paraId="3668361E" w14:textId="77777777" w:rsidTr="000F2903">
        <w:tblPrEx>
          <w:tblW w:w="5000" w:type="pct"/>
          <w:tblLook w:val="04A0"/>
        </w:tblPrEx>
        <w:tc>
          <w:tcPr>
            <w:tcW w:w="766" w:type="pct"/>
            <w:shd w:val="clear" w:color="auto" w:fill="F0F8F9"/>
            <w:vAlign w:val="center"/>
          </w:tcPr>
          <w:p w:rsidR="0080333A" w:rsidRPr="00110250" w:rsidP="00711A1D" w14:paraId="6DE4BDD1" w14:textId="77777777">
            <w:pPr>
              <w:pStyle w:val="73R"/>
              <w:rPr>
                <w:rFonts w:ascii="David" w:hAnsi="David"/>
                <w:rtl/>
              </w:rPr>
            </w:pPr>
            <w:r w:rsidRPr="00110250">
              <w:rPr>
                <w:rFonts w:ascii="David" w:hAnsi="David" w:hint="cs"/>
                <w:rtl/>
              </w:rPr>
              <w:t>2012</w:t>
            </w:r>
          </w:p>
        </w:tc>
        <w:tc>
          <w:tcPr>
            <w:tcW w:w="4234" w:type="pct"/>
            <w:shd w:val="clear" w:color="auto" w:fill="F0F8F9"/>
            <w:vAlign w:val="center"/>
          </w:tcPr>
          <w:p w:rsidR="0080333A" w:rsidRPr="00110250" w:rsidP="00711A1D" w14:paraId="7B52E6AB" w14:textId="39D12F16">
            <w:pPr>
              <w:pStyle w:val="73R"/>
              <w:rPr>
                <w:rFonts w:ascii="David" w:hAnsi="David"/>
                <w:rtl/>
              </w:rPr>
            </w:pPr>
            <w:r w:rsidRPr="00110250">
              <w:rPr>
                <w:rFonts w:ascii="David" w:hAnsi="David" w:hint="cs"/>
                <w:rtl/>
              </w:rPr>
              <w:t>פרסום הספר הירוק של</w:t>
            </w:r>
            <w:r w:rsidR="00426C4A">
              <w:rPr>
                <w:rFonts w:ascii="David" w:hAnsi="David" w:hint="cs"/>
                <w:rtl/>
              </w:rPr>
              <w:t xml:space="preserve"> המשרד</w:t>
            </w:r>
            <w:r w:rsidRPr="00110250">
              <w:rPr>
                <w:rFonts w:ascii="David" w:hAnsi="David" w:hint="cs"/>
                <w:rtl/>
              </w:rPr>
              <w:t xml:space="preserve"> </w:t>
            </w:r>
            <w:r w:rsidR="00426C4A">
              <w:rPr>
                <w:rFonts w:ascii="David" w:hAnsi="David" w:hint="cs"/>
                <w:rtl/>
              </w:rPr>
              <w:t>ל</w:t>
            </w:r>
            <w:r w:rsidRPr="00110250">
              <w:rPr>
                <w:rFonts w:ascii="David" w:hAnsi="David" w:hint="cs"/>
                <w:rtl/>
              </w:rPr>
              <w:t>הג"ס</w:t>
            </w:r>
            <w:r w:rsidRPr="00110250">
              <w:rPr>
                <w:rFonts w:ascii="David" w:hAnsi="David" w:hint="cs"/>
                <w:rtl/>
              </w:rPr>
              <w:t xml:space="preserve"> בנושא </w:t>
            </w:r>
            <w:r w:rsidR="00426C4A">
              <w:rPr>
                <w:rFonts w:ascii="David" w:hAnsi="David" w:hint="cs"/>
                <w:rtl/>
              </w:rPr>
              <w:t>ה</w:t>
            </w:r>
            <w:r w:rsidRPr="00110250">
              <w:rPr>
                <w:rFonts w:ascii="David" w:hAnsi="David" w:hint="cs"/>
                <w:rtl/>
              </w:rPr>
              <w:t xml:space="preserve">עלויות </w:t>
            </w:r>
            <w:r w:rsidR="00426C4A">
              <w:rPr>
                <w:rFonts w:ascii="David" w:hAnsi="David" w:hint="cs"/>
                <w:rtl/>
              </w:rPr>
              <w:t>ה</w:t>
            </w:r>
            <w:r w:rsidRPr="00110250">
              <w:rPr>
                <w:rFonts w:ascii="David" w:hAnsi="David" w:hint="cs"/>
                <w:rtl/>
              </w:rPr>
              <w:t xml:space="preserve">חיצוניות מפליטות מזהמים </w:t>
            </w:r>
            <w:r w:rsidRPr="00110250">
              <w:rPr>
                <w:rFonts w:ascii="David" w:hAnsi="David" w:hint="cs"/>
                <w:rtl/>
              </w:rPr>
              <w:t>וגז"ח</w:t>
            </w:r>
          </w:p>
        </w:tc>
      </w:tr>
      <w:tr w14:paraId="2216FA34" w14:textId="77777777" w:rsidTr="000F2903">
        <w:tblPrEx>
          <w:tblW w:w="5000" w:type="pct"/>
          <w:tblLook w:val="04A0"/>
        </w:tblPrEx>
        <w:tc>
          <w:tcPr>
            <w:tcW w:w="766" w:type="pct"/>
            <w:shd w:val="clear" w:color="auto" w:fill="DFECEF"/>
            <w:vAlign w:val="center"/>
          </w:tcPr>
          <w:p w:rsidR="0080333A" w:rsidRPr="00110250" w:rsidP="00711A1D" w14:paraId="56F0EA73" w14:textId="77777777">
            <w:pPr>
              <w:pStyle w:val="73R"/>
              <w:rPr>
                <w:rFonts w:ascii="David" w:hAnsi="David"/>
                <w:rtl/>
              </w:rPr>
            </w:pPr>
            <w:r w:rsidRPr="00110250">
              <w:rPr>
                <w:rFonts w:ascii="David" w:hAnsi="David" w:hint="cs"/>
                <w:rtl/>
              </w:rPr>
              <w:t>2013</w:t>
            </w:r>
          </w:p>
        </w:tc>
        <w:tc>
          <w:tcPr>
            <w:tcW w:w="4234" w:type="pct"/>
            <w:shd w:val="clear" w:color="auto" w:fill="DFECEF"/>
            <w:vAlign w:val="center"/>
          </w:tcPr>
          <w:p w:rsidR="0080333A" w:rsidRPr="00110250" w:rsidP="00711A1D" w14:paraId="735F178A" w14:textId="29084160">
            <w:pPr>
              <w:pStyle w:val="73R"/>
              <w:rPr>
                <w:rFonts w:ascii="David" w:hAnsi="David"/>
                <w:rtl/>
              </w:rPr>
            </w:pPr>
            <w:r w:rsidRPr="00110250">
              <w:rPr>
                <w:rFonts w:ascii="David" w:hAnsi="David" w:hint="cs"/>
                <w:rtl/>
              </w:rPr>
              <w:t xml:space="preserve">החלטת ממשלה 5327 להפחתת </w:t>
            </w:r>
            <w:r w:rsidR="00426C4A">
              <w:rPr>
                <w:rFonts w:ascii="David" w:hAnsi="David" w:hint="cs"/>
                <w:rtl/>
              </w:rPr>
              <w:t>ה</w:t>
            </w:r>
            <w:r w:rsidRPr="00110250">
              <w:rPr>
                <w:rFonts w:ascii="David" w:hAnsi="David" w:hint="cs"/>
                <w:rtl/>
              </w:rPr>
              <w:t>תלות בנפט לתחבורה וגיבוש מדיניות מיסוי</w:t>
            </w:r>
            <w:r>
              <w:rPr>
                <w:rFonts w:ascii="David" w:hAnsi="David"/>
                <w:vertAlign w:val="superscript"/>
                <w:rtl/>
              </w:rPr>
              <w:footnoteReference w:id="49"/>
            </w:r>
          </w:p>
        </w:tc>
      </w:tr>
      <w:tr w14:paraId="0DDCBB37" w14:textId="77777777" w:rsidTr="000F2903">
        <w:tblPrEx>
          <w:tblW w:w="5000" w:type="pct"/>
          <w:tblLook w:val="04A0"/>
        </w:tblPrEx>
        <w:tc>
          <w:tcPr>
            <w:tcW w:w="766" w:type="pct"/>
            <w:shd w:val="clear" w:color="auto" w:fill="F0F8F9"/>
            <w:vAlign w:val="center"/>
          </w:tcPr>
          <w:p w:rsidR="0080333A" w:rsidRPr="00110250" w:rsidP="00711A1D" w14:paraId="6689541C" w14:textId="77777777">
            <w:pPr>
              <w:pStyle w:val="73R"/>
              <w:rPr>
                <w:rFonts w:ascii="David" w:hAnsi="David"/>
                <w:rtl/>
              </w:rPr>
            </w:pPr>
            <w:r w:rsidRPr="00110250">
              <w:rPr>
                <w:rFonts w:ascii="David" w:hAnsi="David" w:hint="cs"/>
                <w:rtl/>
              </w:rPr>
              <w:t>2016</w:t>
            </w:r>
          </w:p>
        </w:tc>
        <w:tc>
          <w:tcPr>
            <w:tcW w:w="4234" w:type="pct"/>
            <w:shd w:val="clear" w:color="auto" w:fill="F0F8F9"/>
            <w:vAlign w:val="center"/>
          </w:tcPr>
          <w:p w:rsidR="0080333A" w:rsidRPr="00110250" w:rsidP="00711A1D" w14:paraId="3D6CB15B" w14:textId="77777777">
            <w:pPr>
              <w:pStyle w:val="73R"/>
              <w:rPr>
                <w:rFonts w:ascii="David" w:hAnsi="David"/>
                <w:rtl/>
              </w:rPr>
            </w:pPr>
            <w:r w:rsidRPr="00110250">
              <w:rPr>
                <w:rFonts w:ascii="David" w:hAnsi="David" w:hint="cs"/>
                <w:rtl/>
              </w:rPr>
              <w:t>ועדת מיסוי "ירוק 3" שבחנה בין היתר את גובה מס ה'בלו'</w:t>
            </w:r>
            <w:r>
              <w:rPr>
                <w:rFonts w:ascii="David" w:hAnsi="David"/>
                <w:vertAlign w:val="superscript"/>
                <w:rtl/>
              </w:rPr>
              <w:footnoteReference w:id="50"/>
            </w:r>
          </w:p>
        </w:tc>
      </w:tr>
      <w:tr w14:paraId="435D755A" w14:textId="77777777" w:rsidTr="000F2903">
        <w:tblPrEx>
          <w:tblW w:w="5000" w:type="pct"/>
          <w:tblLook w:val="04A0"/>
        </w:tblPrEx>
        <w:tc>
          <w:tcPr>
            <w:tcW w:w="766" w:type="pct"/>
            <w:shd w:val="clear" w:color="auto" w:fill="DFECEF"/>
            <w:vAlign w:val="center"/>
          </w:tcPr>
          <w:p w:rsidR="0080333A" w:rsidRPr="00110250" w:rsidP="00711A1D" w14:paraId="6806E793" w14:textId="77777777">
            <w:pPr>
              <w:pStyle w:val="73R"/>
              <w:rPr>
                <w:rFonts w:ascii="David" w:hAnsi="David"/>
                <w:rtl/>
              </w:rPr>
            </w:pPr>
            <w:r w:rsidRPr="00110250">
              <w:rPr>
                <w:rFonts w:ascii="David" w:hAnsi="David" w:hint="cs"/>
                <w:rtl/>
              </w:rPr>
              <w:t>2019-2020</w:t>
            </w:r>
          </w:p>
        </w:tc>
        <w:tc>
          <w:tcPr>
            <w:tcW w:w="4234" w:type="pct"/>
            <w:shd w:val="clear" w:color="auto" w:fill="DFECEF"/>
            <w:vAlign w:val="center"/>
          </w:tcPr>
          <w:p w:rsidR="0080333A" w:rsidRPr="00110250" w:rsidP="00711A1D" w14:paraId="6BEECDE3" w14:textId="4476DEF9">
            <w:pPr>
              <w:pStyle w:val="73R"/>
              <w:rPr>
                <w:rFonts w:ascii="David" w:hAnsi="David"/>
                <w:rtl/>
              </w:rPr>
            </w:pPr>
            <w:r w:rsidRPr="00110250">
              <w:rPr>
                <w:rFonts w:ascii="David" w:hAnsi="David" w:hint="cs"/>
                <w:rtl/>
              </w:rPr>
              <w:t>המלצות ארגון ה-</w:t>
            </w:r>
            <w:r w:rsidRPr="00426C4A">
              <w:t>OECD</w:t>
            </w:r>
            <w:r w:rsidRPr="00110250">
              <w:rPr>
                <w:rFonts w:ascii="David" w:hAnsi="David" w:hint="cs"/>
                <w:rtl/>
              </w:rPr>
              <w:t xml:space="preserve"> להטלת מס כדי להפחית פליטות </w:t>
            </w:r>
            <w:r w:rsidRPr="00110250">
              <w:rPr>
                <w:rFonts w:ascii="David" w:hAnsi="David" w:hint="cs"/>
                <w:rtl/>
              </w:rPr>
              <w:t>גז"ח</w:t>
            </w:r>
            <w:r>
              <w:rPr>
                <w:rFonts w:ascii="David" w:hAnsi="David"/>
                <w:vertAlign w:val="superscript"/>
                <w:rtl/>
              </w:rPr>
              <w:footnoteReference w:id="51"/>
            </w:r>
            <w:r w:rsidR="00426C4A">
              <w:rPr>
                <w:rFonts w:ascii="David" w:hAnsi="David" w:hint="cs"/>
                <w:rtl/>
              </w:rPr>
              <w:t>.</w:t>
            </w:r>
          </w:p>
        </w:tc>
      </w:tr>
      <w:tr w14:paraId="5B088195" w14:textId="77777777" w:rsidTr="000F2903">
        <w:tblPrEx>
          <w:tblW w:w="5000" w:type="pct"/>
          <w:tblLook w:val="04A0"/>
        </w:tblPrEx>
        <w:tc>
          <w:tcPr>
            <w:tcW w:w="766" w:type="pct"/>
            <w:shd w:val="clear" w:color="auto" w:fill="F0F8F9"/>
            <w:vAlign w:val="center"/>
          </w:tcPr>
          <w:p w:rsidR="0080333A" w:rsidRPr="00110250" w:rsidP="00711A1D" w14:paraId="736BC925" w14:textId="77777777">
            <w:pPr>
              <w:pStyle w:val="73R"/>
              <w:rPr>
                <w:rFonts w:ascii="David" w:hAnsi="David"/>
                <w:rtl/>
              </w:rPr>
            </w:pPr>
            <w:r w:rsidRPr="00110250">
              <w:rPr>
                <w:rFonts w:ascii="David" w:hAnsi="David" w:hint="cs"/>
                <w:rtl/>
              </w:rPr>
              <w:t>2020</w:t>
            </w:r>
          </w:p>
        </w:tc>
        <w:tc>
          <w:tcPr>
            <w:tcW w:w="4234" w:type="pct"/>
            <w:shd w:val="clear" w:color="auto" w:fill="F0F8F9"/>
            <w:vAlign w:val="center"/>
          </w:tcPr>
          <w:p w:rsidR="0080333A" w:rsidRPr="00110250" w:rsidP="00711A1D" w14:paraId="09108D47" w14:textId="6B2D5085">
            <w:pPr>
              <w:pStyle w:val="73R"/>
              <w:rPr>
                <w:rFonts w:ascii="David" w:hAnsi="David"/>
                <w:rtl/>
              </w:rPr>
            </w:pPr>
            <w:r w:rsidRPr="00110250">
              <w:rPr>
                <w:rFonts w:ascii="David" w:hAnsi="David" w:hint="cs"/>
                <w:rtl/>
              </w:rPr>
              <w:t xml:space="preserve">פרסום דוח בנק ישראל בנוגע ליעילות מס פחמן להשגת יעדי צמצום פליטות </w:t>
            </w:r>
            <w:r w:rsidRPr="00110250">
              <w:rPr>
                <w:rFonts w:ascii="David" w:hAnsi="David" w:hint="cs"/>
                <w:rtl/>
              </w:rPr>
              <w:t>גז"ח</w:t>
            </w:r>
            <w:r>
              <w:rPr>
                <w:rFonts w:ascii="David" w:hAnsi="David"/>
                <w:vertAlign w:val="superscript"/>
                <w:rtl/>
              </w:rPr>
              <w:footnoteReference w:id="52"/>
            </w:r>
            <w:r w:rsidR="00426C4A">
              <w:rPr>
                <w:rFonts w:ascii="David" w:hAnsi="David" w:hint="cs"/>
                <w:rtl/>
              </w:rPr>
              <w:t>.</w:t>
            </w:r>
          </w:p>
        </w:tc>
      </w:tr>
      <w:tr w14:paraId="6C7F8D47" w14:textId="77777777" w:rsidTr="000F2903">
        <w:tblPrEx>
          <w:tblW w:w="5000" w:type="pct"/>
          <w:tblLook w:val="04A0"/>
        </w:tblPrEx>
        <w:tc>
          <w:tcPr>
            <w:tcW w:w="766" w:type="pct"/>
            <w:shd w:val="clear" w:color="auto" w:fill="DFECEF"/>
            <w:vAlign w:val="center"/>
          </w:tcPr>
          <w:p w:rsidR="0080333A" w:rsidRPr="00110250" w:rsidP="00711A1D" w14:paraId="70601215" w14:textId="77777777">
            <w:pPr>
              <w:pStyle w:val="73R"/>
              <w:rPr>
                <w:rFonts w:ascii="David" w:hAnsi="David"/>
                <w:rtl/>
              </w:rPr>
            </w:pPr>
            <w:r w:rsidRPr="00110250">
              <w:rPr>
                <w:rFonts w:ascii="David" w:hAnsi="David" w:hint="cs"/>
                <w:rtl/>
              </w:rPr>
              <w:t>2020-2021</w:t>
            </w:r>
          </w:p>
        </w:tc>
        <w:tc>
          <w:tcPr>
            <w:tcW w:w="4234" w:type="pct"/>
            <w:shd w:val="clear" w:color="auto" w:fill="DFECEF"/>
            <w:vAlign w:val="center"/>
          </w:tcPr>
          <w:p w:rsidR="0080333A" w:rsidRPr="00110250" w:rsidP="00711A1D" w14:paraId="30A2B17B" w14:textId="09860A4F">
            <w:pPr>
              <w:pStyle w:val="73R"/>
              <w:rPr>
                <w:rFonts w:ascii="David" w:hAnsi="David"/>
                <w:rtl/>
              </w:rPr>
            </w:pPr>
            <w:r w:rsidRPr="00695921">
              <w:rPr>
                <w:rFonts w:ascii="David" w:hAnsi="David"/>
                <w:rtl/>
              </w:rPr>
              <w:t>פרס</w:t>
            </w:r>
            <w:r w:rsidRPr="00695921">
              <w:rPr>
                <w:rFonts w:ascii="David" w:hAnsi="David" w:hint="cs"/>
                <w:rtl/>
              </w:rPr>
              <w:t>ום</w:t>
            </w:r>
            <w:r w:rsidRPr="00695921">
              <w:rPr>
                <w:rFonts w:ascii="David" w:hAnsi="David"/>
                <w:rtl/>
              </w:rPr>
              <w:t xml:space="preserve"> </w:t>
            </w:r>
            <w:r w:rsidRPr="00695921">
              <w:rPr>
                <w:rFonts w:ascii="David" w:hAnsi="David" w:hint="cs"/>
                <w:rtl/>
              </w:rPr>
              <w:t>עדכון של ה</w:t>
            </w:r>
            <w:r w:rsidRPr="00695921">
              <w:rPr>
                <w:rFonts w:ascii="David" w:hAnsi="David"/>
                <w:rtl/>
              </w:rPr>
              <w:t>ספר ירוק ומסמך מדיניות בנושא תמחור פחמן בישראל</w:t>
            </w:r>
            <w:r w:rsidRPr="00695921">
              <w:rPr>
                <w:rFonts w:ascii="David" w:hAnsi="David" w:hint="cs"/>
                <w:rtl/>
              </w:rPr>
              <w:t xml:space="preserve"> </w:t>
            </w:r>
            <w:r w:rsidRPr="00695921">
              <w:rPr>
                <w:rFonts w:ascii="David" w:hAnsi="David"/>
                <w:rtl/>
              </w:rPr>
              <w:t xml:space="preserve">על ידי המשרד </w:t>
            </w:r>
            <w:r w:rsidRPr="00695921">
              <w:rPr>
                <w:rFonts w:ascii="David" w:hAnsi="David"/>
                <w:rtl/>
              </w:rPr>
              <w:t>להג"ס</w:t>
            </w:r>
            <w:r w:rsidRPr="00110250">
              <w:rPr>
                <w:rFonts w:ascii="David" w:hAnsi="David"/>
                <w:vertAlign w:val="superscript"/>
                <w:rtl/>
              </w:rPr>
              <w:t xml:space="preserve"> </w:t>
            </w:r>
            <w:r>
              <w:rPr>
                <w:rFonts w:ascii="David" w:hAnsi="David"/>
                <w:vertAlign w:val="superscript"/>
                <w:rtl/>
              </w:rPr>
              <w:footnoteReference w:id="53"/>
            </w:r>
            <w:r w:rsidRPr="00110250">
              <w:rPr>
                <w:rFonts w:ascii="David" w:hAnsi="David" w:hint="cs"/>
                <w:rtl/>
              </w:rPr>
              <w:t>.</w:t>
            </w:r>
          </w:p>
        </w:tc>
      </w:tr>
      <w:tr w14:paraId="3C2360FD" w14:textId="77777777" w:rsidTr="000F2903">
        <w:tblPrEx>
          <w:tblW w:w="5000" w:type="pct"/>
          <w:tblLook w:val="04A0"/>
        </w:tblPrEx>
        <w:tc>
          <w:tcPr>
            <w:tcW w:w="766" w:type="pct"/>
            <w:shd w:val="clear" w:color="auto" w:fill="F0F8F9"/>
            <w:vAlign w:val="center"/>
          </w:tcPr>
          <w:p w:rsidR="0080333A" w:rsidRPr="00110250" w:rsidP="00711A1D" w14:paraId="745BD593" w14:textId="77777777">
            <w:pPr>
              <w:pStyle w:val="73R"/>
              <w:rPr>
                <w:rFonts w:ascii="David" w:hAnsi="David"/>
                <w:rtl/>
              </w:rPr>
            </w:pPr>
            <w:r w:rsidRPr="00110250">
              <w:rPr>
                <w:rFonts w:ascii="David" w:hAnsi="David" w:hint="cs"/>
                <w:rtl/>
              </w:rPr>
              <w:t>2021</w:t>
            </w:r>
          </w:p>
        </w:tc>
        <w:tc>
          <w:tcPr>
            <w:tcW w:w="4234" w:type="pct"/>
            <w:shd w:val="clear" w:color="auto" w:fill="F0F8F9"/>
            <w:vAlign w:val="center"/>
          </w:tcPr>
          <w:p w:rsidR="0080333A" w:rsidRPr="00110250" w:rsidP="00711A1D" w14:paraId="021D611E" w14:textId="3DEFBC3E">
            <w:pPr>
              <w:pStyle w:val="73R"/>
              <w:rPr>
                <w:rFonts w:ascii="David" w:hAnsi="David"/>
                <w:rtl/>
              </w:rPr>
            </w:pPr>
            <w:r w:rsidRPr="00695921">
              <w:rPr>
                <w:rFonts w:ascii="David" w:hAnsi="David" w:hint="cs"/>
                <w:rtl/>
              </w:rPr>
              <w:t xml:space="preserve">קבלת </w:t>
            </w:r>
            <w:r w:rsidRPr="00695921">
              <w:rPr>
                <w:rFonts w:ascii="David" w:hAnsi="David"/>
                <w:rtl/>
              </w:rPr>
              <w:t xml:space="preserve">החלטת </w:t>
            </w:r>
            <w:r w:rsidRPr="00695921">
              <w:rPr>
                <w:rFonts w:ascii="David" w:hAnsi="David" w:hint="cs"/>
                <w:rtl/>
              </w:rPr>
              <w:t>ה</w:t>
            </w:r>
            <w:r w:rsidRPr="00695921">
              <w:rPr>
                <w:rFonts w:ascii="David" w:hAnsi="David"/>
                <w:rtl/>
              </w:rPr>
              <w:t>ממשלה 286 שקובעת מנגנון לתמחור פחמן; חתימה של שר האוצר על צו הבלו (</w:t>
            </w:r>
            <w:r w:rsidRPr="00695921">
              <w:rPr>
                <w:rFonts w:ascii="David" w:hAnsi="David" w:hint="cs"/>
                <w:rtl/>
              </w:rPr>
              <w:t>ב</w:t>
            </w:r>
            <w:r w:rsidRPr="00695921">
              <w:rPr>
                <w:rFonts w:ascii="David" w:hAnsi="David"/>
                <w:rtl/>
              </w:rPr>
              <w:t>כפוף לאישור ועדת הכספים בכנסת</w:t>
            </w:r>
            <w:r w:rsidRPr="00110250">
              <w:rPr>
                <w:rFonts w:ascii="David" w:hAnsi="David"/>
                <w:rtl/>
              </w:rPr>
              <w:t>)</w:t>
            </w:r>
            <w:r>
              <w:rPr>
                <w:rFonts w:ascii="David" w:hAnsi="David"/>
                <w:vertAlign w:val="superscript"/>
                <w:rtl/>
              </w:rPr>
              <w:footnoteReference w:id="54"/>
            </w:r>
            <w:r w:rsidRPr="00110250">
              <w:rPr>
                <w:rFonts w:ascii="David" w:hAnsi="David" w:hint="cs"/>
                <w:rtl/>
              </w:rPr>
              <w:t>.</w:t>
            </w:r>
          </w:p>
        </w:tc>
      </w:tr>
      <w:tr w14:paraId="0837B9D8" w14:textId="77777777" w:rsidTr="000F2903">
        <w:tblPrEx>
          <w:tblW w:w="5000" w:type="pct"/>
          <w:tblLook w:val="04A0"/>
        </w:tblPrEx>
        <w:tc>
          <w:tcPr>
            <w:tcW w:w="766" w:type="pct"/>
            <w:shd w:val="clear" w:color="auto" w:fill="DFECEF"/>
            <w:vAlign w:val="center"/>
          </w:tcPr>
          <w:p w:rsidR="0080333A" w:rsidRPr="00110250" w:rsidP="00711A1D" w14:paraId="344CA061" w14:textId="77777777">
            <w:pPr>
              <w:pStyle w:val="73R"/>
              <w:rPr>
                <w:rFonts w:ascii="David" w:hAnsi="David"/>
                <w:rtl/>
              </w:rPr>
            </w:pPr>
            <w:r w:rsidRPr="00110250">
              <w:rPr>
                <w:rFonts w:ascii="David" w:hAnsi="David" w:hint="cs"/>
                <w:rtl/>
              </w:rPr>
              <w:t>2021</w:t>
            </w:r>
          </w:p>
        </w:tc>
        <w:tc>
          <w:tcPr>
            <w:tcW w:w="4234" w:type="pct"/>
            <w:shd w:val="clear" w:color="auto" w:fill="DFECEF"/>
            <w:vAlign w:val="center"/>
          </w:tcPr>
          <w:p w:rsidR="0080333A" w:rsidRPr="00110250" w:rsidP="00711A1D" w14:paraId="7AB18B3E" w14:textId="4468B8B7">
            <w:pPr>
              <w:pStyle w:val="73R"/>
              <w:rPr>
                <w:rFonts w:ascii="David" w:hAnsi="David"/>
                <w:rtl/>
              </w:rPr>
            </w:pPr>
            <w:r w:rsidRPr="00695921">
              <w:rPr>
                <w:rFonts w:ascii="David" w:hAnsi="David"/>
                <w:rtl/>
              </w:rPr>
              <w:t>דיונים בוועדת הכספים בנוגע לתיקון צו הבלו; פקיעת צו הבלו החתום על ידי שר האוצר</w:t>
            </w:r>
            <w:r>
              <w:rPr>
                <w:rFonts w:ascii="David" w:hAnsi="David" w:hint="cs"/>
                <w:rtl/>
              </w:rPr>
              <w:t>.</w:t>
            </w:r>
          </w:p>
        </w:tc>
      </w:tr>
    </w:tbl>
    <w:p w:rsidR="00F20E3F" w:rsidRPr="0080333A" w:rsidP="00C44928" w14:paraId="1619624A" w14:textId="77777777">
      <w:pPr>
        <w:pStyle w:val="7114"/>
        <w:numPr>
          <w:ilvl w:val="0"/>
          <w:numId w:val="11"/>
        </w:numPr>
        <w:spacing w:before="240"/>
        <w:rPr>
          <w:rtl/>
        </w:rPr>
      </w:pPr>
      <w:r w:rsidRPr="0080333A">
        <w:rPr>
          <w:rFonts w:hint="cs"/>
          <w:rtl/>
        </w:rPr>
        <w:t>באוגוסט 2021, לאחר יותר מ-13 שנים של דיונים בנושא מס הפחמן, התקבלה החלטת הממשלה 286 בנושא "תמחור פליטות גזי חממה"</w:t>
      </w:r>
      <w:r>
        <w:rPr>
          <w:vertAlign w:val="superscript"/>
          <w:rtl/>
        </w:rPr>
        <w:footnoteReference w:id="55"/>
      </w:r>
      <w:r w:rsidRPr="0080333A">
        <w:rPr>
          <w:rFonts w:hint="cs"/>
          <w:rtl/>
        </w:rPr>
        <w:t xml:space="preserve">, שקובעת מנגנון לתמחור פחמן. ההחלטה הטילה על שר האוצר להביא להפנמה מדורגת של העלויות הסביבתיות של פליטות פחמן באמצעות תיקון צו הבלו על דלק (הטלת בלו), התשס"ד-2004, וצו תעריף המכס והפטורים ומס קנייה על טובין, התשע"ז-2017 (להלן יחד - הצווים) כך שיגלמו זאת. לפי המשרד </w:t>
      </w:r>
      <w:r w:rsidRPr="0080333A">
        <w:rPr>
          <w:rFonts w:hint="cs"/>
          <w:rtl/>
        </w:rPr>
        <w:t>להג"ס</w:t>
      </w:r>
      <w:r w:rsidRPr="0080333A">
        <w:rPr>
          <w:rFonts w:hint="cs"/>
          <w:rtl/>
        </w:rPr>
        <w:t xml:space="preserve"> </w:t>
      </w:r>
      <w:r w:rsidRPr="0080333A">
        <w:rPr>
          <w:rtl/>
        </w:rPr>
        <w:t xml:space="preserve">מודל </w:t>
      </w:r>
      <w:r w:rsidRPr="0080333A">
        <w:rPr>
          <w:rFonts w:hint="cs"/>
          <w:rtl/>
        </w:rPr>
        <w:t xml:space="preserve">שהכין הראה כי החלת מס הפחמן הייתה מונעת </w:t>
      </w:r>
      <w:r w:rsidRPr="0080333A">
        <w:rPr>
          <w:rtl/>
        </w:rPr>
        <w:t xml:space="preserve">עלייה של 35% </w:t>
      </w:r>
      <w:r w:rsidRPr="0080333A">
        <w:rPr>
          <w:rFonts w:hint="cs"/>
          <w:rtl/>
        </w:rPr>
        <w:t xml:space="preserve">בפליטות </w:t>
      </w:r>
      <w:r w:rsidRPr="0080333A">
        <w:rPr>
          <w:rFonts w:hint="cs"/>
          <w:rtl/>
        </w:rPr>
        <w:t>גז"ח</w:t>
      </w:r>
      <w:r w:rsidRPr="0080333A">
        <w:rPr>
          <w:rtl/>
        </w:rPr>
        <w:t xml:space="preserve"> </w:t>
      </w:r>
      <w:r w:rsidRPr="0080333A">
        <w:rPr>
          <w:rFonts w:hint="cs"/>
          <w:rtl/>
        </w:rPr>
        <w:t>ומפחיתה</w:t>
      </w:r>
      <w:r w:rsidRPr="0080333A">
        <w:rPr>
          <w:rtl/>
        </w:rPr>
        <w:t xml:space="preserve"> לבד</w:t>
      </w:r>
      <w:r w:rsidRPr="0080333A">
        <w:rPr>
          <w:rFonts w:hint="cs"/>
          <w:rtl/>
        </w:rPr>
        <w:t>ה</w:t>
      </w:r>
      <w:r w:rsidRPr="0080333A">
        <w:rPr>
          <w:rtl/>
        </w:rPr>
        <w:t xml:space="preserve"> </w:t>
      </w:r>
      <w:r w:rsidRPr="0080333A">
        <w:rPr>
          <w:rFonts w:hint="cs"/>
          <w:rtl/>
        </w:rPr>
        <w:t>"</w:t>
      </w:r>
      <w:r w:rsidRPr="0080333A">
        <w:rPr>
          <w:rtl/>
        </w:rPr>
        <w:t>בכמעט 70% את פליטות גזי החממה בישראל</w:t>
      </w:r>
      <w:r w:rsidRPr="0080333A">
        <w:rPr>
          <w:rFonts w:hint="cs"/>
          <w:rtl/>
        </w:rPr>
        <w:t>..</w:t>
      </w:r>
      <w:r w:rsidRPr="0080333A">
        <w:rPr>
          <w:rtl/>
        </w:rPr>
        <w:t xml:space="preserve">. </w:t>
      </w:r>
      <w:r w:rsidRPr="0080333A">
        <w:rPr>
          <w:rFonts w:hint="cs"/>
          <w:rtl/>
        </w:rPr>
        <w:t xml:space="preserve">[וכי] </w:t>
      </w:r>
      <w:r w:rsidRPr="0080333A">
        <w:rPr>
          <w:rtl/>
        </w:rPr>
        <w:t>זה הכלי הכלכלי האפקטיבי ביותר להשגת יעדים של הפחתת פליטת גזי חממה שקיים</w:t>
      </w:r>
      <w:r w:rsidRPr="0080333A">
        <w:rPr>
          <w:rFonts w:hint="cs"/>
          <w:rtl/>
        </w:rPr>
        <w:t>"</w:t>
      </w:r>
      <w:r>
        <w:rPr>
          <w:rStyle w:val="FootnoteReference2"/>
          <w:rtl/>
        </w:rPr>
        <w:footnoteReference w:id="56"/>
      </w:r>
      <w:r w:rsidRPr="0080333A">
        <w:rPr>
          <w:rtl/>
        </w:rPr>
        <w:t xml:space="preserve">. </w:t>
      </w:r>
      <w:r w:rsidRPr="0080333A">
        <w:rPr>
          <w:rFonts w:hint="cs"/>
          <w:rtl/>
        </w:rPr>
        <w:t>נוסף על כך הפחתת הפליטות תקטין את כמות הנזקים הבריאותיים לציבור ותחסוך הוצאות בסך 20 מיליארד ש"ח</w:t>
      </w:r>
      <w:r>
        <w:rPr>
          <w:vertAlign w:val="superscript"/>
          <w:rtl/>
        </w:rPr>
        <w:footnoteReference w:id="57"/>
      </w:r>
      <w:r w:rsidRPr="0080333A">
        <w:rPr>
          <w:rFonts w:hint="cs"/>
          <w:rtl/>
        </w:rPr>
        <w:t>.</w:t>
      </w:r>
    </w:p>
    <w:p w:rsidR="00F20E3F" w:rsidRPr="00103655" w:rsidP="00C44928" w14:paraId="66DC80FB" w14:textId="77777777">
      <w:pPr>
        <w:pStyle w:val="7114"/>
        <w:numPr>
          <w:ilvl w:val="0"/>
          <w:numId w:val="11"/>
        </w:numPr>
      </w:pPr>
      <w:r>
        <w:rPr>
          <w:rFonts w:hint="cs"/>
          <w:rtl/>
        </w:rPr>
        <w:t xml:space="preserve">להחלטת הממשלה קדמו </w:t>
      </w:r>
      <w:r>
        <w:rPr>
          <w:rtl/>
        </w:rPr>
        <w:t xml:space="preserve">דיונים </w:t>
      </w:r>
      <w:r>
        <w:rPr>
          <w:rFonts w:hint="cs"/>
          <w:rtl/>
        </w:rPr>
        <w:t xml:space="preserve">בנושא מס הפחמן בין משרדי האוצר, </w:t>
      </w:r>
      <w:r>
        <w:rPr>
          <w:rFonts w:hint="cs"/>
          <w:rtl/>
        </w:rPr>
        <w:t>הג"ס</w:t>
      </w:r>
      <w:r>
        <w:rPr>
          <w:rFonts w:hint="cs"/>
          <w:rtl/>
        </w:rPr>
        <w:t xml:space="preserve"> </w:t>
      </w:r>
      <w:r>
        <w:rPr>
          <w:rFonts w:hint="cs"/>
          <w:rtl/>
        </w:rPr>
        <w:t>והאנרגייה</w:t>
      </w:r>
      <w:r>
        <w:rPr>
          <w:rFonts w:hint="cs"/>
          <w:rtl/>
        </w:rPr>
        <w:t xml:space="preserve"> וגורמים נוספים, </w:t>
      </w:r>
      <w:r>
        <w:rPr>
          <w:rtl/>
        </w:rPr>
        <w:t>ו</w:t>
      </w:r>
      <w:r>
        <w:rPr>
          <w:rFonts w:hint="cs"/>
          <w:rtl/>
        </w:rPr>
        <w:t xml:space="preserve">כן </w:t>
      </w:r>
      <w:r>
        <w:rPr>
          <w:rtl/>
        </w:rPr>
        <w:t>נעשו סימולציות.</w:t>
      </w:r>
      <w:r w:rsidRPr="0080333A">
        <w:rPr>
          <w:rFonts w:hint="cs"/>
          <w:rtl/>
        </w:rPr>
        <w:t xml:space="preserve"> </w:t>
      </w:r>
      <w:r w:rsidRPr="0080333A">
        <w:rPr>
          <w:rtl/>
        </w:rPr>
        <w:t xml:space="preserve">יישום החלטת הממשלה </w:t>
      </w:r>
      <w:r w:rsidRPr="0080333A">
        <w:rPr>
          <w:rFonts w:hint="cs"/>
          <w:rtl/>
        </w:rPr>
        <w:t xml:space="preserve">לתמחור פליטות </w:t>
      </w:r>
      <w:r w:rsidRPr="0080333A">
        <w:rPr>
          <w:rFonts w:hint="cs"/>
          <w:rtl/>
        </w:rPr>
        <w:t>גז"ח</w:t>
      </w:r>
      <w:r w:rsidRPr="0080333A">
        <w:rPr>
          <w:rFonts w:hint="cs"/>
          <w:rtl/>
        </w:rPr>
        <w:t xml:space="preserve"> החל באמצעות תיקון הצווים שעליהם חתם שר האוצר דאז ביום 13.10.21, ואשר קבעו תעריפי מס מדורגים חדשים על דלקים </w:t>
      </w:r>
      <w:r w:rsidRPr="0080333A">
        <w:rPr>
          <w:rFonts w:hint="cs"/>
          <w:rtl/>
        </w:rPr>
        <w:t>פוסיליים</w:t>
      </w:r>
      <w:r w:rsidRPr="0080333A">
        <w:rPr>
          <w:rFonts w:hint="cs"/>
          <w:rtl/>
        </w:rPr>
        <w:t xml:space="preserve"> מסוימים שהוסכם עליהם במהלך אותם דיונים. </w:t>
      </w:r>
    </w:p>
    <w:p w:rsidR="00F20E3F" w:rsidRPr="00032174" w:rsidP="00032174" w14:paraId="344CFDB1" w14:textId="77777777">
      <w:pPr>
        <w:pStyle w:val="7316"/>
        <w:rPr>
          <w:rtl/>
        </w:rPr>
      </w:pPr>
      <w:r w:rsidRPr="00032174">
        <w:rPr>
          <w:rFonts w:hint="cs"/>
          <w:rtl/>
        </w:rPr>
        <w:t xml:space="preserve">בשלב הבא נדרש אישור ועדת הכספים של הכנסת לתיקון הצווים שבהם דנה </w:t>
      </w:r>
      <w:r w:rsidRPr="00032174">
        <w:rPr>
          <w:rtl/>
        </w:rPr>
        <w:t>ב</w:t>
      </w:r>
      <w:r w:rsidRPr="00032174">
        <w:rPr>
          <w:rFonts w:hint="cs"/>
          <w:rtl/>
        </w:rPr>
        <w:t>דצמבר 2021. במהלך הדיון ציינה נציגת משרד האוצר כי "</w:t>
      </w:r>
      <w:r w:rsidRPr="00032174">
        <w:rPr>
          <w:rtl/>
        </w:rPr>
        <w:t>הצעד שאנחנו מציגים</w:t>
      </w:r>
      <w:r w:rsidRPr="00032174">
        <w:rPr>
          <w:rFonts w:hint="cs"/>
          <w:rtl/>
        </w:rPr>
        <w:t xml:space="preserve">... </w:t>
      </w:r>
      <w:r w:rsidRPr="00032174">
        <w:rPr>
          <w:rtl/>
        </w:rPr>
        <w:t xml:space="preserve">הוא אחד מאבני </w:t>
      </w:r>
      <w:r w:rsidRPr="00032174">
        <w:rPr>
          <w:rtl/>
        </w:rPr>
        <w:t xml:space="preserve">היסוד בארגז הכלים הממשלתי כדי </w:t>
      </w:r>
      <w:r w:rsidRPr="00032174">
        <w:rPr>
          <w:rFonts w:hint="cs"/>
          <w:rtl/>
        </w:rPr>
        <w:t>[</w:t>
      </w:r>
      <w:r w:rsidRPr="00032174">
        <w:rPr>
          <w:rtl/>
        </w:rPr>
        <w:t>ל</w:t>
      </w:r>
      <w:r w:rsidRPr="00032174">
        <w:rPr>
          <w:rFonts w:hint="cs"/>
          <w:rtl/>
        </w:rPr>
        <w:t>עמוד ב</w:t>
      </w:r>
      <w:r w:rsidRPr="00032174">
        <w:rPr>
          <w:rtl/>
        </w:rPr>
        <w:t>יעדי</w:t>
      </w:r>
      <w:r w:rsidRPr="00032174">
        <w:rPr>
          <w:rFonts w:hint="cs"/>
          <w:rtl/>
        </w:rPr>
        <w:t>]</w:t>
      </w:r>
      <w:r w:rsidRPr="00032174">
        <w:rPr>
          <w:rtl/>
        </w:rPr>
        <w:t xml:space="preserve"> הפחתת גזי החממה שהממשלה הציבה לעצמה. הצעד הזה הוא צעד הכרחי. הוא לא מספיק, הוא לא בא כצעד אחד אלא הוא חלק מחבילה מאוד מאוד רחבה</w:t>
      </w:r>
      <w:r w:rsidRPr="00032174">
        <w:rPr>
          <w:rFonts w:hint="cs"/>
          <w:rtl/>
        </w:rPr>
        <w:t xml:space="preserve">... </w:t>
      </w:r>
      <w:r w:rsidRPr="00032174">
        <w:rPr>
          <w:rtl/>
        </w:rPr>
        <w:t>יחד הם יכולים להביא אותנו לתוצאה אופטימלית, כדי להגיע למשק בר קיימא, דל בפליטות פחמן וגם דל בזיהום אוויר. הסיבה</w:t>
      </w:r>
      <w:r w:rsidRPr="00032174">
        <w:rPr>
          <w:rFonts w:hint="cs"/>
          <w:rtl/>
        </w:rPr>
        <w:t xml:space="preserve">... </w:t>
      </w:r>
      <w:r w:rsidRPr="00032174">
        <w:rPr>
          <w:rtl/>
        </w:rPr>
        <w:t>להפעלת מיסוי כזה היא בגלל כשלי השוק שנגרמים מזה שאנחנו לא מתמחרים נכון את העלויות למשק</w:t>
      </w:r>
      <w:r w:rsidRPr="00032174">
        <w:rPr>
          <w:rFonts w:hint="cs"/>
          <w:rtl/>
        </w:rPr>
        <w:t xml:space="preserve">... </w:t>
      </w:r>
      <w:r w:rsidRPr="00032174">
        <w:rPr>
          <w:rtl/>
        </w:rPr>
        <w:t>אנחנו לא מגרדים את העלויות הסביבתיות ויש קורלציה גם בפליטות הפחמן לזיהום האוויר שאנחנו נושמים.</w:t>
      </w:r>
      <w:r w:rsidRPr="00032174">
        <w:rPr>
          <w:rFonts w:hint="cs"/>
          <w:rtl/>
        </w:rPr>
        <w:t>..</w:t>
      </w:r>
      <w:r w:rsidRPr="00032174">
        <w:rPr>
          <w:rtl/>
        </w:rPr>
        <w:t xml:space="preserve"> זה ממש משפיע על הבריאות שלנו ועל התחלואה בישראל ולא רק על ההתחממות הגלובלית</w:t>
      </w:r>
      <w:r w:rsidRPr="00032174">
        <w:rPr>
          <w:rFonts w:hint="cs"/>
          <w:rtl/>
        </w:rPr>
        <w:t>"</w:t>
      </w:r>
      <w:r>
        <w:rPr>
          <w:rStyle w:val="FootnoteReference2"/>
          <w:rtl/>
        </w:rPr>
        <w:footnoteReference w:id="58"/>
      </w:r>
      <w:r w:rsidRPr="00032174">
        <w:rPr>
          <w:rtl/>
        </w:rPr>
        <w:t>.</w:t>
      </w:r>
    </w:p>
    <w:p w:rsidR="00F20E3F" w:rsidRPr="00032174" w:rsidP="00032174" w14:paraId="08AD4758" w14:textId="77777777">
      <w:pPr>
        <w:pStyle w:val="7316"/>
      </w:pPr>
      <w:r w:rsidRPr="00032174">
        <w:rPr>
          <w:rFonts w:hint="cs"/>
          <w:rtl/>
        </w:rPr>
        <w:t>עם זאת, בדיון האמור לא אושר תיקון הצווים הנוגעים להחלת מס פחמן שכן הועלו ספקות או התנגדויות בעניין השפעת המס על התעשייה ועל יוקר המחיה לציבור</w:t>
      </w:r>
      <w:r>
        <w:rPr>
          <w:rStyle w:val="FootnoteReference2"/>
          <w:rtl/>
        </w:rPr>
        <w:footnoteReference w:id="59"/>
      </w:r>
      <w:r w:rsidRPr="00032174">
        <w:rPr>
          <w:rFonts w:hint="cs"/>
          <w:rtl/>
        </w:rPr>
        <w:t xml:space="preserve">. בתאריך </w:t>
      </w:r>
      <w:r w:rsidRPr="00032174">
        <w:rPr>
          <w:rtl/>
        </w:rPr>
        <w:t xml:space="preserve">13.12.21 </w:t>
      </w:r>
      <w:r w:rsidRPr="00032174">
        <w:rPr>
          <w:rFonts w:hint="cs"/>
          <w:rtl/>
        </w:rPr>
        <w:t xml:space="preserve">פג תוקף </w:t>
      </w:r>
      <w:r w:rsidRPr="00032174">
        <w:rPr>
          <w:rtl/>
        </w:rPr>
        <w:t>הצווים</w:t>
      </w:r>
      <w:r w:rsidRPr="00032174">
        <w:rPr>
          <w:rFonts w:hint="cs"/>
          <w:rtl/>
        </w:rPr>
        <w:t xml:space="preserve"> מאחר שחלפו 60 יום ממועד פרסומם, בלי שאושרו על ידי ועדת הכספים בפרק זמן זה. הצווים לא נחתמו מחדש, וכעבור חודשים מספר הכ</w:t>
      </w:r>
      <w:r w:rsidRPr="00032174">
        <w:rPr>
          <w:rtl/>
        </w:rPr>
        <w:t>נסת פוזרה.</w:t>
      </w:r>
      <w:r w:rsidRPr="00032174">
        <w:rPr>
          <w:rFonts w:hint="cs"/>
          <w:rtl/>
        </w:rPr>
        <w:t xml:space="preserve"> </w:t>
      </w:r>
    </w:p>
    <w:p w:rsidR="00F20E3F" w:rsidP="00C44928" w14:paraId="7A96BEDA" w14:textId="77777777">
      <w:pPr>
        <w:pStyle w:val="7114"/>
        <w:numPr>
          <w:ilvl w:val="0"/>
          <w:numId w:val="73"/>
        </w:numPr>
      </w:pPr>
      <w:r>
        <w:rPr>
          <w:rFonts w:hint="cs"/>
          <w:rtl/>
        </w:rPr>
        <w:t>במהלך הביקורת ציין משרד האוצר כי מאז שפקע הצו לא התקבלה</w:t>
      </w:r>
      <w:r>
        <w:rPr>
          <w:rtl/>
        </w:rPr>
        <w:t xml:space="preserve"> החלטה </w:t>
      </w:r>
      <w:r>
        <w:rPr>
          <w:rFonts w:hint="cs"/>
          <w:rtl/>
        </w:rPr>
        <w:t>"</w:t>
      </w:r>
      <w:r>
        <w:rPr>
          <w:rtl/>
        </w:rPr>
        <w:t>כיצד להתקדם בנושא זה ומה המדיניות הנדרשת</w:t>
      </w:r>
      <w:r>
        <w:rPr>
          <w:rFonts w:hint="cs"/>
          <w:rtl/>
        </w:rPr>
        <w:t xml:space="preserve">", ובו-זמנית נרשמה התייקרות ניכרת במחירי הדלקים, בין היתר בשל המלחמה שפרצה באוקראינה בפברואר 2022, שצמצמה עוד יותר את התמריץ להטלת מס פחמן. בעניין זה כתב באפריל 2023 אגף התקציבים במשרד האוצר למשרד מבקר המדינה כי למעשה "לאור מצב השווקים ובפרט האינפלציה הגבוהה, האגף לא סבור שיש היתכנות בטווח הזמן הקרוב לצעדים שעשויים להגביר את יוקר המחייה". </w:t>
      </w:r>
    </w:p>
    <w:p w:rsidR="00F20E3F" w:rsidP="00C44928" w14:paraId="0424A0C4" w14:textId="0EFA246C">
      <w:pPr>
        <w:pStyle w:val="7114"/>
        <w:numPr>
          <w:ilvl w:val="0"/>
          <w:numId w:val="73"/>
        </w:numPr>
      </w:pPr>
      <w:r>
        <w:rPr>
          <w:rFonts w:hint="cs"/>
          <w:rtl/>
        </w:rPr>
        <w:t xml:space="preserve">אף על פי כן, בכל הקשור לעלויות המושתות על הצרכן הפרטי (הצפוי לצרוך בעיקר גז טבעי דרך חשבון החשמל בביתו), משרד האוצר ציין בעבר כי </w:t>
      </w:r>
      <w:r w:rsidRPr="004A122C">
        <w:rPr>
          <w:rtl/>
        </w:rPr>
        <w:t xml:space="preserve">מס </w:t>
      </w:r>
      <w:r>
        <w:rPr>
          <w:rFonts w:hint="cs"/>
          <w:rtl/>
        </w:rPr>
        <w:t>פחמן "</w:t>
      </w:r>
      <w:r w:rsidRPr="004A122C">
        <w:rPr>
          <w:rtl/>
        </w:rPr>
        <w:t xml:space="preserve">יעלה את מחיר החשמל </w:t>
      </w:r>
      <w:r>
        <w:rPr>
          <w:rFonts w:hint="cs"/>
          <w:rtl/>
        </w:rPr>
        <w:t>-</w:t>
      </w:r>
      <w:r w:rsidRPr="004A122C">
        <w:rPr>
          <w:rtl/>
        </w:rPr>
        <w:t xml:space="preserve"> אך יותיר אותו נמוך יחסית למחירים באירופה</w:t>
      </w:r>
      <w:r>
        <w:rPr>
          <w:rFonts w:hint="cs"/>
          <w:rtl/>
        </w:rPr>
        <w:t xml:space="preserve">" וכי </w:t>
      </w:r>
      <w:r>
        <w:rPr>
          <w:rtl/>
        </w:rPr>
        <w:t xml:space="preserve">המנגנון </w:t>
      </w:r>
      <w:r>
        <w:rPr>
          <w:rFonts w:hint="cs"/>
          <w:rtl/>
        </w:rPr>
        <w:t>המוצע בהחלטת ממשלה 286 מציע</w:t>
      </w:r>
      <w:r>
        <w:rPr>
          <w:rtl/>
        </w:rPr>
        <w:t xml:space="preserve"> עלייה איטית ומדורגת </w:t>
      </w:r>
      <w:r>
        <w:rPr>
          <w:rFonts w:hint="cs"/>
          <w:rtl/>
        </w:rPr>
        <w:t xml:space="preserve">שיביא </w:t>
      </w:r>
      <w:r>
        <w:rPr>
          <w:rtl/>
        </w:rPr>
        <w:t xml:space="preserve">רק </w:t>
      </w:r>
      <w:r>
        <w:rPr>
          <w:rFonts w:hint="cs"/>
          <w:rtl/>
        </w:rPr>
        <w:t>בשנת 2028 "למצב ש</w:t>
      </w:r>
      <w:r>
        <w:rPr>
          <w:rtl/>
        </w:rPr>
        <w:t>רוב הצרכנים ירגישו משהו משמעותי בכיס</w:t>
      </w:r>
      <w:r>
        <w:rPr>
          <w:rFonts w:hint="cs"/>
          <w:rtl/>
        </w:rPr>
        <w:t>", וכי "</w:t>
      </w:r>
      <w:r>
        <w:rPr>
          <w:rtl/>
        </w:rPr>
        <w:t>ביחס לאירופה ולעוד מדינות בעולם, המחיר המקסימלי שנגיע אליו</w:t>
      </w:r>
      <w:r>
        <w:rPr>
          <w:rFonts w:hint="cs"/>
          <w:rtl/>
        </w:rPr>
        <w:t xml:space="preserve"> [בישראל]</w:t>
      </w:r>
      <w:r>
        <w:rPr>
          <w:rtl/>
        </w:rPr>
        <w:t>, אם אנחנו מתמחרים את העלות לפליטת טון פחמן דו-חמצני, הוא מאוד נמוך. כמה נמוך?</w:t>
      </w:r>
      <w:r>
        <w:rPr>
          <w:rFonts w:hint="cs"/>
          <w:rtl/>
        </w:rPr>
        <w:t>...</w:t>
      </w:r>
      <w:r>
        <w:rPr>
          <w:rtl/>
        </w:rPr>
        <w:t xml:space="preserve"> המחיר של פליטת פחמן דו-חמצני באירופה עלה השבוע</w:t>
      </w:r>
      <w:r>
        <w:rPr>
          <w:rFonts w:hint="cs"/>
          <w:rtl/>
        </w:rPr>
        <w:t xml:space="preserve"> [בדצמבר 2021]</w:t>
      </w:r>
      <w:r>
        <w:rPr>
          <w:rtl/>
        </w:rPr>
        <w:t xml:space="preserve"> ל-80 יורו, שזה 90 </w:t>
      </w:r>
      <w:r>
        <w:rPr>
          <w:rFonts w:hint="cs"/>
          <w:rtl/>
        </w:rPr>
        <w:t xml:space="preserve">[דולר] </w:t>
      </w:r>
      <w:r>
        <w:rPr>
          <w:rtl/>
        </w:rPr>
        <w:t>בערך. ב</w:t>
      </w:r>
      <w:r>
        <w:rPr>
          <w:rFonts w:hint="cs"/>
          <w:rtl/>
        </w:rPr>
        <w:t>[בישראל בשנת]</w:t>
      </w:r>
      <w:r>
        <w:rPr>
          <w:rtl/>
        </w:rPr>
        <w:t>-2028 אנחנו נהיה ב-20 דולר</w:t>
      </w:r>
      <w:r>
        <w:rPr>
          <w:rFonts w:hint="cs"/>
          <w:rtl/>
        </w:rPr>
        <w:t>"</w:t>
      </w:r>
      <w:r>
        <w:rPr>
          <w:vertAlign w:val="superscript"/>
          <w:rtl/>
        </w:rPr>
        <w:footnoteReference w:id="60"/>
      </w:r>
      <w:r>
        <w:rPr>
          <w:rtl/>
        </w:rPr>
        <w:t xml:space="preserve">. </w:t>
      </w:r>
      <w:r>
        <w:rPr>
          <w:rFonts w:hint="cs"/>
          <w:rtl/>
        </w:rPr>
        <w:t>להלן נתוני משרד</w:t>
      </w:r>
      <w:r w:rsidR="00F04910">
        <w:rPr>
          <w:rFonts w:hint="cs"/>
          <w:rtl/>
        </w:rPr>
        <w:t xml:space="preserve"> האוצר</w:t>
      </w:r>
      <w:r>
        <w:rPr>
          <w:rFonts w:hint="cs"/>
          <w:rtl/>
        </w:rPr>
        <w:t xml:space="preserve"> בעניין:</w:t>
      </w:r>
    </w:p>
    <w:p w:rsidR="00F20E3F" w:rsidP="00981F98" w14:paraId="0C384484" w14:textId="77777777">
      <w:pPr>
        <w:pStyle w:val="733"/>
        <w:ind w:left="397"/>
        <w:rPr>
          <w:rtl/>
        </w:rPr>
      </w:pPr>
      <w:r w:rsidRPr="00703BF5">
        <w:rPr>
          <w:rFonts w:hint="eastAsia"/>
          <w:b w:val="0"/>
          <w:bCs w:val="0"/>
          <w:rtl/>
        </w:rPr>
        <w:t>תרשים</w:t>
      </w:r>
      <w:r w:rsidRPr="00703BF5">
        <w:rPr>
          <w:rFonts w:hint="cs"/>
          <w:b w:val="0"/>
          <w:bCs w:val="0"/>
          <w:rtl/>
        </w:rPr>
        <w:t xml:space="preserve"> 36</w:t>
      </w:r>
      <w:r w:rsidRPr="00703BF5">
        <w:rPr>
          <w:b w:val="0"/>
          <w:bCs w:val="0"/>
          <w:rtl/>
        </w:rPr>
        <w:t>:</w:t>
      </w:r>
      <w:r w:rsidRPr="00D82779">
        <w:rPr>
          <w:rFonts w:hint="cs"/>
          <w:rtl/>
        </w:rPr>
        <w:t xml:space="preserve"> </w:t>
      </w:r>
      <w:r w:rsidRPr="00D82779">
        <w:rPr>
          <w:rtl/>
        </w:rPr>
        <w:t>השוואת</w:t>
      </w:r>
      <w:r w:rsidRPr="004A122C">
        <w:rPr>
          <w:rtl/>
        </w:rPr>
        <w:t xml:space="preserve"> מחירי </w:t>
      </w:r>
      <w:r>
        <w:rPr>
          <w:rFonts w:hint="cs"/>
          <w:rtl/>
        </w:rPr>
        <w:t>ה</w:t>
      </w:r>
      <w:r w:rsidRPr="004A122C">
        <w:rPr>
          <w:rtl/>
        </w:rPr>
        <w:t xml:space="preserve">חשמל לצרכן </w:t>
      </w:r>
      <w:r>
        <w:rPr>
          <w:rFonts w:hint="cs"/>
          <w:rtl/>
        </w:rPr>
        <w:t xml:space="preserve">הביתי </w:t>
      </w:r>
      <w:r w:rsidRPr="002F2907">
        <w:rPr>
          <w:rtl/>
        </w:rPr>
        <w:t>ב</w:t>
      </w:r>
      <w:r w:rsidRPr="004A122C">
        <w:rPr>
          <w:rtl/>
        </w:rPr>
        <w:t>מדינות אירופה ו</w:t>
      </w:r>
      <w:r>
        <w:rPr>
          <w:rFonts w:hint="cs"/>
          <w:rtl/>
        </w:rPr>
        <w:t>ב</w:t>
      </w:r>
      <w:r w:rsidRPr="004A122C">
        <w:rPr>
          <w:rtl/>
        </w:rPr>
        <w:t>ישראל</w:t>
      </w:r>
      <w:r>
        <w:rPr>
          <w:rFonts w:hint="cs"/>
          <w:rtl/>
        </w:rPr>
        <w:t xml:space="preserve">, </w:t>
      </w:r>
      <w:r>
        <w:rPr>
          <w:rtl/>
        </w:rPr>
        <w:t xml:space="preserve">2020 </w:t>
      </w:r>
      <w:r>
        <w:rPr>
          <w:rFonts w:hint="cs"/>
          <w:rtl/>
        </w:rPr>
        <w:t>(אירו</w:t>
      </w:r>
      <w:r w:rsidRPr="002F2907">
        <w:rPr>
          <w:rFonts w:hint="cs"/>
          <w:rtl/>
        </w:rPr>
        <w:t>/</w:t>
      </w:r>
      <w:r w:rsidRPr="002F2907">
        <w:rPr>
          <w:rFonts w:hint="cs"/>
        </w:rPr>
        <w:t>K</w:t>
      </w:r>
      <w:r w:rsidRPr="002F2907">
        <w:t>wh</w:t>
      </w:r>
      <w:r w:rsidRPr="002F2907">
        <w:rPr>
          <w:rFonts w:hint="cs"/>
          <w:rtl/>
        </w:rPr>
        <w:t>)</w:t>
      </w:r>
    </w:p>
    <w:p w:rsidR="00F20E3F" w:rsidRPr="00981F98" w:rsidP="00981F98" w14:paraId="65A9301A" w14:textId="11B627E4">
      <w:pPr>
        <w:ind w:left="397"/>
      </w:pPr>
      <w:r>
        <w:rPr>
          <w:noProof/>
        </w:rPr>
        <w:drawing>
          <wp:inline distT="0" distB="0" distL="0" distR="0">
            <wp:extent cx="4463702" cy="2751082"/>
            <wp:effectExtent l="0" t="0" r="0" b="0"/>
            <wp:docPr id="1764121376" name="תמונה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612638" name="תמונה 45"/>
                    <pic:cNvPicPr/>
                  </pic:nvPicPr>
                  <pic:blipFill>
                    <a:blip xmlns:r="http://schemas.openxmlformats.org/officeDocument/2006/relationships" r:embed="rId40">
                      <a:extLst>
                        <a:ext xmlns:a="http://schemas.openxmlformats.org/drawingml/2006/main" uri="{28A0092B-C50C-407E-A947-70E740481C1C}">
                          <a14:useLocalDpi xmlns:a14="http://schemas.microsoft.com/office/drawing/2010/main" val="0"/>
                        </a:ext>
                      </a:extLst>
                    </a:blip>
                    <a:stretch>
                      <a:fillRect/>
                    </a:stretch>
                  </pic:blipFill>
                  <pic:spPr>
                    <a:xfrm>
                      <a:off x="0" y="0"/>
                      <a:ext cx="4486175" cy="2764932"/>
                    </a:xfrm>
                    <a:prstGeom prst="rect">
                      <a:avLst/>
                    </a:prstGeom>
                  </pic:spPr>
                </pic:pic>
              </a:graphicData>
            </a:graphic>
          </wp:inline>
        </w:drawing>
      </w:r>
    </w:p>
    <w:p w:rsidR="00F20E3F" w:rsidRPr="002F2907" w:rsidP="00981F98" w14:paraId="26A73F79" w14:textId="77777777">
      <w:pPr>
        <w:pStyle w:val="737"/>
        <w:ind w:left="397"/>
        <w:rPr>
          <w:rtl/>
        </w:rPr>
      </w:pPr>
      <w:r w:rsidRPr="002F2907">
        <w:rPr>
          <w:rFonts w:hint="cs"/>
          <w:rtl/>
        </w:rPr>
        <w:t xml:space="preserve">המקור: משרד האוצר, על פי נתוני </w:t>
      </w:r>
      <w:r w:rsidRPr="002F2907">
        <w:t>Eurostat</w:t>
      </w:r>
      <w:r w:rsidRPr="002F2907">
        <w:rPr>
          <w:rFonts w:hint="cs"/>
          <w:rtl/>
        </w:rPr>
        <w:t>, בעיבוד משרד מבקר המדינה.</w:t>
      </w:r>
    </w:p>
    <w:p w:rsidR="00F20E3F" w:rsidRPr="00826C72" w:rsidP="00032174" w14:paraId="793AB941" w14:textId="77777777">
      <w:pPr>
        <w:pStyle w:val="7316"/>
        <w:rPr>
          <w:sz w:val="24"/>
          <w:rtl/>
        </w:rPr>
      </w:pPr>
      <w:r w:rsidRPr="00826C72">
        <w:rPr>
          <w:rFonts w:hint="cs"/>
          <w:sz w:val="24"/>
          <w:rtl/>
        </w:rPr>
        <w:t>לפי נתוני</w:t>
      </w:r>
      <w:r>
        <w:rPr>
          <w:rFonts w:hint="cs"/>
          <w:sz w:val="24"/>
          <w:rtl/>
        </w:rPr>
        <w:t xml:space="preserve"> </w:t>
      </w:r>
      <w:r w:rsidRPr="00032174">
        <w:rPr>
          <w:rFonts w:hint="cs"/>
          <w:rtl/>
        </w:rPr>
        <w:t>משרד האוצר שלעיל, לאחר החלת מלוא מס הפחמן בשנת 2028 החשמל יתייקר מ-0.14 אירו/</w:t>
      </w:r>
      <w:r w:rsidRPr="00032174">
        <w:t>Kwh</w:t>
      </w:r>
      <w:r w:rsidRPr="00032174">
        <w:rPr>
          <w:rFonts w:hint="cs"/>
          <w:rtl/>
        </w:rPr>
        <w:t xml:space="preserve"> לכ-0.15 אירו/</w:t>
      </w:r>
      <w:r w:rsidRPr="00032174">
        <w:t>Kwh</w:t>
      </w:r>
      <w:r w:rsidRPr="00032174">
        <w:rPr>
          <w:rFonts w:hint="cs"/>
          <w:rtl/>
        </w:rPr>
        <w:t>, והמחיר עדיין יהיה זול מרוב מדינות גוש האירו, שם ממוצע מחיר החשמל יהיה 0.23 אירו/</w:t>
      </w:r>
      <w:r w:rsidRPr="00032174">
        <w:t>Kwh</w:t>
      </w:r>
      <w:r w:rsidRPr="00032174">
        <w:rPr>
          <w:rFonts w:hint="cs"/>
          <w:rtl/>
        </w:rPr>
        <w:t xml:space="preserve">, גבוה בשיעור של כ-53%. </w:t>
      </w:r>
      <w:r>
        <w:rPr>
          <w:rFonts w:hint="cs"/>
          <w:rtl/>
        </w:rPr>
        <w:t>להלן תחשיב שבוצע במשרד האוצר לגבי עליית המחירים הצפויה למשקי בית ביישום החלטת הממשלה 286:</w:t>
      </w:r>
    </w:p>
    <w:p w:rsidR="00F20E3F" w:rsidRPr="002F2907" w:rsidP="002F2907" w14:paraId="5CE1EA92" w14:textId="77777777">
      <w:pPr>
        <w:pStyle w:val="733"/>
        <w:rPr>
          <w:rtl/>
        </w:rPr>
      </w:pPr>
      <w:r w:rsidRPr="00703BF5">
        <w:rPr>
          <w:rFonts w:hint="eastAsia"/>
          <w:b w:val="0"/>
          <w:bCs w:val="0"/>
          <w:rtl/>
        </w:rPr>
        <w:t>לו</w:t>
      </w:r>
      <w:r w:rsidRPr="00703BF5">
        <w:rPr>
          <w:rFonts w:hint="cs"/>
          <w:b w:val="0"/>
          <w:bCs w:val="0"/>
          <w:rtl/>
        </w:rPr>
        <w:t>ח 17</w:t>
      </w:r>
      <w:r w:rsidRPr="00703BF5">
        <w:rPr>
          <w:b w:val="0"/>
          <w:bCs w:val="0"/>
          <w:rtl/>
        </w:rPr>
        <w:t>:</w:t>
      </w:r>
      <w:r w:rsidRPr="00447E19">
        <w:rPr>
          <w:rtl/>
        </w:rPr>
        <w:t xml:space="preserve"> עליית </w:t>
      </w:r>
      <w:r>
        <w:rPr>
          <w:rFonts w:hint="cs"/>
          <w:rtl/>
        </w:rPr>
        <w:t>ה</w:t>
      </w:r>
      <w:r w:rsidRPr="00447E19">
        <w:rPr>
          <w:rtl/>
        </w:rPr>
        <w:t xml:space="preserve">מחירים </w:t>
      </w:r>
      <w:r>
        <w:rPr>
          <w:rFonts w:hint="cs"/>
          <w:rtl/>
        </w:rPr>
        <w:t xml:space="preserve">עקב </w:t>
      </w:r>
      <w:r w:rsidRPr="00447E19">
        <w:rPr>
          <w:rtl/>
        </w:rPr>
        <w:t>מס הפחמן</w:t>
      </w:r>
      <w:r w:rsidRPr="00447E19">
        <w:rPr>
          <w:rFonts w:hint="cs"/>
          <w:rtl/>
        </w:rPr>
        <w:t xml:space="preserve"> בשנים 2022 - 2028</w:t>
      </w:r>
    </w:p>
    <w:tbl>
      <w:tblPr>
        <w:tblStyle w:val="TableGrid"/>
        <w:bidiVisual/>
        <w:tblW w:w="4716" w:type="pct"/>
        <w:jc w:val="right"/>
        <w:tblBorders>
          <w:top w:val="none" w:sz="0" w:space="0" w:color="auto"/>
          <w:bottom w:val="none" w:sz="0" w:space="0" w:color="auto"/>
          <w:insideH w:val="none" w:sz="0" w:space="0" w:color="auto"/>
        </w:tblBorders>
        <w:shd w:val="clear" w:color="auto" w:fill="DFECEF"/>
        <w:tblLook w:val="04A0"/>
      </w:tblPr>
      <w:tblGrid>
        <w:gridCol w:w="1786"/>
        <w:gridCol w:w="737"/>
        <w:gridCol w:w="737"/>
        <w:gridCol w:w="737"/>
        <w:gridCol w:w="737"/>
        <w:gridCol w:w="736"/>
        <w:gridCol w:w="736"/>
        <w:gridCol w:w="736"/>
      </w:tblGrid>
      <w:tr w14:paraId="3C967A8B" w14:textId="77777777" w:rsidTr="0080333A">
        <w:tblPrEx>
          <w:tblW w:w="4716" w:type="pct"/>
          <w:jc w:val="right"/>
          <w:tblBorders>
            <w:top w:val="none" w:sz="0" w:space="0" w:color="auto"/>
            <w:bottom w:val="none" w:sz="0" w:space="0" w:color="auto"/>
            <w:insideH w:val="none" w:sz="0" w:space="0" w:color="auto"/>
          </w:tblBorders>
          <w:shd w:val="clear" w:color="auto" w:fill="DFECEF"/>
          <w:tblLook w:val="04A0"/>
        </w:tblPrEx>
        <w:trPr>
          <w:trHeight w:val="300"/>
          <w:jc w:val="right"/>
        </w:trPr>
        <w:tc>
          <w:tcPr>
            <w:tcW w:w="1286" w:type="pct"/>
            <w:shd w:val="clear" w:color="auto" w:fill="C8DCE4"/>
            <w:hideMark/>
          </w:tcPr>
          <w:p w:rsidR="0080333A" w:rsidRPr="00845C56" w:rsidP="00711A1D" w14:paraId="5E336043" w14:textId="77777777">
            <w:pPr>
              <w:pStyle w:val="73R"/>
              <w:rPr>
                <w:b/>
                <w:bCs/>
                <w:rtl/>
              </w:rPr>
            </w:pPr>
            <w:r w:rsidRPr="00845C56">
              <w:rPr>
                <w:b/>
                <w:bCs/>
              </w:rPr>
              <w:t> </w:t>
            </w:r>
          </w:p>
        </w:tc>
        <w:tc>
          <w:tcPr>
            <w:tcW w:w="531" w:type="pct"/>
            <w:shd w:val="clear" w:color="auto" w:fill="C8DCE4"/>
            <w:hideMark/>
          </w:tcPr>
          <w:p w:rsidR="0080333A" w:rsidRPr="00845C56" w:rsidP="00711A1D" w14:paraId="7400E1D9" w14:textId="77777777">
            <w:pPr>
              <w:pStyle w:val="73R"/>
              <w:rPr>
                <w:b/>
                <w:bCs/>
              </w:rPr>
            </w:pPr>
            <w:r w:rsidRPr="00845C56">
              <w:rPr>
                <w:b/>
                <w:bCs/>
              </w:rPr>
              <w:t>2022</w:t>
            </w:r>
          </w:p>
        </w:tc>
        <w:tc>
          <w:tcPr>
            <w:tcW w:w="531" w:type="pct"/>
            <w:shd w:val="clear" w:color="auto" w:fill="C8DCE4"/>
            <w:hideMark/>
          </w:tcPr>
          <w:p w:rsidR="0080333A" w:rsidRPr="00845C56" w:rsidP="00711A1D" w14:paraId="60E5372B" w14:textId="77777777">
            <w:pPr>
              <w:pStyle w:val="73R"/>
              <w:rPr>
                <w:b/>
                <w:bCs/>
              </w:rPr>
            </w:pPr>
            <w:r w:rsidRPr="00845C56">
              <w:rPr>
                <w:b/>
                <w:bCs/>
              </w:rPr>
              <w:t>2023</w:t>
            </w:r>
          </w:p>
        </w:tc>
        <w:tc>
          <w:tcPr>
            <w:tcW w:w="531" w:type="pct"/>
            <w:shd w:val="clear" w:color="auto" w:fill="C8DCE4"/>
            <w:hideMark/>
          </w:tcPr>
          <w:p w:rsidR="0080333A" w:rsidRPr="00845C56" w:rsidP="00711A1D" w14:paraId="548257D8" w14:textId="77777777">
            <w:pPr>
              <w:pStyle w:val="73R"/>
              <w:rPr>
                <w:b/>
                <w:bCs/>
              </w:rPr>
            </w:pPr>
            <w:r w:rsidRPr="00845C56">
              <w:rPr>
                <w:b/>
                <w:bCs/>
              </w:rPr>
              <w:t>2024</w:t>
            </w:r>
          </w:p>
        </w:tc>
        <w:tc>
          <w:tcPr>
            <w:tcW w:w="531" w:type="pct"/>
            <w:shd w:val="clear" w:color="auto" w:fill="C8DCE4"/>
            <w:hideMark/>
          </w:tcPr>
          <w:p w:rsidR="0080333A" w:rsidRPr="00845C56" w:rsidP="00711A1D" w14:paraId="2770D08A" w14:textId="77777777">
            <w:pPr>
              <w:pStyle w:val="73R"/>
              <w:rPr>
                <w:b/>
                <w:bCs/>
              </w:rPr>
            </w:pPr>
            <w:r w:rsidRPr="00845C56">
              <w:rPr>
                <w:b/>
                <w:bCs/>
              </w:rPr>
              <w:t>2025</w:t>
            </w:r>
          </w:p>
        </w:tc>
        <w:tc>
          <w:tcPr>
            <w:tcW w:w="530" w:type="pct"/>
            <w:shd w:val="clear" w:color="auto" w:fill="C8DCE4"/>
            <w:hideMark/>
          </w:tcPr>
          <w:p w:rsidR="0080333A" w:rsidRPr="00845C56" w:rsidP="00711A1D" w14:paraId="2DFCF428" w14:textId="77777777">
            <w:pPr>
              <w:pStyle w:val="73R"/>
              <w:rPr>
                <w:b/>
                <w:bCs/>
              </w:rPr>
            </w:pPr>
            <w:r w:rsidRPr="00845C56">
              <w:rPr>
                <w:b/>
                <w:bCs/>
              </w:rPr>
              <w:t>2026</w:t>
            </w:r>
          </w:p>
        </w:tc>
        <w:tc>
          <w:tcPr>
            <w:tcW w:w="530" w:type="pct"/>
            <w:shd w:val="clear" w:color="auto" w:fill="C8DCE4"/>
            <w:hideMark/>
          </w:tcPr>
          <w:p w:rsidR="0080333A" w:rsidRPr="00845C56" w:rsidP="00711A1D" w14:paraId="5C2F7AF2" w14:textId="77777777">
            <w:pPr>
              <w:pStyle w:val="73R"/>
              <w:rPr>
                <w:b/>
                <w:bCs/>
              </w:rPr>
            </w:pPr>
            <w:r w:rsidRPr="00845C56">
              <w:rPr>
                <w:b/>
                <w:bCs/>
              </w:rPr>
              <w:t>2027</w:t>
            </w:r>
          </w:p>
        </w:tc>
        <w:tc>
          <w:tcPr>
            <w:tcW w:w="530" w:type="pct"/>
            <w:shd w:val="clear" w:color="auto" w:fill="C8DCE4"/>
            <w:hideMark/>
          </w:tcPr>
          <w:p w:rsidR="0080333A" w:rsidRPr="00845C56" w:rsidP="00711A1D" w14:paraId="248C7CA5" w14:textId="77777777">
            <w:pPr>
              <w:pStyle w:val="73R"/>
              <w:rPr>
                <w:b/>
                <w:bCs/>
              </w:rPr>
            </w:pPr>
            <w:r w:rsidRPr="00845C56">
              <w:rPr>
                <w:b/>
                <w:bCs/>
              </w:rPr>
              <w:t>2028</w:t>
            </w:r>
          </w:p>
        </w:tc>
      </w:tr>
      <w:tr w14:paraId="53B57142" w14:textId="77777777" w:rsidTr="0080333A">
        <w:tblPrEx>
          <w:tblW w:w="4716" w:type="pct"/>
          <w:jc w:val="right"/>
          <w:shd w:val="clear" w:color="auto" w:fill="DFECEF"/>
          <w:tblLook w:val="04A0"/>
        </w:tblPrEx>
        <w:trPr>
          <w:trHeight w:val="430"/>
          <w:jc w:val="right"/>
        </w:trPr>
        <w:tc>
          <w:tcPr>
            <w:tcW w:w="1286" w:type="pct"/>
            <w:shd w:val="clear" w:color="auto" w:fill="DFECEF"/>
            <w:hideMark/>
          </w:tcPr>
          <w:p w:rsidR="0080333A" w:rsidRPr="00845C56" w:rsidP="00711A1D" w14:paraId="73E7ED9A" w14:textId="77777777">
            <w:pPr>
              <w:pStyle w:val="73R"/>
            </w:pPr>
            <w:r w:rsidRPr="00845C56">
              <w:rPr>
                <w:rtl/>
              </w:rPr>
              <w:t>חשמל (צרכן מייצג)</w:t>
            </w:r>
          </w:p>
        </w:tc>
        <w:tc>
          <w:tcPr>
            <w:tcW w:w="531" w:type="pct"/>
            <w:shd w:val="clear" w:color="auto" w:fill="DFECEF"/>
            <w:vAlign w:val="center"/>
            <w:hideMark/>
          </w:tcPr>
          <w:p w:rsidR="0080333A" w:rsidRPr="00845C56" w:rsidP="00711A1D" w14:paraId="2393153F" w14:textId="77777777">
            <w:pPr>
              <w:pStyle w:val="73R"/>
              <w:rPr>
                <w:rtl/>
              </w:rPr>
            </w:pPr>
            <w:r w:rsidRPr="00845C56">
              <w:t>0%</w:t>
            </w:r>
          </w:p>
        </w:tc>
        <w:tc>
          <w:tcPr>
            <w:tcW w:w="531" w:type="pct"/>
            <w:shd w:val="clear" w:color="auto" w:fill="DFECEF"/>
            <w:vAlign w:val="center"/>
            <w:hideMark/>
          </w:tcPr>
          <w:p w:rsidR="0080333A" w:rsidRPr="00845C56" w:rsidP="00711A1D" w14:paraId="5CA2E5BB" w14:textId="77777777">
            <w:pPr>
              <w:pStyle w:val="73R"/>
            </w:pPr>
            <w:r w:rsidRPr="00845C56">
              <w:t>0.7%</w:t>
            </w:r>
          </w:p>
        </w:tc>
        <w:tc>
          <w:tcPr>
            <w:tcW w:w="531" w:type="pct"/>
            <w:shd w:val="clear" w:color="auto" w:fill="DFECEF"/>
            <w:vAlign w:val="center"/>
            <w:hideMark/>
          </w:tcPr>
          <w:p w:rsidR="0080333A" w:rsidRPr="00845C56" w:rsidP="00711A1D" w14:paraId="70541A96" w14:textId="77777777">
            <w:pPr>
              <w:pStyle w:val="73R"/>
              <w:rPr>
                <w:rtl/>
              </w:rPr>
            </w:pPr>
            <w:r w:rsidRPr="00845C56">
              <w:t>1.5%</w:t>
            </w:r>
          </w:p>
        </w:tc>
        <w:tc>
          <w:tcPr>
            <w:tcW w:w="531" w:type="pct"/>
            <w:shd w:val="clear" w:color="auto" w:fill="DFECEF"/>
            <w:vAlign w:val="center"/>
            <w:hideMark/>
          </w:tcPr>
          <w:p w:rsidR="0080333A" w:rsidRPr="00845C56" w:rsidP="00711A1D" w14:paraId="658CDCA8" w14:textId="77777777">
            <w:pPr>
              <w:pStyle w:val="73R"/>
            </w:pPr>
            <w:r w:rsidRPr="00845C56">
              <w:t>1.9%</w:t>
            </w:r>
          </w:p>
        </w:tc>
        <w:tc>
          <w:tcPr>
            <w:tcW w:w="530" w:type="pct"/>
            <w:shd w:val="clear" w:color="auto" w:fill="DFECEF"/>
            <w:vAlign w:val="center"/>
            <w:hideMark/>
          </w:tcPr>
          <w:p w:rsidR="0080333A" w:rsidRPr="00845C56" w:rsidP="00711A1D" w14:paraId="67FA1616" w14:textId="77777777">
            <w:pPr>
              <w:pStyle w:val="73R"/>
            </w:pPr>
            <w:r w:rsidRPr="00845C56">
              <w:t>2.5%</w:t>
            </w:r>
          </w:p>
        </w:tc>
        <w:tc>
          <w:tcPr>
            <w:tcW w:w="530" w:type="pct"/>
            <w:shd w:val="clear" w:color="auto" w:fill="DFECEF"/>
            <w:vAlign w:val="center"/>
            <w:hideMark/>
          </w:tcPr>
          <w:p w:rsidR="0080333A" w:rsidRPr="00845C56" w:rsidP="00711A1D" w14:paraId="002E29E8" w14:textId="77777777">
            <w:pPr>
              <w:pStyle w:val="73R"/>
            </w:pPr>
            <w:r w:rsidRPr="00845C56">
              <w:t>3.6%</w:t>
            </w:r>
          </w:p>
        </w:tc>
        <w:tc>
          <w:tcPr>
            <w:tcW w:w="530" w:type="pct"/>
            <w:shd w:val="clear" w:color="auto" w:fill="DFECEF"/>
            <w:vAlign w:val="center"/>
            <w:hideMark/>
          </w:tcPr>
          <w:p w:rsidR="0080333A" w:rsidRPr="00845C56" w:rsidP="00711A1D" w14:paraId="060A4994" w14:textId="77777777">
            <w:pPr>
              <w:pStyle w:val="73R"/>
            </w:pPr>
            <w:r w:rsidRPr="00845C56">
              <w:t>5%</w:t>
            </w:r>
          </w:p>
        </w:tc>
      </w:tr>
      <w:tr w14:paraId="2FCD04BD" w14:textId="77777777" w:rsidTr="0080333A">
        <w:tblPrEx>
          <w:tblW w:w="4716" w:type="pct"/>
          <w:jc w:val="right"/>
          <w:shd w:val="clear" w:color="auto" w:fill="DFECEF"/>
          <w:tblLook w:val="04A0"/>
        </w:tblPrEx>
        <w:trPr>
          <w:trHeight w:val="410"/>
          <w:jc w:val="right"/>
        </w:trPr>
        <w:tc>
          <w:tcPr>
            <w:tcW w:w="1286" w:type="pct"/>
            <w:shd w:val="clear" w:color="auto" w:fill="F0F8F9"/>
            <w:hideMark/>
          </w:tcPr>
          <w:p w:rsidR="0080333A" w:rsidRPr="00845C56" w:rsidP="00711A1D" w14:paraId="72C6C58E" w14:textId="77777777">
            <w:pPr>
              <w:pStyle w:val="73R"/>
            </w:pPr>
            <w:r w:rsidRPr="00845C56">
              <w:rPr>
                <w:rtl/>
              </w:rPr>
              <w:t>חשמל (צרכן ביתי)</w:t>
            </w:r>
          </w:p>
        </w:tc>
        <w:tc>
          <w:tcPr>
            <w:tcW w:w="531" w:type="pct"/>
            <w:shd w:val="clear" w:color="auto" w:fill="F0F8F9"/>
            <w:vAlign w:val="center"/>
            <w:hideMark/>
          </w:tcPr>
          <w:p w:rsidR="0080333A" w:rsidRPr="00845C56" w:rsidP="00711A1D" w14:paraId="4E95C4B5" w14:textId="77777777">
            <w:pPr>
              <w:pStyle w:val="73R"/>
              <w:rPr>
                <w:rtl/>
              </w:rPr>
            </w:pPr>
            <w:r w:rsidRPr="00845C56">
              <w:t>0%</w:t>
            </w:r>
          </w:p>
        </w:tc>
        <w:tc>
          <w:tcPr>
            <w:tcW w:w="531" w:type="pct"/>
            <w:shd w:val="clear" w:color="auto" w:fill="F0F8F9"/>
            <w:vAlign w:val="center"/>
            <w:hideMark/>
          </w:tcPr>
          <w:p w:rsidR="0080333A" w:rsidRPr="00845C56" w:rsidP="00711A1D" w14:paraId="62A831CA" w14:textId="77777777">
            <w:pPr>
              <w:pStyle w:val="73R"/>
            </w:pPr>
            <w:r w:rsidRPr="00845C56">
              <w:t>0.8%</w:t>
            </w:r>
          </w:p>
        </w:tc>
        <w:tc>
          <w:tcPr>
            <w:tcW w:w="531" w:type="pct"/>
            <w:shd w:val="clear" w:color="auto" w:fill="F0F8F9"/>
            <w:vAlign w:val="center"/>
            <w:hideMark/>
          </w:tcPr>
          <w:p w:rsidR="0080333A" w:rsidRPr="00845C56" w:rsidP="00711A1D" w14:paraId="698AEAA5" w14:textId="77777777">
            <w:pPr>
              <w:pStyle w:val="73R"/>
            </w:pPr>
            <w:r w:rsidRPr="00845C56">
              <w:t>1.7%</w:t>
            </w:r>
          </w:p>
        </w:tc>
        <w:tc>
          <w:tcPr>
            <w:tcW w:w="531" w:type="pct"/>
            <w:shd w:val="clear" w:color="auto" w:fill="F0F8F9"/>
            <w:vAlign w:val="center"/>
            <w:hideMark/>
          </w:tcPr>
          <w:p w:rsidR="0080333A" w:rsidRPr="00845C56" w:rsidP="00711A1D" w14:paraId="1158BB19" w14:textId="77777777">
            <w:pPr>
              <w:pStyle w:val="73R"/>
            </w:pPr>
            <w:r w:rsidRPr="00845C56">
              <w:t>2.1%</w:t>
            </w:r>
          </w:p>
        </w:tc>
        <w:tc>
          <w:tcPr>
            <w:tcW w:w="530" w:type="pct"/>
            <w:shd w:val="clear" w:color="auto" w:fill="F0F8F9"/>
            <w:vAlign w:val="center"/>
            <w:hideMark/>
          </w:tcPr>
          <w:p w:rsidR="0080333A" w:rsidRPr="00845C56" w:rsidP="00711A1D" w14:paraId="140E6AED" w14:textId="77777777">
            <w:pPr>
              <w:pStyle w:val="73R"/>
            </w:pPr>
            <w:r w:rsidRPr="00845C56">
              <w:t>2.8%</w:t>
            </w:r>
          </w:p>
        </w:tc>
        <w:tc>
          <w:tcPr>
            <w:tcW w:w="530" w:type="pct"/>
            <w:shd w:val="clear" w:color="auto" w:fill="F0F8F9"/>
            <w:vAlign w:val="center"/>
            <w:hideMark/>
          </w:tcPr>
          <w:p w:rsidR="0080333A" w:rsidRPr="00845C56" w:rsidP="00711A1D" w14:paraId="0828CC76" w14:textId="77777777">
            <w:pPr>
              <w:pStyle w:val="73R"/>
            </w:pPr>
            <w:r w:rsidRPr="00845C56">
              <w:t>4.1%</w:t>
            </w:r>
          </w:p>
        </w:tc>
        <w:tc>
          <w:tcPr>
            <w:tcW w:w="530" w:type="pct"/>
            <w:shd w:val="clear" w:color="auto" w:fill="F0F8F9"/>
            <w:vAlign w:val="center"/>
            <w:hideMark/>
          </w:tcPr>
          <w:p w:rsidR="0080333A" w:rsidRPr="00845C56" w:rsidP="00711A1D" w14:paraId="20386D7D" w14:textId="77777777">
            <w:pPr>
              <w:pStyle w:val="73R"/>
            </w:pPr>
            <w:r w:rsidRPr="00845C56">
              <w:t>5.7%</w:t>
            </w:r>
          </w:p>
        </w:tc>
      </w:tr>
      <w:tr w14:paraId="3CA7F05D" w14:textId="77777777" w:rsidTr="0080333A">
        <w:tblPrEx>
          <w:tblW w:w="4716" w:type="pct"/>
          <w:jc w:val="right"/>
          <w:shd w:val="clear" w:color="auto" w:fill="DFECEF"/>
          <w:tblLook w:val="04A0"/>
        </w:tblPrEx>
        <w:trPr>
          <w:trHeight w:val="300"/>
          <w:jc w:val="right"/>
        </w:trPr>
        <w:tc>
          <w:tcPr>
            <w:tcW w:w="1286" w:type="pct"/>
            <w:shd w:val="clear" w:color="auto" w:fill="DFECEF"/>
            <w:hideMark/>
          </w:tcPr>
          <w:p w:rsidR="0080333A" w:rsidRPr="00845C56" w:rsidP="00711A1D" w14:paraId="673BA691" w14:textId="77777777">
            <w:pPr>
              <w:pStyle w:val="73R"/>
            </w:pPr>
            <w:r w:rsidRPr="00845C56">
              <w:rPr>
                <w:rtl/>
              </w:rPr>
              <w:t>גפ"מ</w:t>
            </w:r>
          </w:p>
        </w:tc>
        <w:tc>
          <w:tcPr>
            <w:tcW w:w="531" w:type="pct"/>
            <w:shd w:val="clear" w:color="auto" w:fill="DFECEF"/>
            <w:vAlign w:val="center"/>
            <w:hideMark/>
          </w:tcPr>
          <w:p w:rsidR="0080333A" w:rsidRPr="00845C56" w:rsidP="00711A1D" w14:paraId="7671F5B2" w14:textId="77777777">
            <w:pPr>
              <w:pStyle w:val="73R"/>
              <w:rPr>
                <w:rtl/>
              </w:rPr>
            </w:pPr>
            <w:r w:rsidRPr="00845C56">
              <w:t>0%</w:t>
            </w:r>
          </w:p>
        </w:tc>
        <w:tc>
          <w:tcPr>
            <w:tcW w:w="531" w:type="pct"/>
            <w:shd w:val="clear" w:color="auto" w:fill="DFECEF"/>
            <w:vAlign w:val="center"/>
            <w:hideMark/>
          </w:tcPr>
          <w:p w:rsidR="0080333A" w:rsidRPr="00845C56" w:rsidP="00711A1D" w14:paraId="0CEB9285" w14:textId="77777777">
            <w:pPr>
              <w:pStyle w:val="73R"/>
            </w:pPr>
            <w:r w:rsidRPr="00845C56">
              <w:t>2%</w:t>
            </w:r>
          </w:p>
        </w:tc>
        <w:tc>
          <w:tcPr>
            <w:tcW w:w="531" w:type="pct"/>
            <w:shd w:val="clear" w:color="auto" w:fill="DFECEF"/>
            <w:vAlign w:val="center"/>
            <w:hideMark/>
          </w:tcPr>
          <w:p w:rsidR="0080333A" w:rsidRPr="00845C56" w:rsidP="00711A1D" w14:paraId="4460BEAD" w14:textId="77777777">
            <w:pPr>
              <w:pStyle w:val="73R"/>
            </w:pPr>
            <w:r w:rsidRPr="00845C56">
              <w:t>4%</w:t>
            </w:r>
          </w:p>
        </w:tc>
        <w:tc>
          <w:tcPr>
            <w:tcW w:w="531" w:type="pct"/>
            <w:shd w:val="clear" w:color="auto" w:fill="DFECEF"/>
            <w:vAlign w:val="center"/>
            <w:hideMark/>
          </w:tcPr>
          <w:p w:rsidR="0080333A" w:rsidRPr="00845C56" w:rsidP="00711A1D" w14:paraId="4E7FBBD4" w14:textId="77777777">
            <w:pPr>
              <w:pStyle w:val="73R"/>
            </w:pPr>
            <w:r w:rsidRPr="00845C56">
              <w:t>7%</w:t>
            </w:r>
          </w:p>
        </w:tc>
        <w:tc>
          <w:tcPr>
            <w:tcW w:w="530" w:type="pct"/>
            <w:shd w:val="clear" w:color="auto" w:fill="DFECEF"/>
            <w:vAlign w:val="center"/>
            <w:hideMark/>
          </w:tcPr>
          <w:p w:rsidR="0080333A" w:rsidRPr="00845C56" w:rsidP="00711A1D" w14:paraId="15558AB6" w14:textId="77777777">
            <w:pPr>
              <w:pStyle w:val="73R"/>
            </w:pPr>
            <w:r w:rsidRPr="00845C56">
              <w:t>10%</w:t>
            </w:r>
          </w:p>
        </w:tc>
        <w:tc>
          <w:tcPr>
            <w:tcW w:w="530" w:type="pct"/>
            <w:shd w:val="clear" w:color="auto" w:fill="DFECEF"/>
            <w:vAlign w:val="center"/>
            <w:hideMark/>
          </w:tcPr>
          <w:p w:rsidR="0080333A" w:rsidRPr="00845C56" w:rsidP="00711A1D" w14:paraId="0DB721AA" w14:textId="77777777">
            <w:pPr>
              <w:pStyle w:val="73R"/>
            </w:pPr>
            <w:r w:rsidRPr="00845C56">
              <w:t>15%</w:t>
            </w:r>
          </w:p>
        </w:tc>
        <w:tc>
          <w:tcPr>
            <w:tcW w:w="530" w:type="pct"/>
            <w:shd w:val="clear" w:color="auto" w:fill="DFECEF"/>
            <w:vAlign w:val="center"/>
            <w:hideMark/>
          </w:tcPr>
          <w:p w:rsidR="0080333A" w:rsidRPr="00845C56" w:rsidP="00711A1D" w14:paraId="45933D6A" w14:textId="77777777">
            <w:pPr>
              <w:pStyle w:val="73R"/>
            </w:pPr>
            <w:r w:rsidRPr="00845C56">
              <w:t>21%</w:t>
            </w:r>
          </w:p>
        </w:tc>
      </w:tr>
      <w:tr w14:paraId="420F9305" w14:textId="77777777" w:rsidTr="0080333A">
        <w:tblPrEx>
          <w:tblW w:w="4716" w:type="pct"/>
          <w:jc w:val="right"/>
          <w:shd w:val="clear" w:color="auto" w:fill="DFECEF"/>
          <w:tblLook w:val="04A0"/>
        </w:tblPrEx>
        <w:trPr>
          <w:trHeight w:val="300"/>
          <w:jc w:val="right"/>
        </w:trPr>
        <w:tc>
          <w:tcPr>
            <w:tcW w:w="1286" w:type="pct"/>
            <w:shd w:val="clear" w:color="auto" w:fill="F0F8F9"/>
            <w:hideMark/>
          </w:tcPr>
          <w:p w:rsidR="0080333A" w:rsidRPr="00845C56" w:rsidP="00711A1D" w14:paraId="11BCE5FF" w14:textId="77777777">
            <w:pPr>
              <w:pStyle w:val="73R"/>
            </w:pPr>
            <w:r w:rsidRPr="00845C56">
              <w:rPr>
                <w:rtl/>
              </w:rPr>
              <w:t>מים*</w:t>
            </w:r>
          </w:p>
        </w:tc>
        <w:tc>
          <w:tcPr>
            <w:tcW w:w="531" w:type="pct"/>
            <w:shd w:val="clear" w:color="auto" w:fill="F0F8F9"/>
            <w:vAlign w:val="center"/>
            <w:hideMark/>
          </w:tcPr>
          <w:p w:rsidR="0080333A" w:rsidRPr="00845C56" w:rsidP="00711A1D" w14:paraId="16D022AF" w14:textId="77777777">
            <w:pPr>
              <w:pStyle w:val="73R"/>
              <w:rPr>
                <w:rtl/>
              </w:rPr>
            </w:pPr>
            <w:r w:rsidRPr="00845C56">
              <w:t>0%</w:t>
            </w:r>
          </w:p>
        </w:tc>
        <w:tc>
          <w:tcPr>
            <w:tcW w:w="531" w:type="pct"/>
            <w:shd w:val="clear" w:color="auto" w:fill="F0F8F9"/>
            <w:vAlign w:val="center"/>
            <w:hideMark/>
          </w:tcPr>
          <w:p w:rsidR="0080333A" w:rsidRPr="00845C56" w:rsidP="00711A1D" w14:paraId="49CF4C25" w14:textId="77777777">
            <w:pPr>
              <w:pStyle w:val="73R"/>
            </w:pPr>
            <w:r w:rsidRPr="00845C56">
              <w:t>0.1%</w:t>
            </w:r>
          </w:p>
        </w:tc>
        <w:tc>
          <w:tcPr>
            <w:tcW w:w="531" w:type="pct"/>
            <w:shd w:val="clear" w:color="auto" w:fill="F0F8F9"/>
            <w:vAlign w:val="center"/>
            <w:hideMark/>
          </w:tcPr>
          <w:p w:rsidR="0080333A" w:rsidRPr="00845C56" w:rsidP="00711A1D" w14:paraId="30A9069A" w14:textId="77777777">
            <w:pPr>
              <w:pStyle w:val="73R"/>
            </w:pPr>
            <w:r w:rsidRPr="00845C56">
              <w:t>0.3%</w:t>
            </w:r>
          </w:p>
        </w:tc>
        <w:tc>
          <w:tcPr>
            <w:tcW w:w="531" w:type="pct"/>
            <w:shd w:val="clear" w:color="auto" w:fill="F0F8F9"/>
            <w:vAlign w:val="center"/>
            <w:hideMark/>
          </w:tcPr>
          <w:p w:rsidR="0080333A" w:rsidRPr="00845C56" w:rsidP="00711A1D" w14:paraId="5F6F0FA5" w14:textId="77777777">
            <w:pPr>
              <w:pStyle w:val="73R"/>
            </w:pPr>
            <w:r w:rsidRPr="00845C56">
              <w:t>0.4%</w:t>
            </w:r>
          </w:p>
        </w:tc>
        <w:tc>
          <w:tcPr>
            <w:tcW w:w="530" w:type="pct"/>
            <w:shd w:val="clear" w:color="auto" w:fill="F0F8F9"/>
            <w:vAlign w:val="center"/>
            <w:hideMark/>
          </w:tcPr>
          <w:p w:rsidR="0080333A" w:rsidRPr="00845C56" w:rsidP="00711A1D" w14:paraId="42B814A4" w14:textId="77777777">
            <w:pPr>
              <w:pStyle w:val="73R"/>
            </w:pPr>
            <w:r w:rsidRPr="00845C56">
              <w:t>0.5%</w:t>
            </w:r>
          </w:p>
        </w:tc>
        <w:tc>
          <w:tcPr>
            <w:tcW w:w="530" w:type="pct"/>
            <w:shd w:val="clear" w:color="auto" w:fill="F0F8F9"/>
            <w:vAlign w:val="center"/>
            <w:hideMark/>
          </w:tcPr>
          <w:p w:rsidR="0080333A" w:rsidRPr="00845C56" w:rsidP="00711A1D" w14:paraId="2AFCC068" w14:textId="77777777">
            <w:pPr>
              <w:pStyle w:val="73R"/>
            </w:pPr>
            <w:r w:rsidRPr="00845C56">
              <w:t>0.7%</w:t>
            </w:r>
          </w:p>
        </w:tc>
        <w:tc>
          <w:tcPr>
            <w:tcW w:w="530" w:type="pct"/>
            <w:shd w:val="clear" w:color="auto" w:fill="F0F8F9"/>
            <w:vAlign w:val="center"/>
            <w:hideMark/>
          </w:tcPr>
          <w:p w:rsidR="0080333A" w:rsidRPr="00845C56" w:rsidP="00711A1D" w14:paraId="3D6E0DAE" w14:textId="77777777">
            <w:pPr>
              <w:pStyle w:val="73R"/>
              <w:rPr>
                <w:rtl/>
              </w:rPr>
            </w:pPr>
            <w:r w:rsidRPr="00845C56">
              <w:t>1%</w:t>
            </w:r>
          </w:p>
        </w:tc>
      </w:tr>
    </w:tbl>
    <w:p w:rsidR="00F20E3F" w:rsidRPr="002F2907" w:rsidP="0080333A" w14:paraId="30BEB2C7" w14:textId="77777777">
      <w:pPr>
        <w:pStyle w:val="737"/>
        <w:spacing w:after="0"/>
        <w:ind w:left="397"/>
        <w:rPr>
          <w:rtl/>
        </w:rPr>
      </w:pPr>
      <w:r w:rsidRPr="002F2907">
        <w:rPr>
          <w:rFonts w:hint="cs"/>
          <w:rtl/>
        </w:rPr>
        <w:t xml:space="preserve">המקור: </w:t>
      </w:r>
      <w:r w:rsidRPr="002F2907">
        <w:rPr>
          <w:rtl/>
        </w:rPr>
        <w:t>נתוני משרד האוצר</w:t>
      </w:r>
      <w:r w:rsidRPr="002F2907">
        <w:rPr>
          <w:rFonts w:hint="cs"/>
          <w:rtl/>
        </w:rPr>
        <w:t>, אגף הכלכלנית הראשית.</w:t>
      </w:r>
    </w:p>
    <w:p w:rsidR="00F20E3F" w:rsidRPr="002F2907" w:rsidP="0080333A" w14:paraId="1EDD5576" w14:textId="4DC623EC">
      <w:pPr>
        <w:pStyle w:val="737"/>
        <w:spacing w:before="0"/>
        <w:ind w:left="707" w:hanging="310"/>
        <w:rPr>
          <w:rtl/>
        </w:rPr>
      </w:pPr>
      <w:r w:rsidRPr="002F2907">
        <w:rPr>
          <w:rFonts w:hint="cs"/>
          <w:rtl/>
        </w:rPr>
        <w:t>*</w:t>
      </w:r>
      <w:r w:rsidRPr="00375215">
        <w:rPr>
          <w:rtl/>
        </w:rPr>
        <w:t xml:space="preserve"> </w:t>
      </w:r>
      <w:r w:rsidR="0080333A">
        <w:tab/>
      </w:r>
      <w:r w:rsidRPr="002F2907">
        <w:rPr>
          <w:rtl/>
        </w:rPr>
        <w:t>תעריף החשמל מהווה כ</w:t>
      </w:r>
      <w:r w:rsidRPr="002F2907">
        <w:rPr>
          <w:rFonts w:hint="cs"/>
          <w:rtl/>
        </w:rPr>
        <w:t>-</w:t>
      </w:r>
      <w:r w:rsidRPr="002F2907">
        <w:rPr>
          <w:rtl/>
        </w:rPr>
        <w:t>20% ממחיר המים</w:t>
      </w:r>
      <w:r w:rsidRPr="002F2907">
        <w:rPr>
          <w:rFonts w:hint="cs"/>
          <w:rtl/>
        </w:rPr>
        <w:t>.</w:t>
      </w:r>
    </w:p>
    <w:p w:rsidR="001B31B5" w14:paraId="08E2E2E8" w14:textId="77777777">
      <w:pPr>
        <w:bidi w:val="0"/>
        <w:spacing w:after="200" w:line="276" w:lineRule="auto"/>
        <w:rPr>
          <w:rFonts w:ascii="Tahoma" w:hAnsi="Tahoma" w:eastAsiaTheme="minorEastAsia" w:cs="Tahoma"/>
          <w:color w:val="0D0D0D" w:themeColor="text1" w:themeTint="F2"/>
          <w:szCs w:val="20"/>
          <w:rtl/>
        </w:rPr>
      </w:pPr>
      <w:r>
        <w:rPr>
          <w:b/>
          <w:bCs/>
          <w:rtl/>
        </w:rPr>
        <w:br w:type="page"/>
      </w:r>
    </w:p>
    <w:p w:rsidR="00F20E3F" w:rsidP="002F2907" w14:paraId="2C246031" w14:textId="73F13DF5">
      <w:pPr>
        <w:pStyle w:val="733"/>
      </w:pPr>
      <w:r w:rsidRPr="00703BF5">
        <w:rPr>
          <w:rFonts w:hint="eastAsia"/>
          <w:b w:val="0"/>
          <w:bCs w:val="0"/>
          <w:rtl/>
        </w:rPr>
        <w:t>לוח</w:t>
      </w:r>
      <w:r w:rsidRPr="00703BF5">
        <w:rPr>
          <w:rFonts w:hint="cs"/>
          <w:b w:val="0"/>
          <w:bCs w:val="0"/>
          <w:rtl/>
        </w:rPr>
        <w:t xml:space="preserve"> 18</w:t>
      </w:r>
      <w:r w:rsidRPr="00703BF5">
        <w:rPr>
          <w:b w:val="0"/>
          <w:bCs w:val="0"/>
          <w:rtl/>
        </w:rPr>
        <w:t>:</w:t>
      </w:r>
      <w:r w:rsidRPr="00D82779">
        <w:rPr>
          <w:rFonts w:hint="cs"/>
          <w:rtl/>
        </w:rPr>
        <w:t xml:space="preserve"> </w:t>
      </w:r>
      <w:r w:rsidRPr="00D82779">
        <w:rPr>
          <w:rtl/>
        </w:rPr>
        <w:t>עליית</w:t>
      </w:r>
      <w:r w:rsidRPr="00423B43">
        <w:rPr>
          <w:rtl/>
        </w:rPr>
        <w:t xml:space="preserve"> </w:t>
      </w:r>
      <w:r>
        <w:rPr>
          <w:rFonts w:hint="cs"/>
          <w:rtl/>
        </w:rPr>
        <w:t>ה</w:t>
      </w:r>
      <w:r w:rsidRPr="00423B43">
        <w:rPr>
          <w:rtl/>
        </w:rPr>
        <w:t xml:space="preserve">מחירים </w:t>
      </w:r>
      <w:r>
        <w:rPr>
          <w:rFonts w:hint="cs"/>
          <w:rtl/>
        </w:rPr>
        <w:t>עקב</w:t>
      </w:r>
      <w:r w:rsidRPr="00423B43">
        <w:rPr>
          <w:rtl/>
        </w:rPr>
        <w:t xml:space="preserve"> מס הפחמן בשנת 2030</w:t>
      </w:r>
      <w:r>
        <w:rPr>
          <w:rFonts w:hint="cs"/>
          <w:rtl/>
        </w:rPr>
        <w:t xml:space="preserve"> (בש"ח לחודש) </w:t>
      </w:r>
    </w:p>
    <w:tbl>
      <w:tblPr>
        <w:bidiVisual/>
        <w:tblW w:w="4709" w:type="pct"/>
        <w:jc w:val="right"/>
        <w:tblBorders>
          <w:left w:val="single" w:sz="4" w:space="0" w:color="auto"/>
          <w:right w:val="single" w:sz="4" w:space="0" w:color="auto"/>
          <w:insideV w:val="single" w:sz="4" w:space="0" w:color="auto"/>
        </w:tblBorders>
        <w:tblLook w:val="04A0"/>
      </w:tblPr>
      <w:tblGrid>
        <w:gridCol w:w="976"/>
        <w:gridCol w:w="702"/>
        <w:gridCol w:w="743"/>
        <w:gridCol w:w="437"/>
        <w:gridCol w:w="451"/>
        <w:gridCol w:w="451"/>
        <w:gridCol w:w="451"/>
        <w:gridCol w:w="451"/>
        <w:gridCol w:w="451"/>
        <w:gridCol w:w="454"/>
        <w:gridCol w:w="454"/>
        <w:gridCol w:w="454"/>
        <w:gridCol w:w="461"/>
      </w:tblGrid>
      <w:tr w14:paraId="4C15FA2A" w14:textId="77777777" w:rsidTr="00981F98">
        <w:tblPrEx>
          <w:tblW w:w="4709" w:type="pct"/>
          <w:jc w:val="right"/>
          <w:tblBorders>
            <w:left w:val="single" w:sz="4" w:space="0" w:color="auto"/>
            <w:right w:val="single" w:sz="4" w:space="0" w:color="auto"/>
            <w:insideV w:val="single" w:sz="4" w:space="0" w:color="auto"/>
          </w:tblBorders>
          <w:tblLook w:val="04A0"/>
        </w:tblPrEx>
        <w:trPr>
          <w:trHeight w:val="267"/>
          <w:jc w:val="right"/>
        </w:trPr>
        <w:tc>
          <w:tcPr>
            <w:tcW w:w="704" w:type="pct"/>
            <w:tcBorders>
              <w:left w:val="nil"/>
              <w:right w:val="nil"/>
            </w:tcBorders>
            <w:shd w:val="clear" w:color="auto" w:fill="auto"/>
            <w:noWrap/>
          </w:tcPr>
          <w:p w:rsidR="00981F98" w:rsidRPr="009854DC" w:rsidP="00711A1D" w14:paraId="17D3F948" w14:textId="77777777">
            <w:pPr>
              <w:pStyle w:val="73R"/>
              <w:bidi w:val="0"/>
              <w:jc w:val="right"/>
              <w:rPr>
                <w:rFonts w:eastAsia="Times New Roman"/>
              </w:rPr>
            </w:pPr>
          </w:p>
        </w:tc>
        <w:tc>
          <w:tcPr>
            <w:tcW w:w="506" w:type="pct"/>
            <w:tcBorders>
              <w:left w:val="nil"/>
              <w:bottom w:val="nil"/>
              <w:right w:val="nil"/>
            </w:tcBorders>
            <w:shd w:val="clear" w:color="000000" w:fill="FFFFFF"/>
            <w:noWrap/>
          </w:tcPr>
          <w:p w:rsidR="00981F98" w:rsidRPr="009854DC" w:rsidP="00711A1D" w14:paraId="3A0EED3D" w14:textId="77777777">
            <w:pPr>
              <w:pStyle w:val="73R"/>
              <w:jc w:val="right"/>
              <w:rPr>
                <w:rFonts w:eastAsia="Times New Roman"/>
                <w:b/>
                <w:bCs/>
              </w:rPr>
            </w:pPr>
          </w:p>
        </w:tc>
        <w:tc>
          <w:tcPr>
            <w:tcW w:w="536" w:type="pct"/>
            <w:tcBorders>
              <w:left w:val="nil"/>
            </w:tcBorders>
            <w:shd w:val="clear" w:color="000000" w:fill="FFFFFF"/>
            <w:noWrap/>
          </w:tcPr>
          <w:p w:rsidR="00981F98" w:rsidRPr="009854DC" w:rsidP="00711A1D" w14:paraId="69B00BD5" w14:textId="77777777">
            <w:pPr>
              <w:pStyle w:val="73R"/>
              <w:jc w:val="right"/>
              <w:rPr>
                <w:rFonts w:eastAsia="Times New Roman"/>
                <w:b/>
                <w:bCs/>
                <w:rtl/>
              </w:rPr>
            </w:pPr>
          </w:p>
        </w:tc>
        <w:tc>
          <w:tcPr>
            <w:tcW w:w="3254" w:type="pct"/>
            <w:gridSpan w:val="10"/>
            <w:shd w:val="clear" w:color="auto" w:fill="BDCFD8"/>
            <w:noWrap/>
          </w:tcPr>
          <w:p w:rsidR="00981F98" w:rsidRPr="009854DC" w:rsidP="00711A1D" w14:paraId="21C2DFF2" w14:textId="77777777">
            <w:pPr>
              <w:pStyle w:val="73R"/>
              <w:bidi w:val="0"/>
              <w:jc w:val="right"/>
              <w:rPr>
                <w:rFonts w:eastAsia="Times New Roman"/>
                <w:b/>
                <w:bCs/>
              </w:rPr>
            </w:pPr>
            <w:r>
              <w:rPr>
                <w:rFonts w:eastAsia="Times New Roman" w:hint="cs"/>
                <w:b/>
                <w:bCs/>
                <w:rtl/>
              </w:rPr>
              <w:t>עשירון</w:t>
            </w:r>
          </w:p>
        </w:tc>
      </w:tr>
      <w:tr w14:paraId="417A5D98" w14:textId="77777777" w:rsidTr="00981F98">
        <w:tblPrEx>
          <w:tblW w:w="4709" w:type="pct"/>
          <w:jc w:val="right"/>
          <w:tblLook w:val="04A0"/>
        </w:tblPrEx>
        <w:trPr>
          <w:trHeight w:val="88"/>
          <w:jc w:val="right"/>
        </w:trPr>
        <w:tc>
          <w:tcPr>
            <w:tcW w:w="704" w:type="pct"/>
            <w:tcBorders>
              <w:left w:val="nil"/>
              <w:right w:val="nil"/>
            </w:tcBorders>
            <w:shd w:val="clear" w:color="auto" w:fill="auto"/>
            <w:noWrap/>
          </w:tcPr>
          <w:p w:rsidR="00981F98" w:rsidRPr="009854DC" w:rsidP="00711A1D" w14:paraId="022B0064" w14:textId="77777777">
            <w:pPr>
              <w:pStyle w:val="73R"/>
              <w:bidi w:val="0"/>
              <w:jc w:val="right"/>
              <w:rPr>
                <w:rFonts w:eastAsia="Times New Roman"/>
              </w:rPr>
            </w:pPr>
          </w:p>
        </w:tc>
        <w:tc>
          <w:tcPr>
            <w:tcW w:w="506" w:type="pct"/>
            <w:tcBorders>
              <w:left w:val="nil"/>
              <w:right w:val="single" w:sz="4" w:space="0" w:color="000000" w:themeColor="text1"/>
            </w:tcBorders>
            <w:shd w:val="clear" w:color="000000" w:fill="FFFFFF"/>
            <w:noWrap/>
          </w:tcPr>
          <w:p w:rsidR="00981F98" w:rsidRPr="009854DC" w:rsidP="00711A1D" w14:paraId="46BABBB8" w14:textId="77777777">
            <w:pPr>
              <w:pStyle w:val="73R"/>
              <w:jc w:val="right"/>
              <w:rPr>
                <w:rFonts w:eastAsia="Times New Roman"/>
                <w:b/>
                <w:bCs/>
                <w:rtl/>
              </w:rPr>
            </w:pPr>
          </w:p>
        </w:tc>
        <w:tc>
          <w:tcPr>
            <w:tcW w:w="536" w:type="pct"/>
            <w:tcBorders>
              <w:left w:val="single" w:sz="4" w:space="0" w:color="000000" w:themeColor="text1"/>
            </w:tcBorders>
            <w:shd w:val="clear" w:color="auto" w:fill="C8DCE4"/>
            <w:noWrap/>
          </w:tcPr>
          <w:p w:rsidR="00981F98" w:rsidRPr="00375215" w:rsidP="00711A1D" w14:paraId="04C04EF4" w14:textId="77777777">
            <w:pPr>
              <w:pStyle w:val="73R"/>
              <w:jc w:val="right"/>
              <w:rPr>
                <w:b/>
                <w:bCs/>
                <w:rtl/>
              </w:rPr>
            </w:pPr>
            <w:r w:rsidRPr="00375215">
              <w:rPr>
                <w:rFonts w:hint="cs"/>
                <w:b/>
                <w:bCs/>
                <w:rtl/>
              </w:rPr>
              <w:t>ממוצע</w:t>
            </w:r>
          </w:p>
        </w:tc>
        <w:tc>
          <w:tcPr>
            <w:tcW w:w="316" w:type="pct"/>
            <w:shd w:val="clear" w:color="auto" w:fill="C8DCE4"/>
            <w:noWrap/>
          </w:tcPr>
          <w:p w:rsidR="00981F98" w:rsidRPr="00375215" w:rsidP="00711A1D" w14:paraId="60A1873C" w14:textId="77777777">
            <w:pPr>
              <w:pStyle w:val="73R"/>
              <w:bidi w:val="0"/>
              <w:jc w:val="right"/>
              <w:rPr>
                <w:b/>
                <w:bCs/>
              </w:rPr>
            </w:pPr>
            <w:r w:rsidRPr="00375215">
              <w:rPr>
                <w:rFonts w:hint="cs"/>
                <w:b/>
                <w:bCs/>
              </w:rPr>
              <w:t>1</w:t>
            </w:r>
          </w:p>
        </w:tc>
        <w:tc>
          <w:tcPr>
            <w:tcW w:w="325" w:type="pct"/>
            <w:shd w:val="clear" w:color="auto" w:fill="C8DCE4"/>
            <w:noWrap/>
          </w:tcPr>
          <w:p w:rsidR="00981F98" w:rsidRPr="00375215" w:rsidP="00711A1D" w14:paraId="2FCDE329" w14:textId="77777777">
            <w:pPr>
              <w:pStyle w:val="73R"/>
              <w:bidi w:val="0"/>
              <w:jc w:val="right"/>
              <w:rPr>
                <w:b/>
                <w:bCs/>
              </w:rPr>
            </w:pPr>
            <w:r w:rsidRPr="00375215">
              <w:rPr>
                <w:rFonts w:hint="cs"/>
                <w:b/>
                <w:bCs/>
              </w:rPr>
              <w:t>2</w:t>
            </w:r>
          </w:p>
        </w:tc>
        <w:tc>
          <w:tcPr>
            <w:tcW w:w="325" w:type="pct"/>
            <w:shd w:val="clear" w:color="auto" w:fill="C8DCE4"/>
            <w:noWrap/>
          </w:tcPr>
          <w:p w:rsidR="00981F98" w:rsidRPr="00375215" w:rsidP="00711A1D" w14:paraId="089077FC" w14:textId="77777777">
            <w:pPr>
              <w:pStyle w:val="73R"/>
              <w:bidi w:val="0"/>
              <w:jc w:val="right"/>
              <w:rPr>
                <w:b/>
                <w:bCs/>
              </w:rPr>
            </w:pPr>
            <w:r w:rsidRPr="00375215">
              <w:rPr>
                <w:rFonts w:hint="cs"/>
                <w:b/>
                <w:bCs/>
              </w:rPr>
              <w:t>3</w:t>
            </w:r>
          </w:p>
        </w:tc>
        <w:tc>
          <w:tcPr>
            <w:tcW w:w="325" w:type="pct"/>
            <w:shd w:val="clear" w:color="auto" w:fill="C8DCE4"/>
            <w:noWrap/>
          </w:tcPr>
          <w:p w:rsidR="00981F98" w:rsidRPr="00375215" w:rsidP="00711A1D" w14:paraId="2957BB17" w14:textId="77777777">
            <w:pPr>
              <w:pStyle w:val="73R"/>
              <w:bidi w:val="0"/>
              <w:jc w:val="right"/>
              <w:rPr>
                <w:b/>
                <w:bCs/>
              </w:rPr>
            </w:pPr>
            <w:r w:rsidRPr="00375215">
              <w:rPr>
                <w:rFonts w:hint="cs"/>
                <w:b/>
                <w:bCs/>
              </w:rPr>
              <w:t>4</w:t>
            </w:r>
          </w:p>
        </w:tc>
        <w:tc>
          <w:tcPr>
            <w:tcW w:w="325" w:type="pct"/>
            <w:shd w:val="clear" w:color="auto" w:fill="C8DCE4"/>
            <w:noWrap/>
          </w:tcPr>
          <w:p w:rsidR="00981F98" w:rsidRPr="00375215" w:rsidP="00711A1D" w14:paraId="25B13234" w14:textId="77777777">
            <w:pPr>
              <w:pStyle w:val="73R"/>
              <w:bidi w:val="0"/>
              <w:jc w:val="right"/>
              <w:rPr>
                <w:b/>
                <w:bCs/>
              </w:rPr>
            </w:pPr>
            <w:r w:rsidRPr="00375215">
              <w:rPr>
                <w:rFonts w:hint="cs"/>
                <w:b/>
                <w:bCs/>
              </w:rPr>
              <w:t>5</w:t>
            </w:r>
          </w:p>
        </w:tc>
        <w:tc>
          <w:tcPr>
            <w:tcW w:w="325" w:type="pct"/>
            <w:shd w:val="clear" w:color="auto" w:fill="C8DCE4"/>
            <w:noWrap/>
          </w:tcPr>
          <w:p w:rsidR="00981F98" w:rsidRPr="00375215" w:rsidP="00711A1D" w14:paraId="19DFCE5C" w14:textId="77777777">
            <w:pPr>
              <w:pStyle w:val="73R"/>
              <w:bidi w:val="0"/>
              <w:jc w:val="right"/>
              <w:rPr>
                <w:b/>
                <w:bCs/>
              </w:rPr>
            </w:pPr>
            <w:r w:rsidRPr="00375215">
              <w:rPr>
                <w:rFonts w:hint="cs"/>
                <w:b/>
                <w:bCs/>
              </w:rPr>
              <w:t>6</w:t>
            </w:r>
          </w:p>
        </w:tc>
        <w:tc>
          <w:tcPr>
            <w:tcW w:w="327" w:type="pct"/>
            <w:shd w:val="clear" w:color="auto" w:fill="C8DCE4"/>
            <w:noWrap/>
          </w:tcPr>
          <w:p w:rsidR="00981F98" w:rsidRPr="00375215" w:rsidP="00711A1D" w14:paraId="39FC4E41" w14:textId="77777777">
            <w:pPr>
              <w:pStyle w:val="73R"/>
              <w:bidi w:val="0"/>
              <w:jc w:val="right"/>
              <w:rPr>
                <w:b/>
                <w:bCs/>
              </w:rPr>
            </w:pPr>
            <w:r w:rsidRPr="00375215">
              <w:rPr>
                <w:rFonts w:hint="cs"/>
                <w:b/>
                <w:bCs/>
              </w:rPr>
              <w:t>7</w:t>
            </w:r>
          </w:p>
        </w:tc>
        <w:tc>
          <w:tcPr>
            <w:tcW w:w="327" w:type="pct"/>
            <w:shd w:val="clear" w:color="auto" w:fill="C8DCE4"/>
            <w:noWrap/>
          </w:tcPr>
          <w:p w:rsidR="00981F98" w:rsidRPr="00375215" w:rsidP="00711A1D" w14:paraId="1F52DB3F" w14:textId="77777777">
            <w:pPr>
              <w:pStyle w:val="73R"/>
              <w:bidi w:val="0"/>
              <w:jc w:val="right"/>
              <w:rPr>
                <w:b/>
                <w:bCs/>
              </w:rPr>
            </w:pPr>
            <w:r w:rsidRPr="00375215">
              <w:rPr>
                <w:rFonts w:hint="cs"/>
                <w:b/>
                <w:bCs/>
              </w:rPr>
              <w:t>8</w:t>
            </w:r>
          </w:p>
        </w:tc>
        <w:tc>
          <w:tcPr>
            <w:tcW w:w="327" w:type="pct"/>
            <w:shd w:val="clear" w:color="auto" w:fill="C8DCE4"/>
            <w:noWrap/>
          </w:tcPr>
          <w:p w:rsidR="00981F98" w:rsidRPr="00375215" w:rsidP="00711A1D" w14:paraId="48B1CC3D" w14:textId="77777777">
            <w:pPr>
              <w:pStyle w:val="73R"/>
              <w:bidi w:val="0"/>
              <w:jc w:val="right"/>
              <w:rPr>
                <w:b/>
                <w:bCs/>
              </w:rPr>
            </w:pPr>
            <w:r w:rsidRPr="00375215">
              <w:rPr>
                <w:rFonts w:hint="cs"/>
                <w:b/>
                <w:bCs/>
              </w:rPr>
              <w:t>9</w:t>
            </w:r>
          </w:p>
        </w:tc>
        <w:tc>
          <w:tcPr>
            <w:tcW w:w="333" w:type="pct"/>
            <w:shd w:val="clear" w:color="auto" w:fill="C8DCE4"/>
            <w:noWrap/>
          </w:tcPr>
          <w:p w:rsidR="00981F98" w:rsidRPr="00375215" w:rsidP="00711A1D" w14:paraId="67F51D85" w14:textId="77777777">
            <w:pPr>
              <w:pStyle w:val="73R"/>
              <w:bidi w:val="0"/>
              <w:jc w:val="right"/>
              <w:rPr>
                <w:b/>
                <w:bCs/>
              </w:rPr>
            </w:pPr>
            <w:r w:rsidRPr="00375215">
              <w:rPr>
                <w:rFonts w:hint="cs"/>
                <w:b/>
                <w:bCs/>
              </w:rPr>
              <w:t>10</w:t>
            </w:r>
          </w:p>
        </w:tc>
      </w:tr>
      <w:tr w14:paraId="0FAAB294" w14:textId="77777777" w:rsidTr="00981F98">
        <w:tblPrEx>
          <w:tblW w:w="4709" w:type="pct"/>
          <w:jc w:val="right"/>
          <w:tblLook w:val="04A0"/>
        </w:tblPrEx>
        <w:trPr>
          <w:trHeight w:val="279"/>
          <w:jc w:val="right"/>
        </w:trPr>
        <w:tc>
          <w:tcPr>
            <w:tcW w:w="704" w:type="pct"/>
            <w:vMerge w:val="restart"/>
            <w:shd w:val="clear" w:color="auto" w:fill="DFECEF"/>
            <w:hideMark/>
          </w:tcPr>
          <w:p w:rsidR="00981F98" w:rsidRPr="009854DC" w:rsidP="00711A1D" w14:paraId="0E6567BD" w14:textId="77777777">
            <w:pPr>
              <w:pStyle w:val="73R"/>
              <w:rPr>
                <w:rFonts w:eastAsia="Times New Roman"/>
                <w:b/>
                <w:bCs/>
              </w:rPr>
            </w:pPr>
            <w:r w:rsidRPr="009854DC">
              <w:rPr>
                <w:rFonts w:eastAsia="Times New Roman" w:hint="cs"/>
                <w:b/>
                <w:bCs/>
                <w:rtl/>
              </w:rPr>
              <w:t>עליית מחירים</w:t>
            </w:r>
          </w:p>
        </w:tc>
        <w:tc>
          <w:tcPr>
            <w:tcW w:w="506" w:type="pct"/>
            <w:shd w:val="clear" w:color="auto" w:fill="DFECEF"/>
            <w:noWrap/>
            <w:hideMark/>
          </w:tcPr>
          <w:p w:rsidR="00981F98" w:rsidRPr="009854DC" w:rsidP="00711A1D" w14:paraId="63497721" w14:textId="77777777">
            <w:pPr>
              <w:pStyle w:val="73R"/>
              <w:rPr>
                <w:rFonts w:eastAsia="Times New Roman"/>
                <w:b/>
                <w:bCs/>
                <w:rtl/>
              </w:rPr>
            </w:pPr>
            <w:r w:rsidRPr="009854DC">
              <w:rPr>
                <w:rFonts w:eastAsia="Times New Roman" w:hint="cs"/>
                <w:b/>
                <w:bCs/>
                <w:rtl/>
              </w:rPr>
              <w:t>חשמל</w:t>
            </w:r>
          </w:p>
        </w:tc>
        <w:tc>
          <w:tcPr>
            <w:tcW w:w="536" w:type="pct"/>
            <w:shd w:val="clear" w:color="auto" w:fill="DFECEF"/>
            <w:noWrap/>
            <w:hideMark/>
          </w:tcPr>
          <w:p w:rsidR="00981F98" w:rsidRPr="009854DC" w:rsidP="00711A1D" w14:paraId="146C130B" w14:textId="77777777">
            <w:pPr>
              <w:pStyle w:val="73R"/>
              <w:bidi w:val="0"/>
              <w:jc w:val="right"/>
              <w:rPr>
                <w:rFonts w:eastAsia="Times New Roman"/>
                <w:rtl/>
              </w:rPr>
            </w:pPr>
            <w:r w:rsidRPr="009854DC">
              <w:rPr>
                <w:rFonts w:eastAsia="Times New Roman" w:hint="cs"/>
              </w:rPr>
              <w:t>20</w:t>
            </w:r>
          </w:p>
        </w:tc>
        <w:tc>
          <w:tcPr>
            <w:tcW w:w="316" w:type="pct"/>
            <w:shd w:val="clear" w:color="auto" w:fill="DFECEF"/>
            <w:noWrap/>
            <w:hideMark/>
          </w:tcPr>
          <w:p w:rsidR="00981F98" w:rsidRPr="009854DC" w:rsidP="00711A1D" w14:paraId="11234F9C" w14:textId="77777777">
            <w:pPr>
              <w:pStyle w:val="73R"/>
              <w:bidi w:val="0"/>
              <w:jc w:val="right"/>
              <w:rPr>
                <w:rFonts w:eastAsia="Times New Roman"/>
              </w:rPr>
            </w:pPr>
            <w:r w:rsidRPr="009854DC">
              <w:rPr>
                <w:rFonts w:eastAsia="Times New Roman" w:hint="cs"/>
              </w:rPr>
              <w:t>19</w:t>
            </w:r>
          </w:p>
        </w:tc>
        <w:tc>
          <w:tcPr>
            <w:tcW w:w="325" w:type="pct"/>
            <w:shd w:val="clear" w:color="auto" w:fill="DFECEF"/>
            <w:noWrap/>
            <w:hideMark/>
          </w:tcPr>
          <w:p w:rsidR="00981F98" w:rsidRPr="009854DC" w:rsidP="00711A1D" w14:paraId="12B1D982" w14:textId="77777777">
            <w:pPr>
              <w:pStyle w:val="73R"/>
              <w:bidi w:val="0"/>
              <w:jc w:val="right"/>
              <w:rPr>
                <w:rFonts w:eastAsia="Times New Roman"/>
              </w:rPr>
            </w:pPr>
            <w:r w:rsidRPr="009854DC">
              <w:rPr>
                <w:rFonts w:eastAsia="Times New Roman" w:hint="cs"/>
              </w:rPr>
              <w:t>17</w:t>
            </w:r>
          </w:p>
        </w:tc>
        <w:tc>
          <w:tcPr>
            <w:tcW w:w="325" w:type="pct"/>
            <w:shd w:val="clear" w:color="auto" w:fill="DFECEF"/>
            <w:noWrap/>
            <w:hideMark/>
          </w:tcPr>
          <w:p w:rsidR="00981F98" w:rsidRPr="009854DC" w:rsidP="00711A1D" w14:paraId="4BF20ECB" w14:textId="77777777">
            <w:pPr>
              <w:pStyle w:val="73R"/>
              <w:bidi w:val="0"/>
              <w:jc w:val="right"/>
              <w:rPr>
                <w:rFonts w:eastAsia="Times New Roman"/>
              </w:rPr>
            </w:pPr>
            <w:r w:rsidRPr="009854DC">
              <w:rPr>
                <w:rFonts w:eastAsia="Times New Roman" w:hint="cs"/>
              </w:rPr>
              <w:t>18</w:t>
            </w:r>
          </w:p>
        </w:tc>
        <w:tc>
          <w:tcPr>
            <w:tcW w:w="325" w:type="pct"/>
            <w:shd w:val="clear" w:color="auto" w:fill="DFECEF"/>
            <w:noWrap/>
            <w:hideMark/>
          </w:tcPr>
          <w:p w:rsidR="00981F98" w:rsidRPr="009854DC" w:rsidP="00711A1D" w14:paraId="202E4EED" w14:textId="77777777">
            <w:pPr>
              <w:pStyle w:val="73R"/>
              <w:bidi w:val="0"/>
              <w:jc w:val="right"/>
              <w:rPr>
                <w:rFonts w:eastAsia="Times New Roman"/>
              </w:rPr>
            </w:pPr>
            <w:r w:rsidRPr="009854DC">
              <w:rPr>
                <w:rFonts w:eastAsia="Times New Roman" w:hint="cs"/>
              </w:rPr>
              <w:t>19</w:t>
            </w:r>
          </w:p>
        </w:tc>
        <w:tc>
          <w:tcPr>
            <w:tcW w:w="325" w:type="pct"/>
            <w:shd w:val="clear" w:color="auto" w:fill="DFECEF"/>
            <w:noWrap/>
            <w:hideMark/>
          </w:tcPr>
          <w:p w:rsidR="00981F98" w:rsidRPr="009854DC" w:rsidP="00711A1D" w14:paraId="2B969106" w14:textId="77777777">
            <w:pPr>
              <w:pStyle w:val="73R"/>
              <w:bidi w:val="0"/>
              <w:jc w:val="right"/>
              <w:rPr>
                <w:rFonts w:eastAsia="Times New Roman"/>
              </w:rPr>
            </w:pPr>
            <w:r w:rsidRPr="009854DC">
              <w:rPr>
                <w:rFonts w:eastAsia="Times New Roman" w:hint="cs"/>
              </w:rPr>
              <w:t>20</w:t>
            </w:r>
          </w:p>
        </w:tc>
        <w:tc>
          <w:tcPr>
            <w:tcW w:w="325" w:type="pct"/>
            <w:shd w:val="clear" w:color="auto" w:fill="DFECEF"/>
            <w:noWrap/>
            <w:hideMark/>
          </w:tcPr>
          <w:p w:rsidR="00981F98" w:rsidRPr="009854DC" w:rsidP="00711A1D" w14:paraId="4A464C20" w14:textId="77777777">
            <w:pPr>
              <w:pStyle w:val="73R"/>
              <w:bidi w:val="0"/>
              <w:jc w:val="right"/>
              <w:rPr>
                <w:rFonts w:eastAsia="Times New Roman"/>
              </w:rPr>
            </w:pPr>
            <w:r w:rsidRPr="009854DC">
              <w:rPr>
                <w:rFonts w:eastAsia="Times New Roman" w:hint="cs"/>
              </w:rPr>
              <w:t>20</w:t>
            </w:r>
          </w:p>
        </w:tc>
        <w:tc>
          <w:tcPr>
            <w:tcW w:w="327" w:type="pct"/>
            <w:shd w:val="clear" w:color="auto" w:fill="DFECEF"/>
            <w:noWrap/>
            <w:hideMark/>
          </w:tcPr>
          <w:p w:rsidR="00981F98" w:rsidRPr="009854DC" w:rsidP="00711A1D" w14:paraId="05E34344" w14:textId="77777777">
            <w:pPr>
              <w:pStyle w:val="73R"/>
              <w:bidi w:val="0"/>
              <w:jc w:val="right"/>
              <w:rPr>
                <w:rFonts w:eastAsia="Times New Roman"/>
              </w:rPr>
            </w:pPr>
            <w:r w:rsidRPr="009854DC">
              <w:rPr>
                <w:rFonts w:eastAsia="Times New Roman" w:hint="cs"/>
              </w:rPr>
              <w:t>21</w:t>
            </w:r>
          </w:p>
        </w:tc>
        <w:tc>
          <w:tcPr>
            <w:tcW w:w="327" w:type="pct"/>
            <w:shd w:val="clear" w:color="auto" w:fill="DFECEF"/>
            <w:noWrap/>
            <w:hideMark/>
          </w:tcPr>
          <w:p w:rsidR="00981F98" w:rsidRPr="009854DC" w:rsidP="00711A1D" w14:paraId="7A9840CC" w14:textId="77777777">
            <w:pPr>
              <w:pStyle w:val="73R"/>
              <w:bidi w:val="0"/>
              <w:jc w:val="right"/>
              <w:rPr>
                <w:rFonts w:eastAsia="Times New Roman"/>
              </w:rPr>
            </w:pPr>
            <w:r w:rsidRPr="009854DC">
              <w:rPr>
                <w:rFonts w:eastAsia="Times New Roman" w:hint="cs"/>
              </w:rPr>
              <w:t>21</w:t>
            </w:r>
          </w:p>
        </w:tc>
        <w:tc>
          <w:tcPr>
            <w:tcW w:w="327" w:type="pct"/>
            <w:shd w:val="clear" w:color="auto" w:fill="DFECEF"/>
            <w:noWrap/>
            <w:hideMark/>
          </w:tcPr>
          <w:p w:rsidR="00981F98" w:rsidRPr="009854DC" w:rsidP="00711A1D" w14:paraId="3DFABBAF" w14:textId="77777777">
            <w:pPr>
              <w:pStyle w:val="73R"/>
              <w:bidi w:val="0"/>
              <w:jc w:val="right"/>
              <w:rPr>
                <w:rFonts w:eastAsia="Times New Roman"/>
              </w:rPr>
            </w:pPr>
            <w:r w:rsidRPr="009854DC">
              <w:rPr>
                <w:rFonts w:eastAsia="Times New Roman" w:hint="cs"/>
              </w:rPr>
              <w:t>22</w:t>
            </w:r>
          </w:p>
        </w:tc>
        <w:tc>
          <w:tcPr>
            <w:tcW w:w="333" w:type="pct"/>
            <w:shd w:val="clear" w:color="auto" w:fill="DFECEF"/>
            <w:noWrap/>
            <w:hideMark/>
          </w:tcPr>
          <w:p w:rsidR="00981F98" w:rsidRPr="009854DC" w:rsidP="00711A1D" w14:paraId="56FEFFDD" w14:textId="77777777">
            <w:pPr>
              <w:pStyle w:val="73R"/>
              <w:bidi w:val="0"/>
              <w:jc w:val="right"/>
              <w:rPr>
                <w:rFonts w:eastAsia="Times New Roman"/>
              </w:rPr>
            </w:pPr>
            <w:r w:rsidRPr="009854DC">
              <w:rPr>
                <w:rFonts w:eastAsia="Times New Roman" w:hint="cs"/>
              </w:rPr>
              <w:t>25</w:t>
            </w:r>
          </w:p>
        </w:tc>
      </w:tr>
      <w:tr w14:paraId="4D38044A" w14:textId="77777777" w:rsidTr="00981F98">
        <w:tblPrEx>
          <w:tblW w:w="4709" w:type="pct"/>
          <w:jc w:val="right"/>
          <w:tblLook w:val="04A0"/>
        </w:tblPrEx>
        <w:trPr>
          <w:trHeight w:val="267"/>
          <w:jc w:val="right"/>
        </w:trPr>
        <w:tc>
          <w:tcPr>
            <w:tcW w:w="704" w:type="pct"/>
            <w:vMerge/>
            <w:hideMark/>
          </w:tcPr>
          <w:p w:rsidR="00981F98" w:rsidRPr="009854DC" w:rsidP="00711A1D" w14:paraId="2291A3D2" w14:textId="77777777">
            <w:pPr>
              <w:pStyle w:val="73R"/>
              <w:rPr>
                <w:rFonts w:eastAsia="Times New Roman"/>
                <w:b/>
                <w:bCs/>
              </w:rPr>
            </w:pPr>
          </w:p>
        </w:tc>
        <w:tc>
          <w:tcPr>
            <w:tcW w:w="506" w:type="pct"/>
            <w:shd w:val="clear" w:color="auto" w:fill="F0F8F9"/>
            <w:noWrap/>
            <w:hideMark/>
          </w:tcPr>
          <w:p w:rsidR="00981F98" w:rsidRPr="009854DC" w:rsidP="00711A1D" w14:paraId="484670C7" w14:textId="77777777">
            <w:pPr>
              <w:pStyle w:val="73R"/>
              <w:rPr>
                <w:rFonts w:eastAsia="Times New Roman"/>
                <w:b/>
                <w:bCs/>
              </w:rPr>
            </w:pPr>
            <w:r w:rsidRPr="009854DC">
              <w:rPr>
                <w:rFonts w:eastAsia="Times New Roman" w:hint="cs"/>
                <w:b/>
                <w:bCs/>
                <w:rtl/>
              </w:rPr>
              <w:t>גז</w:t>
            </w:r>
          </w:p>
        </w:tc>
        <w:tc>
          <w:tcPr>
            <w:tcW w:w="536" w:type="pct"/>
            <w:shd w:val="clear" w:color="auto" w:fill="F0F8F9"/>
            <w:noWrap/>
            <w:hideMark/>
          </w:tcPr>
          <w:p w:rsidR="00981F98" w:rsidRPr="009854DC" w:rsidP="00711A1D" w14:paraId="516152B1" w14:textId="77777777">
            <w:pPr>
              <w:pStyle w:val="73R"/>
              <w:bidi w:val="0"/>
              <w:jc w:val="right"/>
              <w:rPr>
                <w:rFonts w:eastAsia="Times New Roman"/>
                <w:rtl/>
              </w:rPr>
            </w:pPr>
            <w:r w:rsidRPr="009854DC">
              <w:rPr>
                <w:rFonts w:eastAsia="Times New Roman" w:hint="cs"/>
              </w:rPr>
              <w:t>11</w:t>
            </w:r>
          </w:p>
        </w:tc>
        <w:tc>
          <w:tcPr>
            <w:tcW w:w="316" w:type="pct"/>
            <w:shd w:val="clear" w:color="auto" w:fill="F0F8F9"/>
            <w:noWrap/>
            <w:hideMark/>
          </w:tcPr>
          <w:p w:rsidR="00981F98" w:rsidRPr="009854DC" w:rsidP="00711A1D" w14:paraId="1DAE2652" w14:textId="77777777">
            <w:pPr>
              <w:pStyle w:val="73R"/>
              <w:bidi w:val="0"/>
              <w:jc w:val="right"/>
              <w:rPr>
                <w:rFonts w:eastAsia="Times New Roman"/>
              </w:rPr>
            </w:pPr>
            <w:r w:rsidRPr="009854DC">
              <w:rPr>
                <w:rFonts w:eastAsia="Times New Roman" w:hint="cs"/>
              </w:rPr>
              <w:t>11</w:t>
            </w:r>
          </w:p>
        </w:tc>
        <w:tc>
          <w:tcPr>
            <w:tcW w:w="325" w:type="pct"/>
            <w:shd w:val="clear" w:color="auto" w:fill="F0F8F9"/>
            <w:noWrap/>
            <w:hideMark/>
          </w:tcPr>
          <w:p w:rsidR="00981F98" w:rsidRPr="009854DC" w:rsidP="00711A1D" w14:paraId="3D00DF59" w14:textId="77777777">
            <w:pPr>
              <w:pStyle w:val="73R"/>
              <w:bidi w:val="0"/>
              <w:jc w:val="right"/>
              <w:rPr>
                <w:rFonts w:eastAsia="Times New Roman"/>
              </w:rPr>
            </w:pPr>
            <w:r w:rsidRPr="009854DC">
              <w:rPr>
                <w:rFonts w:eastAsia="Times New Roman" w:hint="cs"/>
              </w:rPr>
              <w:t>11</w:t>
            </w:r>
          </w:p>
        </w:tc>
        <w:tc>
          <w:tcPr>
            <w:tcW w:w="325" w:type="pct"/>
            <w:shd w:val="clear" w:color="auto" w:fill="F0F8F9"/>
            <w:noWrap/>
            <w:hideMark/>
          </w:tcPr>
          <w:p w:rsidR="00981F98" w:rsidRPr="009854DC" w:rsidP="00711A1D" w14:paraId="65851EB7" w14:textId="77777777">
            <w:pPr>
              <w:pStyle w:val="73R"/>
              <w:bidi w:val="0"/>
              <w:jc w:val="right"/>
              <w:rPr>
                <w:rFonts w:eastAsia="Times New Roman"/>
              </w:rPr>
            </w:pPr>
            <w:r w:rsidRPr="009854DC">
              <w:rPr>
                <w:rFonts w:eastAsia="Times New Roman" w:hint="cs"/>
              </w:rPr>
              <w:t>13</w:t>
            </w:r>
          </w:p>
        </w:tc>
        <w:tc>
          <w:tcPr>
            <w:tcW w:w="325" w:type="pct"/>
            <w:shd w:val="clear" w:color="auto" w:fill="F0F8F9"/>
            <w:noWrap/>
            <w:hideMark/>
          </w:tcPr>
          <w:p w:rsidR="00981F98" w:rsidRPr="009854DC" w:rsidP="00711A1D" w14:paraId="3EF833F6" w14:textId="77777777">
            <w:pPr>
              <w:pStyle w:val="73R"/>
              <w:bidi w:val="0"/>
              <w:jc w:val="right"/>
              <w:rPr>
                <w:rFonts w:eastAsia="Times New Roman"/>
              </w:rPr>
            </w:pPr>
            <w:r w:rsidRPr="009854DC">
              <w:rPr>
                <w:rFonts w:eastAsia="Times New Roman" w:hint="cs"/>
              </w:rPr>
              <w:t>12</w:t>
            </w:r>
          </w:p>
        </w:tc>
        <w:tc>
          <w:tcPr>
            <w:tcW w:w="325" w:type="pct"/>
            <w:shd w:val="clear" w:color="auto" w:fill="F0F8F9"/>
            <w:noWrap/>
            <w:hideMark/>
          </w:tcPr>
          <w:p w:rsidR="00981F98" w:rsidRPr="009854DC" w:rsidP="00711A1D" w14:paraId="52EE4A45" w14:textId="77777777">
            <w:pPr>
              <w:pStyle w:val="73R"/>
              <w:bidi w:val="0"/>
              <w:jc w:val="right"/>
              <w:rPr>
                <w:rFonts w:eastAsia="Times New Roman"/>
              </w:rPr>
            </w:pPr>
            <w:r w:rsidRPr="009854DC">
              <w:rPr>
                <w:rFonts w:eastAsia="Times New Roman" w:hint="cs"/>
              </w:rPr>
              <w:t>12</w:t>
            </w:r>
          </w:p>
        </w:tc>
        <w:tc>
          <w:tcPr>
            <w:tcW w:w="325" w:type="pct"/>
            <w:shd w:val="clear" w:color="auto" w:fill="F0F8F9"/>
            <w:noWrap/>
            <w:hideMark/>
          </w:tcPr>
          <w:p w:rsidR="00981F98" w:rsidRPr="009854DC" w:rsidP="00711A1D" w14:paraId="1AA4141B" w14:textId="77777777">
            <w:pPr>
              <w:pStyle w:val="73R"/>
              <w:bidi w:val="0"/>
              <w:jc w:val="right"/>
              <w:rPr>
                <w:rFonts w:eastAsia="Times New Roman"/>
              </w:rPr>
            </w:pPr>
            <w:r w:rsidRPr="009854DC">
              <w:rPr>
                <w:rFonts w:eastAsia="Times New Roman" w:hint="cs"/>
              </w:rPr>
              <w:t>11</w:t>
            </w:r>
          </w:p>
        </w:tc>
        <w:tc>
          <w:tcPr>
            <w:tcW w:w="327" w:type="pct"/>
            <w:shd w:val="clear" w:color="auto" w:fill="F0F8F9"/>
            <w:noWrap/>
            <w:hideMark/>
          </w:tcPr>
          <w:p w:rsidR="00981F98" w:rsidRPr="009854DC" w:rsidP="00711A1D" w14:paraId="23A41DE3" w14:textId="77777777">
            <w:pPr>
              <w:pStyle w:val="73R"/>
              <w:bidi w:val="0"/>
              <w:jc w:val="right"/>
              <w:rPr>
                <w:rFonts w:eastAsia="Times New Roman"/>
              </w:rPr>
            </w:pPr>
            <w:r w:rsidRPr="009854DC">
              <w:rPr>
                <w:rFonts w:eastAsia="Times New Roman" w:hint="cs"/>
              </w:rPr>
              <w:t>11</w:t>
            </w:r>
          </w:p>
        </w:tc>
        <w:tc>
          <w:tcPr>
            <w:tcW w:w="327" w:type="pct"/>
            <w:shd w:val="clear" w:color="auto" w:fill="F0F8F9"/>
            <w:noWrap/>
            <w:hideMark/>
          </w:tcPr>
          <w:p w:rsidR="00981F98" w:rsidRPr="009854DC" w:rsidP="00711A1D" w14:paraId="6A1B4B47" w14:textId="77777777">
            <w:pPr>
              <w:pStyle w:val="73R"/>
              <w:bidi w:val="0"/>
              <w:jc w:val="right"/>
              <w:rPr>
                <w:rFonts w:eastAsia="Times New Roman"/>
              </w:rPr>
            </w:pPr>
            <w:r w:rsidRPr="009854DC">
              <w:rPr>
                <w:rFonts w:eastAsia="Times New Roman" w:hint="cs"/>
              </w:rPr>
              <w:t>11</w:t>
            </w:r>
          </w:p>
        </w:tc>
        <w:tc>
          <w:tcPr>
            <w:tcW w:w="327" w:type="pct"/>
            <w:shd w:val="clear" w:color="auto" w:fill="F0F8F9"/>
            <w:noWrap/>
            <w:hideMark/>
          </w:tcPr>
          <w:p w:rsidR="00981F98" w:rsidRPr="009854DC" w:rsidP="00711A1D" w14:paraId="3423DD60" w14:textId="77777777">
            <w:pPr>
              <w:pStyle w:val="73R"/>
              <w:bidi w:val="0"/>
              <w:jc w:val="right"/>
              <w:rPr>
                <w:rFonts w:eastAsia="Times New Roman"/>
              </w:rPr>
            </w:pPr>
            <w:r w:rsidRPr="009854DC">
              <w:rPr>
                <w:rFonts w:eastAsia="Times New Roman" w:hint="cs"/>
              </w:rPr>
              <w:t>11</w:t>
            </w:r>
          </w:p>
        </w:tc>
        <w:tc>
          <w:tcPr>
            <w:tcW w:w="333" w:type="pct"/>
            <w:shd w:val="clear" w:color="auto" w:fill="F0F8F9"/>
            <w:noWrap/>
            <w:hideMark/>
          </w:tcPr>
          <w:p w:rsidR="00981F98" w:rsidRPr="009854DC" w:rsidP="00711A1D" w14:paraId="5EF08C02" w14:textId="77777777">
            <w:pPr>
              <w:pStyle w:val="73R"/>
              <w:bidi w:val="0"/>
              <w:jc w:val="right"/>
              <w:rPr>
                <w:rFonts w:eastAsia="Times New Roman"/>
              </w:rPr>
            </w:pPr>
            <w:r w:rsidRPr="009854DC">
              <w:rPr>
                <w:rFonts w:eastAsia="Times New Roman" w:hint="cs"/>
              </w:rPr>
              <w:t>9</w:t>
            </w:r>
          </w:p>
        </w:tc>
      </w:tr>
      <w:tr w14:paraId="683530D2" w14:textId="77777777" w:rsidTr="00981F98">
        <w:tblPrEx>
          <w:tblW w:w="4709" w:type="pct"/>
          <w:jc w:val="right"/>
          <w:tblLook w:val="04A0"/>
        </w:tblPrEx>
        <w:trPr>
          <w:trHeight w:val="267"/>
          <w:jc w:val="right"/>
        </w:trPr>
        <w:tc>
          <w:tcPr>
            <w:tcW w:w="704" w:type="pct"/>
            <w:vMerge/>
            <w:hideMark/>
          </w:tcPr>
          <w:p w:rsidR="00981F98" w:rsidRPr="009854DC" w:rsidP="00711A1D" w14:paraId="7909635F" w14:textId="77777777">
            <w:pPr>
              <w:pStyle w:val="73R"/>
              <w:rPr>
                <w:rFonts w:eastAsia="Times New Roman"/>
                <w:b/>
                <w:bCs/>
              </w:rPr>
            </w:pPr>
          </w:p>
        </w:tc>
        <w:tc>
          <w:tcPr>
            <w:tcW w:w="506" w:type="pct"/>
            <w:shd w:val="clear" w:color="auto" w:fill="DFECEF"/>
            <w:noWrap/>
            <w:hideMark/>
          </w:tcPr>
          <w:p w:rsidR="00981F98" w:rsidRPr="009854DC" w:rsidP="00711A1D" w14:paraId="78362134" w14:textId="77777777">
            <w:pPr>
              <w:pStyle w:val="73R"/>
              <w:rPr>
                <w:rFonts w:eastAsia="Times New Roman"/>
                <w:b/>
                <w:bCs/>
              </w:rPr>
            </w:pPr>
            <w:r w:rsidRPr="009854DC">
              <w:rPr>
                <w:rFonts w:eastAsia="Times New Roman" w:hint="cs"/>
                <w:b/>
                <w:bCs/>
                <w:rtl/>
              </w:rPr>
              <w:t>מים</w:t>
            </w:r>
          </w:p>
        </w:tc>
        <w:tc>
          <w:tcPr>
            <w:tcW w:w="536" w:type="pct"/>
            <w:shd w:val="clear" w:color="auto" w:fill="DFECEF"/>
            <w:noWrap/>
            <w:hideMark/>
          </w:tcPr>
          <w:p w:rsidR="00981F98" w:rsidRPr="009854DC" w:rsidP="00711A1D" w14:paraId="4FA4C518" w14:textId="77777777">
            <w:pPr>
              <w:pStyle w:val="73R"/>
              <w:bidi w:val="0"/>
              <w:jc w:val="right"/>
              <w:rPr>
                <w:rFonts w:eastAsia="Times New Roman"/>
                <w:rtl/>
              </w:rPr>
            </w:pPr>
            <w:r w:rsidRPr="009854DC">
              <w:rPr>
                <w:rFonts w:eastAsia="Times New Roman" w:hint="cs"/>
              </w:rPr>
              <w:t>1</w:t>
            </w:r>
          </w:p>
        </w:tc>
        <w:tc>
          <w:tcPr>
            <w:tcW w:w="316" w:type="pct"/>
            <w:shd w:val="clear" w:color="auto" w:fill="DFECEF"/>
            <w:noWrap/>
            <w:hideMark/>
          </w:tcPr>
          <w:p w:rsidR="00981F98" w:rsidRPr="009854DC" w:rsidP="00711A1D" w14:paraId="7F2A17A3" w14:textId="77777777">
            <w:pPr>
              <w:pStyle w:val="73R"/>
              <w:bidi w:val="0"/>
              <w:jc w:val="right"/>
              <w:rPr>
                <w:rFonts w:eastAsia="Times New Roman"/>
              </w:rPr>
            </w:pPr>
            <w:r w:rsidRPr="009854DC">
              <w:rPr>
                <w:rFonts w:eastAsia="Times New Roman" w:hint="cs"/>
              </w:rPr>
              <w:t>1</w:t>
            </w:r>
          </w:p>
        </w:tc>
        <w:tc>
          <w:tcPr>
            <w:tcW w:w="325" w:type="pct"/>
            <w:shd w:val="clear" w:color="auto" w:fill="DFECEF"/>
            <w:noWrap/>
            <w:hideMark/>
          </w:tcPr>
          <w:p w:rsidR="00981F98" w:rsidRPr="009854DC" w:rsidP="00711A1D" w14:paraId="0CD9B3F7" w14:textId="77777777">
            <w:pPr>
              <w:pStyle w:val="73R"/>
              <w:bidi w:val="0"/>
              <w:jc w:val="right"/>
              <w:rPr>
                <w:rFonts w:eastAsia="Times New Roman"/>
              </w:rPr>
            </w:pPr>
            <w:r w:rsidRPr="009854DC">
              <w:rPr>
                <w:rFonts w:eastAsia="Times New Roman" w:hint="cs"/>
              </w:rPr>
              <w:t>1</w:t>
            </w:r>
          </w:p>
        </w:tc>
        <w:tc>
          <w:tcPr>
            <w:tcW w:w="325" w:type="pct"/>
            <w:shd w:val="clear" w:color="auto" w:fill="DFECEF"/>
            <w:noWrap/>
            <w:hideMark/>
          </w:tcPr>
          <w:p w:rsidR="00981F98" w:rsidRPr="009854DC" w:rsidP="00711A1D" w14:paraId="16D9C600" w14:textId="77777777">
            <w:pPr>
              <w:pStyle w:val="73R"/>
              <w:bidi w:val="0"/>
              <w:jc w:val="right"/>
              <w:rPr>
                <w:rFonts w:eastAsia="Times New Roman"/>
              </w:rPr>
            </w:pPr>
            <w:r w:rsidRPr="009854DC">
              <w:rPr>
                <w:rFonts w:eastAsia="Times New Roman" w:hint="cs"/>
              </w:rPr>
              <w:t>1</w:t>
            </w:r>
          </w:p>
        </w:tc>
        <w:tc>
          <w:tcPr>
            <w:tcW w:w="325" w:type="pct"/>
            <w:shd w:val="clear" w:color="auto" w:fill="DFECEF"/>
            <w:noWrap/>
            <w:hideMark/>
          </w:tcPr>
          <w:p w:rsidR="00981F98" w:rsidRPr="009854DC" w:rsidP="00711A1D" w14:paraId="3B8DBB7A" w14:textId="77777777">
            <w:pPr>
              <w:pStyle w:val="73R"/>
              <w:bidi w:val="0"/>
              <w:jc w:val="right"/>
              <w:rPr>
                <w:rFonts w:eastAsia="Times New Roman"/>
              </w:rPr>
            </w:pPr>
            <w:r w:rsidRPr="009854DC">
              <w:rPr>
                <w:rFonts w:eastAsia="Times New Roman" w:hint="cs"/>
              </w:rPr>
              <w:t>1</w:t>
            </w:r>
          </w:p>
        </w:tc>
        <w:tc>
          <w:tcPr>
            <w:tcW w:w="325" w:type="pct"/>
            <w:shd w:val="clear" w:color="auto" w:fill="DFECEF"/>
            <w:noWrap/>
            <w:hideMark/>
          </w:tcPr>
          <w:p w:rsidR="00981F98" w:rsidRPr="009854DC" w:rsidP="00711A1D" w14:paraId="475E0A1E" w14:textId="77777777">
            <w:pPr>
              <w:pStyle w:val="73R"/>
              <w:bidi w:val="0"/>
              <w:jc w:val="right"/>
              <w:rPr>
                <w:rFonts w:eastAsia="Times New Roman"/>
              </w:rPr>
            </w:pPr>
            <w:r w:rsidRPr="009854DC">
              <w:rPr>
                <w:rFonts w:eastAsia="Times New Roman" w:hint="cs"/>
              </w:rPr>
              <w:t>1</w:t>
            </w:r>
          </w:p>
        </w:tc>
        <w:tc>
          <w:tcPr>
            <w:tcW w:w="325" w:type="pct"/>
            <w:shd w:val="clear" w:color="auto" w:fill="DFECEF"/>
            <w:noWrap/>
            <w:hideMark/>
          </w:tcPr>
          <w:p w:rsidR="00981F98" w:rsidRPr="009854DC" w:rsidP="00711A1D" w14:paraId="7DB6EFB8" w14:textId="77777777">
            <w:pPr>
              <w:pStyle w:val="73R"/>
              <w:bidi w:val="0"/>
              <w:jc w:val="right"/>
              <w:rPr>
                <w:rFonts w:eastAsia="Times New Roman"/>
              </w:rPr>
            </w:pPr>
            <w:r w:rsidRPr="009854DC">
              <w:rPr>
                <w:rFonts w:eastAsia="Times New Roman" w:hint="cs"/>
              </w:rPr>
              <w:t>1</w:t>
            </w:r>
          </w:p>
        </w:tc>
        <w:tc>
          <w:tcPr>
            <w:tcW w:w="327" w:type="pct"/>
            <w:shd w:val="clear" w:color="auto" w:fill="DFECEF"/>
            <w:noWrap/>
            <w:hideMark/>
          </w:tcPr>
          <w:p w:rsidR="00981F98" w:rsidRPr="009854DC" w:rsidP="00711A1D" w14:paraId="6E176957" w14:textId="77777777">
            <w:pPr>
              <w:pStyle w:val="73R"/>
              <w:bidi w:val="0"/>
              <w:jc w:val="right"/>
              <w:rPr>
                <w:rFonts w:eastAsia="Times New Roman"/>
              </w:rPr>
            </w:pPr>
            <w:r w:rsidRPr="009854DC">
              <w:rPr>
                <w:rFonts w:eastAsia="Times New Roman" w:hint="cs"/>
              </w:rPr>
              <w:t>1</w:t>
            </w:r>
          </w:p>
        </w:tc>
        <w:tc>
          <w:tcPr>
            <w:tcW w:w="327" w:type="pct"/>
            <w:shd w:val="clear" w:color="auto" w:fill="DFECEF"/>
            <w:noWrap/>
            <w:hideMark/>
          </w:tcPr>
          <w:p w:rsidR="00981F98" w:rsidRPr="009854DC" w:rsidP="00711A1D" w14:paraId="1331266B" w14:textId="77777777">
            <w:pPr>
              <w:pStyle w:val="73R"/>
              <w:bidi w:val="0"/>
              <w:jc w:val="right"/>
              <w:rPr>
                <w:rFonts w:eastAsia="Times New Roman"/>
              </w:rPr>
            </w:pPr>
            <w:r w:rsidRPr="009854DC">
              <w:rPr>
                <w:rFonts w:eastAsia="Times New Roman" w:hint="cs"/>
              </w:rPr>
              <w:t>1</w:t>
            </w:r>
          </w:p>
        </w:tc>
        <w:tc>
          <w:tcPr>
            <w:tcW w:w="327" w:type="pct"/>
            <w:shd w:val="clear" w:color="auto" w:fill="DFECEF"/>
            <w:noWrap/>
            <w:hideMark/>
          </w:tcPr>
          <w:p w:rsidR="00981F98" w:rsidRPr="009854DC" w:rsidP="00711A1D" w14:paraId="5F9B9B6E" w14:textId="77777777">
            <w:pPr>
              <w:pStyle w:val="73R"/>
              <w:bidi w:val="0"/>
              <w:jc w:val="right"/>
              <w:rPr>
                <w:rFonts w:eastAsia="Times New Roman"/>
              </w:rPr>
            </w:pPr>
            <w:r w:rsidRPr="009854DC">
              <w:rPr>
                <w:rFonts w:eastAsia="Times New Roman" w:hint="cs"/>
              </w:rPr>
              <w:t>2</w:t>
            </w:r>
          </w:p>
        </w:tc>
        <w:tc>
          <w:tcPr>
            <w:tcW w:w="333" w:type="pct"/>
            <w:shd w:val="clear" w:color="auto" w:fill="DFECEF"/>
            <w:noWrap/>
            <w:hideMark/>
          </w:tcPr>
          <w:p w:rsidR="00981F98" w:rsidRPr="009854DC" w:rsidP="00711A1D" w14:paraId="6FA6AC84" w14:textId="77777777">
            <w:pPr>
              <w:pStyle w:val="73R"/>
              <w:bidi w:val="0"/>
              <w:jc w:val="right"/>
              <w:rPr>
                <w:rFonts w:eastAsia="Times New Roman"/>
              </w:rPr>
            </w:pPr>
            <w:r w:rsidRPr="009854DC">
              <w:rPr>
                <w:rFonts w:eastAsia="Times New Roman" w:hint="cs"/>
              </w:rPr>
              <w:t>2</w:t>
            </w:r>
          </w:p>
        </w:tc>
      </w:tr>
      <w:tr w14:paraId="6DA1AB2A" w14:textId="77777777" w:rsidTr="00981F98">
        <w:tblPrEx>
          <w:tblW w:w="4709" w:type="pct"/>
          <w:jc w:val="right"/>
          <w:tblLook w:val="04A0"/>
        </w:tblPrEx>
        <w:trPr>
          <w:trHeight w:val="267"/>
          <w:jc w:val="right"/>
        </w:trPr>
        <w:tc>
          <w:tcPr>
            <w:tcW w:w="1210" w:type="pct"/>
            <w:gridSpan w:val="2"/>
            <w:shd w:val="clear" w:color="auto" w:fill="F0F8F9"/>
            <w:noWrap/>
            <w:hideMark/>
          </w:tcPr>
          <w:p w:rsidR="00981F98" w:rsidRPr="009854DC" w:rsidP="00711A1D" w14:paraId="5B9EE5A5" w14:textId="77777777">
            <w:pPr>
              <w:pStyle w:val="73R"/>
              <w:rPr>
                <w:rFonts w:eastAsia="Times New Roman"/>
                <w:b/>
                <w:bCs/>
              </w:rPr>
            </w:pPr>
            <w:r w:rsidRPr="009854DC">
              <w:rPr>
                <w:rFonts w:eastAsia="Times New Roman" w:hint="cs"/>
                <w:b/>
                <w:bCs/>
                <w:rtl/>
              </w:rPr>
              <w:t>סיכום</w:t>
            </w:r>
          </w:p>
        </w:tc>
        <w:tc>
          <w:tcPr>
            <w:tcW w:w="536" w:type="pct"/>
            <w:shd w:val="clear" w:color="auto" w:fill="F0F8F9"/>
            <w:noWrap/>
            <w:hideMark/>
          </w:tcPr>
          <w:p w:rsidR="00981F98" w:rsidRPr="009854DC" w:rsidP="00711A1D" w14:paraId="79DCC05B" w14:textId="77777777">
            <w:pPr>
              <w:pStyle w:val="73R"/>
              <w:bidi w:val="0"/>
              <w:jc w:val="right"/>
              <w:rPr>
                <w:rFonts w:eastAsia="Times New Roman"/>
                <w:b/>
                <w:bCs/>
                <w:rtl/>
              </w:rPr>
            </w:pPr>
            <w:r w:rsidRPr="009854DC">
              <w:rPr>
                <w:rFonts w:eastAsia="Times New Roman" w:hint="cs"/>
                <w:b/>
                <w:bCs/>
              </w:rPr>
              <w:t>32</w:t>
            </w:r>
          </w:p>
        </w:tc>
        <w:tc>
          <w:tcPr>
            <w:tcW w:w="316" w:type="pct"/>
            <w:shd w:val="clear" w:color="auto" w:fill="F0F8F9"/>
            <w:noWrap/>
            <w:hideMark/>
          </w:tcPr>
          <w:p w:rsidR="00981F98" w:rsidRPr="009854DC" w:rsidP="00711A1D" w14:paraId="24CC65F6" w14:textId="77777777">
            <w:pPr>
              <w:pStyle w:val="73R"/>
              <w:bidi w:val="0"/>
              <w:jc w:val="right"/>
              <w:rPr>
                <w:rFonts w:eastAsia="Times New Roman"/>
                <w:b/>
                <w:bCs/>
              </w:rPr>
            </w:pPr>
            <w:r w:rsidRPr="009854DC">
              <w:rPr>
                <w:rFonts w:eastAsia="Times New Roman" w:hint="cs"/>
                <w:b/>
                <w:bCs/>
              </w:rPr>
              <w:t>31</w:t>
            </w:r>
          </w:p>
        </w:tc>
        <w:tc>
          <w:tcPr>
            <w:tcW w:w="325" w:type="pct"/>
            <w:shd w:val="clear" w:color="auto" w:fill="F0F8F9"/>
            <w:noWrap/>
            <w:hideMark/>
          </w:tcPr>
          <w:p w:rsidR="00981F98" w:rsidRPr="009854DC" w:rsidP="00711A1D" w14:paraId="50704E6E" w14:textId="77777777">
            <w:pPr>
              <w:pStyle w:val="73R"/>
              <w:bidi w:val="0"/>
              <w:jc w:val="right"/>
              <w:rPr>
                <w:rFonts w:eastAsia="Times New Roman"/>
                <w:b/>
                <w:bCs/>
              </w:rPr>
            </w:pPr>
            <w:r w:rsidRPr="009854DC">
              <w:rPr>
                <w:rFonts w:eastAsia="Times New Roman" w:hint="cs"/>
                <w:b/>
                <w:bCs/>
              </w:rPr>
              <w:t>29</w:t>
            </w:r>
          </w:p>
        </w:tc>
        <w:tc>
          <w:tcPr>
            <w:tcW w:w="325" w:type="pct"/>
            <w:shd w:val="clear" w:color="auto" w:fill="F0F8F9"/>
            <w:noWrap/>
            <w:hideMark/>
          </w:tcPr>
          <w:p w:rsidR="00981F98" w:rsidRPr="009854DC" w:rsidP="00711A1D" w14:paraId="7F7DB769" w14:textId="77777777">
            <w:pPr>
              <w:pStyle w:val="73R"/>
              <w:bidi w:val="0"/>
              <w:jc w:val="right"/>
              <w:rPr>
                <w:rFonts w:eastAsia="Times New Roman"/>
                <w:b/>
                <w:bCs/>
              </w:rPr>
            </w:pPr>
            <w:r w:rsidRPr="009854DC">
              <w:rPr>
                <w:rFonts w:eastAsia="Times New Roman" w:hint="cs"/>
                <w:b/>
                <w:bCs/>
              </w:rPr>
              <w:t>31</w:t>
            </w:r>
          </w:p>
        </w:tc>
        <w:tc>
          <w:tcPr>
            <w:tcW w:w="325" w:type="pct"/>
            <w:shd w:val="clear" w:color="auto" w:fill="F0F8F9"/>
            <w:noWrap/>
            <w:hideMark/>
          </w:tcPr>
          <w:p w:rsidR="00981F98" w:rsidRPr="009854DC" w:rsidP="00711A1D" w14:paraId="14F2351A" w14:textId="77777777">
            <w:pPr>
              <w:pStyle w:val="73R"/>
              <w:bidi w:val="0"/>
              <w:jc w:val="right"/>
              <w:rPr>
                <w:rFonts w:eastAsia="Times New Roman"/>
                <w:b/>
                <w:bCs/>
              </w:rPr>
            </w:pPr>
            <w:r w:rsidRPr="009854DC">
              <w:rPr>
                <w:rFonts w:eastAsia="Times New Roman" w:hint="cs"/>
                <w:b/>
                <w:bCs/>
              </w:rPr>
              <w:t>32</w:t>
            </w:r>
          </w:p>
        </w:tc>
        <w:tc>
          <w:tcPr>
            <w:tcW w:w="325" w:type="pct"/>
            <w:shd w:val="clear" w:color="auto" w:fill="F0F8F9"/>
            <w:noWrap/>
            <w:hideMark/>
          </w:tcPr>
          <w:p w:rsidR="00981F98" w:rsidRPr="009854DC" w:rsidP="00711A1D" w14:paraId="2AEBE6F6" w14:textId="77777777">
            <w:pPr>
              <w:pStyle w:val="73R"/>
              <w:bidi w:val="0"/>
              <w:jc w:val="right"/>
              <w:rPr>
                <w:rFonts w:eastAsia="Times New Roman"/>
                <w:b/>
                <w:bCs/>
              </w:rPr>
            </w:pPr>
            <w:r w:rsidRPr="009854DC">
              <w:rPr>
                <w:rFonts w:eastAsia="Times New Roman" w:hint="cs"/>
                <w:b/>
                <w:bCs/>
              </w:rPr>
              <w:t>33</w:t>
            </w:r>
          </w:p>
        </w:tc>
        <w:tc>
          <w:tcPr>
            <w:tcW w:w="325" w:type="pct"/>
            <w:shd w:val="clear" w:color="auto" w:fill="F0F8F9"/>
            <w:noWrap/>
            <w:hideMark/>
          </w:tcPr>
          <w:p w:rsidR="00981F98" w:rsidRPr="009854DC" w:rsidP="00711A1D" w14:paraId="37082DE8" w14:textId="77777777">
            <w:pPr>
              <w:pStyle w:val="73R"/>
              <w:bidi w:val="0"/>
              <w:jc w:val="right"/>
              <w:rPr>
                <w:rFonts w:eastAsia="Times New Roman"/>
                <w:b/>
                <w:bCs/>
              </w:rPr>
            </w:pPr>
            <w:r w:rsidRPr="009854DC">
              <w:rPr>
                <w:rFonts w:eastAsia="Times New Roman" w:hint="cs"/>
                <w:b/>
                <w:bCs/>
              </w:rPr>
              <w:t>32</w:t>
            </w:r>
          </w:p>
        </w:tc>
        <w:tc>
          <w:tcPr>
            <w:tcW w:w="327" w:type="pct"/>
            <w:shd w:val="clear" w:color="auto" w:fill="F0F8F9"/>
            <w:noWrap/>
            <w:hideMark/>
          </w:tcPr>
          <w:p w:rsidR="00981F98" w:rsidRPr="009854DC" w:rsidP="00711A1D" w14:paraId="4FD5DC25" w14:textId="77777777">
            <w:pPr>
              <w:pStyle w:val="73R"/>
              <w:bidi w:val="0"/>
              <w:jc w:val="right"/>
              <w:rPr>
                <w:rFonts w:eastAsia="Times New Roman"/>
                <w:b/>
                <w:bCs/>
              </w:rPr>
            </w:pPr>
            <w:r w:rsidRPr="009854DC">
              <w:rPr>
                <w:rFonts w:eastAsia="Times New Roman" w:hint="cs"/>
                <w:b/>
                <w:bCs/>
              </w:rPr>
              <w:t>33</w:t>
            </w:r>
          </w:p>
        </w:tc>
        <w:tc>
          <w:tcPr>
            <w:tcW w:w="327" w:type="pct"/>
            <w:shd w:val="clear" w:color="auto" w:fill="F0F8F9"/>
            <w:noWrap/>
            <w:hideMark/>
          </w:tcPr>
          <w:p w:rsidR="00981F98" w:rsidRPr="009854DC" w:rsidP="00711A1D" w14:paraId="5A6B607D" w14:textId="77777777">
            <w:pPr>
              <w:pStyle w:val="73R"/>
              <w:bidi w:val="0"/>
              <w:jc w:val="right"/>
              <w:rPr>
                <w:rFonts w:eastAsia="Times New Roman"/>
                <w:b/>
                <w:bCs/>
              </w:rPr>
            </w:pPr>
            <w:r w:rsidRPr="009854DC">
              <w:rPr>
                <w:rFonts w:eastAsia="Times New Roman" w:hint="cs"/>
                <w:b/>
                <w:bCs/>
              </w:rPr>
              <w:t>33</w:t>
            </w:r>
          </w:p>
        </w:tc>
        <w:tc>
          <w:tcPr>
            <w:tcW w:w="327" w:type="pct"/>
            <w:shd w:val="clear" w:color="auto" w:fill="F0F8F9"/>
            <w:noWrap/>
            <w:hideMark/>
          </w:tcPr>
          <w:p w:rsidR="00981F98" w:rsidRPr="009854DC" w:rsidP="00711A1D" w14:paraId="64618E93" w14:textId="77777777">
            <w:pPr>
              <w:pStyle w:val="73R"/>
              <w:bidi w:val="0"/>
              <w:jc w:val="right"/>
              <w:rPr>
                <w:rFonts w:eastAsia="Times New Roman"/>
                <w:b/>
                <w:bCs/>
              </w:rPr>
            </w:pPr>
            <w:r>
              <w:rPr>
                <w:rFonts w:eastAsia="Times New Roman"/>
                <w:b/>
                <w:bCs/>
              </w:rPr>
              <w:t>3</w:t>
            </w:r>
            <w:r w:rsidRPr="009854DC">
              <w:rPr>
                <w:rFonts w:eastAsia="Times New Roman" w:hint="cs"/>
                <w:b/>
                <w:bCs/>
              </w:rPr>
              <w:t>5</w:t>
            </w:r>
          </w:p>
        </w:tc>
        <w:tc>
          <w:tcPr>
            <w:tcW w:w="333" w:type="pct"/>
            <w:shd w:val="clear" w:color="auto" w:fill="F0F8F9"/>
            <w:noWrap/>
            <w:hideMark/>
          </w:tcPr>
          <w:p w:rsidR="00981F98" w:rsidRPr="009854DC" w:rsidP="00711A1D" w14:paraId="0DA77E37" w14:textId="77777777">
            <w:pPr>
              <w:pStyle w:val="73R"/>
              <w:bidi w:val="0"/>
              <w:jc w:val="right"/>
              <w:rPr>
                <w:rFonts w:eastAsia="Times New Roman"/>
                <w:b/>
                <w:bCs/>
              </w:rPr>
            </w:pPr>
            <w:r w:rsidRPr="009854DC">
              <w:rPr>
                <w:rFonts w:eastAsia="Times New Roman" w:hint="cs"/>
                <w:b/>
                <w:bCs/>
              </w:rPr>
              <w:t>36</w:t>
            </w:r>
          </w:p>
        </w:tc>
      </w:tr>
    </w:tbl>
    <w:p w:rsidR="00F20E3F" w:rsidRPr="002F2907" w:rsidP="00981F98" w14:paraId="10DAB988" w14:textId="77777777">
      <w:pPr>
        <w:pStyle w:val="737"/>
        <w:ind w:left="397"/>
        <w:rPr>
          <w:rtl/>
        </w:rPr>
      </w:pPr>
      <w:r w:rsidRPr="002F2907">
        <w:rPr>
          <w:rFonts w:hint="cs"/>
          <w:rtl/>
        </w:rPr>
        <w:t>המקור: נתוני משרד האוצר, אגף הכלכלנית הראשית. לפי</w:t>
      </w:r>
      <w:r w:rsidRPr="002F2907">
        <w:rPr>
          <w:rtl/>
        </w:rPr>
        <w:t xml:space="preserve"> צריכה מדווחת בסקר הוצאות</w:t>
      </w:r>
      <w:r w:rsidRPr="002F2907">
        <w:rPr>
          <w:rFonts w:hint="cs"/>
          <w:rtl/>
        </w:rPr>
        <w:t xml:space="preserve"> משק בית</w:t>
      </w:r>
      <w:r w:rsidRPr="002F2907">
        <w:rPr>
          <w:rtl/>
        </w:rPr>
        <w:t xml:space="preserve"> 2018</w:t>
      </w:r>
      <w:r w:rsidRPr="002F2907">
        <w:rPr>
          <w:rFonts w:hint="cs"/>
          <w:rtl/>
        </w:rPr>
        <w:t xml:space="preserve">. </w:t>
      </w:r>
    </w:p>
    <w:p w:rsidR="00F20E3F" w:rsidP="00032174" w14:paraId="320C5CD7" w14:textId="77777777">
      <w:pPr>
        <w:pStyle w:val="7316"/>
        <w:rPr>
          <w:rtl/>
        </w:rPr>
      </w:pPr>
      <w:r>
        <w:rPr>
          <w:rFonts w:hint="cs"/>
          <w:rtl/>
        </w:rPr>
        <w:t xml:space="preserve">הנתונים בלוחות מלמדים כי ההתייקרות הצפויה בחשבונות החשמל, הגז והמים למשק בית לשנת 2030 עקב מס הפחמן לפי החלטת הממשלה 286 נעה בין 31 ש"ח למשק בית בעשירון 1 ל-36 ש"ח למשק בית בעשירון 10. מחירי החשמל לצרכן יעלו בכ-5%, המגבלה שדרש משרד </w:t>
      </w:r>
      <w:r>
        <w:rPr>
          <w:rFonts w:hint="cs"/>
          <w:rtl/>
        </w:rPr>
        <w:t>האנרגייה</w:t>
      </w:r>
      <w:r>
        <w:rPr>
          <w:rFonts w:hint="cs"/>
          <w:rtl/>
        </w:rPr>
        <w:t>; מחיר הגז (לבישול) יעלה בכ-21%</w:t>
      </w:r>
      <w:r>
        <w:rPr>
          <w:rStyle w:val="FootnoteReference2"/>
          <w:rtl/>
        </w:rPr>
        <w:footnoteReference w:id="61"/>
      </w:r>
      <w:r>
        <w:rPr>
          <w:rFonts w:hint="cs"/>
          <w:rtl/>
        </w:rPr>
        <w:t xml:space="preserve">; ומחירי המים יעלו בכ-1%. הנתונים בכללותם מלמדים כי בשיאו מס הפחמן יביא לעליית מחירים נמוכה עד מתונה למדי בקרב משקי בית. </w:t>
      </w:r>
    </w:p>
    <w:p w:rsidR="00F20E3F" w:rsidP="00032174" w14:paraId="1F52740E" w14:textId="77777777">
      <w:pPr>
        <w:pStyle w:val="7316"/>
        <w:rPr>
          <w:rtl/>
        </w:rPr>
      </w:pPr>
      <w:r w:rsidRPr="00EF16EF">
        <w:rPr>
          <w:rtl/>
        </w:rPr>
        <w:t xml:space="preserve">עם זאת, עבור משקי בית בעלי הכנסה נמוכה, המס עלול לייצר נטל כלכלי ללא יכולת משמעותית להתייעל אנרגטית. </w:t>
      </w:r>
      <w:r>
        <w:rPr>
          <w:rFonts w:hint="cs"/>
          <w:rtl/>
        </w:rPr>
        <w:t xml:space="preserve">לפיכך החלטת הממשלה 286 </w:t>
      </w:r>
      <w:r>
        <w:rPr>
          <w:rtl/>
        </w:rPr>
        <w:t>הטילה על</w:t>
      </w:r>
      <w:r>
        <w:rPr>
          <w:rFonts w:hint="cs"/>
          <w:rtl/>
        </w:rPr>
        <w:t xml:space="preserve"> </w:t>
      </w:r>
      <w:r w:rsidRPr="00D817E1">
        <w:rPr>
          <w:rtl/>
        </w:rPr>
        <w:t>צוות בין</w:t>
      </w:r>
      <w:r>
        <w:rPr>
          <w:rFonts w:hint="cs"/>
          <w:rtl/>
        </w:rPr>
        <w:t>-</w:t>
      </w:r>
      <w:r w:rsidRPr="00D817E1">
        <w:rPr>
          <w:rtl/>
        </w:rPr>
        <w:t xml:space="preserve">משרדי </w:t>
      </w:r>
      <w:r w:rsidRPr="00EF16EF">
        <w:rPr>
          <w:rtl/>
        </w:rPr>
        <w:t xml:space="preserve">להמליץ למנכ"ל משרד </w:t>
      </w:r>
      <w:r w:rsidRPr="00EF16EF">
        <w:rPr>
          <w:rtl/>
        </w:rPr>
        <w:t>ה</w:t>
      </w:r>
      <w:r>
        <w:rPr>
          <w:rtl/>
        </w:rPr>
        <w:t>אנרגייה</w:t>
      </w:r>
      <w:r w:rsidRPr="00EF16EF">
        <w:rPr>
          <w:rtl/>
        </w:rPr>
        <w:t xml:space="preserve"> על מנגנונים לעידוד התייעלות </w:t>
      </w:r>
      <w:r w:rsidRPr="00EF16EF">
        <w:rPr>
          <w:rtl/>
        </w:rPr>
        <w:t>ב</w:t>
      </w:r>
      <w:r>
        <w:rPr>
          <w:rtl/>
        </w:rPr>
        <w:t>אנרגייה</w:t>
      </w:r>
      <w:r w:rsidRPr="00EF16EF">
        <w:rPr>
          <w:rtl/>
        </w:rPr>
        <w:t xml:space="preserve"> ו</w:t>
      </w:r>
      <w:r>
        <w:rPr>
          <w:rFonts w:hint="cs"/>
          <w:rtl/>
        </w:rPr>
        <w:t>ל</w:t>
      </w:r>
      <w:r w:rsidRPr="00EF16EF">
        <w:rPr>
          <w:rtl/>
        </w:rPr>
        <w:t xml:space="preserve">הקלה במעבר </w:t>
      </w:r>
      <w:r w:rsidRPr="00EF16EF">
        <w:rPr>
          <w:rtl/>
        </w:rPr>
        <w:t>ל</w:t>
      </w:r>
      <w:r>
        <w:rPr>
          <w:rtl/>
        </w:rPr>
        <w:t>אנרגייה</w:t>
      </w:r>
      <w:r w:rsidRPr="00EF16EF">
        <w:rPr>
          <w:rtl/>
        </w:rPr>
        <w:t xml:space="preserve"> נקייה </w:t>
      </w:r>
      <w:r>
        <w:rPr>
          <w:rFonts w:hint="cs"/>
          <w:rtl/>
        </w:rPr>
        <w:t xml:space="preserve">בקרב </w:t>
      </w:r>
      <w:r w:rsidRPr="00EF16EF">
        <w:rPr>
          <w:rtl/>
        </w:rPr>
        <w:t xml:space="preserve">שכבות </w:t>
      </w:r>
      <w:r>
        <w:rPr>
          <w:rFonts w:hint="cs"/>
          <w:rtl/>
        </w:rPr>
        <w:t xml:space="preserve">הראויות לקידום </w:t>
      </w:r>
      <w:r w:rsidRPr="00EF16EF">
        <w:rPr>
          <w:rtl/>
        </w:rPr>
        <w:t xml:space="preserve">בלי לפגוע בתמריצים להפחתת פליטות אשר בבסיס המס, וזאת בתוך 6 חודשים </w:t>
      </w:r>
      <w:r>
        <w:rPr>
          <w:rFonts w:hint="cs"/>
          <w:rtl/>
        </w:rPr>
        <w:t>(עד פברואר 2022). מנגנונים אלו ימומנו</w:t>
      </w:r>
      <w:r w:rsidRPr="00D817E1">
        <w:rPr>
          <w:rtl/>
        </w:rPr>
        <w:t xml:space="preserve"> </w:t>
      </w:r>
      <w:r w:rsidRPr="00E36C14">
        <w:rPr>
          <w:rtl/>
        </w:rPr>
        <w:t xml:space="preserve">מתקציב משרד </w:t>
      </w:r>
      <w:r w:rsidRPr="00E36C14">
        <w:rPr>
          <w:rtl/>
        </w:rPr>
        <w:t>ה</w:t>
      </w:r>
      <w:r>
        <w:rPr>
          <w:rtl/>
        </w:rPr>
        <w:t>אנרגייה</w:t>
      </w:r>
      <w:r>
        <w:rPr>
          <w:rStyle w:val="FootnoteReference2"/>
          <w:rtl/>
        </w:rPr>
        <w:footnoteReference w:id="62"/>
      </w:r>
      <w:r w:rsidRPr="00E36C14">
        <w:rPr>
          <w:rtl/>
        </w:rPr>
        <w:t>.</w:t>
      </w:r>
    </w:p>
    <w:p w:rsidR="00F20E3F" w:rsidRPr="00032174" w:rsidP="00032174" w14:paraId="393B0FA8" w14:textId="77777777">
      <w:pPr>
        <w:pStyle w:val="718"/>
        <w:rPr>
          <w:rtl/>
        </w:rPr>
      </w:pPr>
      <w:r w:rsidRPr="00032174">
        <w:rPr>
          <w:rFonts w:hint="cs"/>
          <w:rtl/>
        </w:rPr>
        <w:t>הביקורת העלתה כי אף ש</w:t>
      </w:r>
      <w:r w:rsidRPr="00032174">
        <w:rPr>
          <w:rtl/>
        </w:rPr>
        <w:t xml:space="preserve">הצוות </w:t>
      </w:r>
      <w:r w:rsidRPr="00032174">
        <w:rPr>
          <w:rFonts w:hint="cs"/>
          <w:rtl/>
        </w:rPr>
        <w:t>הבין-משרדי</w:t>
      </w:r>
      <w:r w:rsidRPr="00032174">
        <w:rPr>
          <w:rtl/>
        </w:rPr>
        <w:t xml:space="preserve"> </w:t>
      </w:r>
      <w:r w:rsidRPr="00032174">
        <w:rPr>
          <w:rFonts w:hint="cs"/>
          <w:rtl/>
        </w:rPr>
        <w:t xml:space="preserve">בהובלת משרד </w:t>
      </w:r>
      <w:r w:rsidRPr="00032174">
        <w:rPr>
          <w:rFonts w:hint="cs"/>
          <w:rtl/>
        </w:rPr>
        <w:t>האנרגייה</w:t>
      </w:r>
      <w:r w:rsidRPr="00032174">
        <w:rPr>
          <w:rFonts w:hint="cs"/>
          <w:rtl/>
        </w:rPr>
        <w:t xml:space="preserve"> </w:t>
      </w:r>
      <w:r w:rsidRPr="00032174">
        <w:rPr>
          <w:rtl/>
        </w:rPr>
        <w:t>סיים את עבודתו</w:t>
      </w:r>
      <w:r w:rsidRPr="00032174">
        <w:rPr>
          <w:rFonts w:hint="cs"/>
          <w:rtl/>
        </w:rPr>
        <w:t xml:space="preserve"> בנושא </w:t>
      </w:r>
      <w:r w:rsidRPr="00032174">
        <w:rPr>
          <w:rtl/>
        </w:rPr>
        <w:t xml:space="preserve">מנגנונים לעידוד התייעלות </w:t>
      </w:r>
      <w:r w:rsidRPr="00032174">
        <w:rPr>
          <w:rtl/>
        </w:rPr>
        <w:t>באנרגייה</w:t>
      </w:r>
      <w:r w:rsidRPr="00032174">
        <w:rPr>
          <w:rtl/>
        </w:rPr>
        <w:t xml:space="preserve"> והקלה במעבר </w:t>
      </w:r>
      <w:r w:rsidRPr="00032174">
        <w:rPr>
          <w:rtl/>
        </w:rPr>
        <w:t>לאנרגייה</w:t>
      </w:r>
      <w:r w:rsidRPr="00032174">
        <w:rPr>
          <w:rtl/>
        </w:rPr>
        <w:t xml:space="preserve"> נקייה </w:t>
      </w:r>
      <w:r w:rsidRPr="00032174">
        <w:rPr>
          <w:rFonts w:hint="cs"/>
          <w:rtl/>
        </w:rPr>
        <w:t xml:space="preserve">בקרב </w:t>
      </w:r>
      <w:r w:rsidRPr="00032174">
        <w:rPr>
          <w:rtl/>
        </w:rPr>
        <w:t>שכבות ראויות לקידום, העבודה לא אומצה באופן סופי כמדיניות</w:t>
      </w:r>
      <w:r w:rsidRPr="00032174">
        <w:rPr>
          <w:rFonts w:hint="cs"/>
          <w:rtl/>
        </w:rPr>
        <w:t>.</w:t>
      </w:r>
      <w:r w:rsidRPr="00032174">
        <w:rPr>
          <w:rtl/>
        </w:rPr>
        <w:t xml:space="preserve"> </w:t>
      </w:r>
      <w:r w:rsidRPr="00032174">
        <w:rPr>
          <w:rFonts w:hint="cs"/>
          <w:rtl/>
        </w:rPr>
        <w:t xml:space="preserve">זאת, לפי משרד </w:t>
      </w:r>
      <w:r w:rsidRPr="00032174">
        <w:rPr>
          <w:rFonts w:hint="cs"/>
          <w:rtl/>
        </w:rPr>
        <w:t>האנרגייה</w:t>
      </w:r>
      <w:r w:rsidRPr="00032174">
        <w:rPr>
          <w:rFonts w:hint="cs"/>
          <w:rtl/>
        </w:rPr>
        <w:t>, "</w:t>
      </w:r>
      <w:r w:rsidRPr="00032174">
        <w:rPr>
          <w:rtl/>
        </w:rPr>
        <w:t>לאור העובדה שמס פחמן לא קודם ליישום</w:t>
      </w:r>
      <w:r w:rsidRPr="00032174">
        <w:rPr>
          <w:rFonts w:hint="cs"/>
          <w:rtl/>
        </w:rPr>
        <w:t>", ו</w:t>
      </w:r>
      <w:r w:rsidRPr="00032174">
        <w:rPr>
          <w:rtl/>
        </w:rPr>
        <w:t xml:space="preserve">תוצר העבודה המרכזי של הצוות </w:t>
      </w:r>
      <w:r w:rsidRPr="00032174">
        <w:rPr>
          <w:rFonts w:hint="cs"/>
          <w:rtl/>
        </w:rPr>
        <w:t>נותר טיוטה</w:t>
      </w:r>
      <w:r w:rsidRPr="00032174">
        <w:rPr>
          <w:rtl/>
        </w:rPr>
        <w:t xml:space="preserve">. </w:t>
      </w:r>
    </w:p>
    <w:p w:rsidR="00F20E3F" w:rsidRPr="00032174" w:rsidP="00032174" w14:paraId="29D48051" w14:textId="77777777">
      <w:pPr>
        <w:pStyle w:val="718"/>
        <w:rPr>
          <w:rtl/>
        </w:rPr>
      </w:pPr>
      <w:r w:rsidRPr="00032174">
        <w:rPr>
          <w:rFonts w:hint="cs"/>
          <w:rtl/>
        </w:rPr>
        <w:t xml:space="preserve">מוצע כי הצוות הבין-משרדי יגיש את המלצותיו לאישור שר </w:t>
      </w:r>
      <w:r w:rsidRPr="00032174">
        <w:rPr>
          <w:rFonts w:hint="cs"/>
          <w:rtl/>
        </w:rPr>
        <w:t>האנרגייה</w:t>
      </w:r>
      <w:r w:rsidRPr="00032174">
        <w:rPr>
          <w:rFonts w:hint="cs"/>
          <w:rtl/>
        </w:rPr>
        <w:t xml:space="preserve"> כדי להשלים את גיבושו של מנגנון מוסכם, מתוקף וסופי </w:t>
      </w:r>
      <w:r w:rsidRPr="00032174">
        <w:rPr>
          <w:rtl/>
        </w:rPr>
        <w:t xml:space="preserve">לעידוד התייעלות </w:t>
      </w:r>
      <w:r w:rsidRPr="00032174">
        <w:rPr>
          <w:rtl/>
        </w:rPr>
        <w:t>באנרגייה</w:t>
      </w:r>
      <w:r w:rsidRPr="00032174">
        <w:rPr>
          <w:rtl/>
        </w:rPr>
        <w:t xml:space="preserve"> והקלה במעבר </w:t>
      </w:r>
      <w:r w:rsidRPr="00032174">
        <w:rPr>
          <w:rtl/>
        </w:rPr>
        <w:t>לאנרגייה</w:t>
      </w:r>
      <w:r w:rsidRPr="00032174">
        <w:rPr>
          <w:rtl/>
        </w:rPr>
        <w:t xml:space="preserve"> נקייה לשכבות ראויות לקידום,</w:t>
      </w:r>
      <w:r w:rsidRPr="00032174">
        <w:rPr>
          <w:rFonts w:hint="cs"/>
          <w:rtl/>
        </w:rPr>
        <w:t xml:space="preserve"> כך שניתן יהיה לקדם את יישום מס הפחמן בישראל.</w:t>
      </w:r>
    </w:p>
    <w:p w:rsidR="00F20E3F" w:rsidP="00C44928" w14:paraId="584B668F" w14:textId="4510DE35">
      <w:pPr>
        <w:pStyle w:val="7114"/>
        <w:numPr>
          <w:ilvl w:val="0"/>
          <w:numId w:val="74"/>
        </w:numPr>
      </w:pPr>
      <w:r w:rsidRPr="00B0442B">
        <w:rPr>
          <w:rFonts w:hint="cs"/>
          <w:rtl/>
        </w:rPr>
        <w:t xml:space="preserve">אשר לתעשייה, הפנמת העלויות החיצוניות של דלקים בשיעור גבוה לא לוותה במנגנון לפיצוי התעשייה ולמניעת זליגת פחמן. </w:t>
      </w:r>
      <w:r>
        <w:rPr>
          <w:rFonts w:hint="cs"/>
          <w:rtl/>
        </w:rPr>
        <w:t>לפיכך</w:t>
      </w:r>
      <w:r w:rsidRPr="00B0442B">
        <w:rPr>
          <w:rFonts w:hint="cs"/>
          <w:rtl/>
        </w:rPr>
        <w:t xml:space="preserve"> עמדת התאחדות התעשיינים הי</w:t>
      </w:r>
      <w:r>
        <w:rPr>
          <w:rFonts w:hint="cs"/>
          <w:rtl/>
        </w:rPr>
        <w:t>י</w:t>
      </w:r>
      <w:r w:rsidRPr="00B0442B">
        <w:rPr>
          <w:rFonts w:hint="cs"/>
          <w:rtl/>
        </w:rPr>
        <w:t>תה כי הטלת מס פחמן באמצעות הבלו "ללא מנגנוני איזון משלימים המשולבים במדיניות הממשלתית המאושרת, מהווה צעד שאינו ראוי ויהווה פגיעה מיותרת בכלכלה</w:t>
      </w:r>
      <w:r>
        <w:rPr>
          <w:rFonts w:hint="cs"/>
          <w:rtl/>
        </w:rPr>
        <w:t xml:space="preserve"> ובמשק", וכי "אין כל הצדקה והגיון לקבוע מס פחמן בישראל מבלי לקבוע </w:t>
      </w:r>
      <w:r w:rsidRPr="007A2C32">
        <w:rPr>
          <w:rFonts w:hint="cs"/>
          <w:u w:val="single"/>
          <w:rtl/>
        </w:rPr>
        <w:t>במקביל</w:t>
      </w:r>
      <w:r>
        <w:rPr>
          <w:rFonts w:hint="cs"/>
          <w:rtl/>
        </w:rPr>
        <w:t xml:space="preserve"> מנגנוני איזון" [ההדגשה במקור]. עוד ציינה ההתאחדות כי "כל המדינות אימצו לצד מנגנון תמחור הפחמן, מנגנונים שונים להקלה על התעשייה המקומית למניעת זליגת פחמן... במטרה להגן על היתרון התחרותי שלהן... משכך יש לקבוע מנגנונים למיתון הפגיעה במפעלים, בדגש על מפעלים שאין להם חלופות לצריכת </w:t>
      </w:r>
      <w:r>
        <w:rPr>
          <w:rFonts w:hint="cs"/>
          <w:rtl/>
        </w:rPr>
        <w:t>אנרגייה</w:t>
      </w:r>
      <w:r>
        <w:rPr>
          <w:rFonts w:hint="cs"/>
          <w:rtl/>
        </w:rPr>
        <w:t xml:space="preserve"> נקיה, ומפעלים המייצאים לשווקים בהם לא מוטל מס פחמן", תוך שהיא מציעה קביעת </w:t>
      </w:r>
      <w:r>
        <w:rPr>
          <w:rFonts w:hint="cs"/>
          <w:rtl/>
        </w:rPr>
        <w:t>הישבונים</w:t>
      </w:r>
      <w:r>
        <w:rPr>
          <w:rFonts w:hint="cs"/>
          <w:rtl/>
        </w:rPr>
        <w:t xml:space="preserve"> והחזרי מס שונים. יצוין עם זאת כי בסקר הביצועים הסביבתיים של </w:t>
      </w:r>
      <w:r w:rsidR="005327F4">
        <w:t xml:space="preserve"> </w:t>
      </w:r>
      <w:r>
        <w:rPr>
          <w:rFonts w:hint="cs"/>
          <w:rtl/>
        </w:rPr>
        <w:t>ארגון ה-</w:t>
      </w:r>
      <w:r>
        <w:rPr>
          <w:rFonts w:hint="cs"/>
        </w:rPr>
        <w:t>OECD</w:t>
      </w:r>
      <w:r>
        <w:rPr>
          <w:rFonts w:hint="cs"/>
          <w:rtl/>
        </w:rPr>
        <w:t xml:space="preserve"> 2023, הארגון קבע כי ההשפעה של מס הפחמן צפויה להיות מתונה בשל העצימות האנרגטית הנמוכה יחסית של התעשייה הישראלית</w:t>
      </w:r>
      <w:r>
        <w:rPr>
          <w:rStyle w:val="FootnoteReference2"/>
          <w:rtl/>
        </w:rPr>
        <w:footnoteReference w:id="63"/>
      </w:r>
      <w:r>
        <w:rPr>
          <w:rFonts w:hint="cs"/>
          <w:rtl/>
        </w:rPr>
        <w:t>.</w:t>
      </w:r>
    </w:p>
    <w:p w:rsidR="00F20E3F" w:rsidP="00C44928" w14:paraId="5FAA728F" w14:textId="77777777">
      <w:pPr>
        <w:pStyle w:val="7114"/>
        <w:numPr>
          <w:ilvl w:val="0"/>
          <w:numId w:val="74"/>
        </w:numPr>
        <w:rPr>
          <w:rtl/>
        </w:rPr>
      </w:pPr>
      <w:r w:rsidRPr="0080333A">
        <w:rPr>
          <w:rStyle w:val="7371"/>
          <w:rFonts w:hint="eastAsia"/>
          <w:rtl/>
        </w:rPr>
        <w:t>השימוש</w:t>
      </w:r>
      <w:r w:rsidRPr="0080333A">
        <w:rPr>
          <w:rStyle w:val="7371"/>
          <w:rtl/>
        </w:rPr>
        <w:t xml:space="preserve"> </w:t>
      </w:r>
      <w:r w:rsidRPr="0080333A">
        <w:rPr>
          <w:rStyle w:val="7371"/>
          <w:rFonts w:hint="eastAsia"/>
          <w:rtl/>
        </w:rPr>
        <w:t>בתקבולים</w:t>
      </w:r>
      <w:r w:rsidRPr="0080333A">
        <w:rPr>
          <w:rStyle w:val="7371"/>
          <w:rtl/>
        </w:rPr>
        <w:t xml:space="preserve"> </w:t>
      </w:r>
      <w:r w:rsidRPr="0080333A">
        <w:rPr>
          <w:rStyle w:val="7371"/>
          <w:rFonts w:hint="eastAsia"/>
          <w:rtl/>
        </w:rPr>
        <w:t>ממס</w:t>
      </w:r>
      <w:r w:rsidRPr="0080333A">
        <w:rPr>
          <w:rStyle w:val="7371"/>
          <w:rtl/>
        </w:rPr>
        <w:t xml:space="preserve"> </w:t>
      </w:r>
      <w:r w:rsidRPr="0080333A">
        <w:rPr>
          <w:rStyle w:val="7371"/>
          <w:rFonts w:hint="eastAsia"/>
          <w:rtl/>
        </w:rPr>
        <w:t>פחמן</w:t>
      </w:r>
      <w:r w:rsidRPr="0080333A">
        <w:rPr>
          <w:rStyle w:val="7371"/>
          <w:rtl/>
        </w:rPr>
        <w:t>:</w:t>
      </w:r>
      <w:r>
        <w:rPr>
          <w:rFonts w:hint="cs"/>
          <w:rtl/>
        </w:rPr>
        <w:t xml:space="preserve"> תמחור אפקטיבי של מס פחמן יכול להניב לאוצר המדינה תקבולים בהיקפים עצומים. נתוני הבנק העולמי לגבי </w:t>
      </w:r>
      <w:r w:rsidRPr="00F548FA">
        <w:rPr>
          <w:rFonts w:hint="cs"/>
          <w:rtl/>
        </w:rPr>
        <w:t>ההכנסות</w:t>
      </w:r>
      <w:r>
        <w:rPr>
          <w:rFonts w:hint="cs"/>
          <w:rtl/>
        </w:rPr>
        <w:t xml:space="preserve"> העולמיות לשנת 2021 מתמחור פחמן באמצעות מס פחמן ובאמצעות </w:t>
      </w:r>
      <w:r>
        <w:rPr>
          <w:rFonts w:hint="cs"/>
        </w:rPr>
        <w:t>ETS</w:t>
      </w:r>
      <w:r>
        <w:rPr>
          <w:rFonts w:hint="cs"/>
          <w:rtl/>
        </w:rPr>
        <w:t xml:space="preserve"> מלמדים על הכנסות של כ-84 מיליארד דולר ארה</w:t>
      </w:r>
      <w:r>
        <w:rPr>
          <w:rtl/>
        </w:rPr>
        <w:t>"</w:t>
      </w:r>
      <w:r>
        <w:rPr>
          <w:rFonts w:hint="cs"/>
          <w:rtl/>
        </w:rPr>
        <w:t>ב (תקבולי מיסוי</w:t>
      </w:r>
      <w:r w:rsidRPr="00F548FA">
        <w:rPr>
          <w:rFonts w:hint="cs"/>
          <w:rtl/>
        </w:rPr>
        <w:t xml:space="preserve"> פחמן ישיר הסתכמו בכ-28 מיליארד דולר</w:t>
      </w:r>
      <w:r>
        <w:rPr>
          <w:rFonts w:hint="cs"/>
          <w:rtl/>
        </w:rPr>
        <w:t xml:space="preserve">, ותקבולי </w:t>
      </w:r>
      <w:r w:rsidRPr="000B5AD4">
        <w:rPr>
          <w:rFonts w:hint="cs"/>
          <w:sz w:val="24"/>
          <w:rtl/>
        </w:rPr>
        <w:t xml:space="preserve">מסחר בפליטות </w:t>
      </w:r>
      <w:r>
        <w:rPr>
          <w:rFonts w:hint="cs"/>
          <w:sz w:val="24"/>
          <w:rtl/>
        </w:rPr>
        <w:t xml:space="preserve">הסתכמו </w:t>
      </w:r>
      <w:r w:rsidRPr="000B5AD4">
        <w:rPr>
          <w:rFonts w:hint="cs"/>
          <w:sz w:val="24"/>
          <w:rtl/>
        </w:rPr>
        <w:t>ב-56 מיליארד</w:t>
      </w:r>
      <w:r>
        <w:rPr>
          <w:rFonts w:hint="cs"/>
          <w:sz w:val="24"/>
          <w:rtl/>
        </w:rPr>
        <w:t xml:space="preserve"> דולר</w:t>
      </w:r>
      <w:r w:rsidRPr="000B5AD4">
        <w:rPr>
          <w:rFonts w:hint="cs"/>
          <w:sz w:val="24"/>
          <w:rtl/>
        </w:rPr>
        <w:t>)</w:t>
      </w:r>
      <w:r>
        <w:rPr>
          <w:sz w:val="24"/>
          <w:vertAlign w:val="superscript"/>
          <w:rtl/>
        </w:rPr>
        <w:footnoteReference w:id="64"/>
      </w:r>
      <w:r w:rsidRPr="000B5AD4">
        <w:rPr>
          <w:rFonts w:hint="cs"/>
          <w:sz w:val="24"/>
          <w:rtl/>
        </w:rPr>
        <w:t>. במאי 2023 הכנסות אלו הגיעו לכמעט 100 מיליארד דולר ארה"ב</w:t>
      </w:r>
      <w:r>
        <w:rPr>
          <w:rStyle w:val="FootnoteReference2"/>
          <w:sz w:val="24"/>
          <w:rtl/>
        </w:rPr>
        <w:footnoteReference w:id="65"/>
      </w:r>
      <w:r w:rsidRPr="000B5AD4">
        <w:rPr>
          <w:rFonts w:hint="cs"/>
          <w:sz w:val="24"/>
          <w:rtl/>
        </w:rPr>
        <w:t xml:space="preserve">. כמו כן </w:t>
      </w:r>
      <w:r>
        <w:rPr>
          <w:rFonts w:hint="cs"/>
          <w:sz w:val="24"/>
          <w:rtl/>
        </w:rPr>
        <w:t xml:space="preserve">תקבולי האיחוד האירופי מתמחור פחמן צפויים להעלות עוד יותר את ההכנסות שכן </w:t>
      </w:r>
      <w:r w:rsidRPr="000B5AD4">
        <w:rPr>
          <w:rFonts w:hint="cs"/>
          <w:sz w:val="24"/>
          <w:rtl/>
        </w:rPr>
        <w:t xml:space="preserve">בשנת 2023 אימצה מועצת האיחוד האירופי חבילת חקיקה חדשה </w:t>
      </w:r>
      <w:r w:rsidRPr="0080333A">
        <w:rPr>
          <w:rFonts w:hint="cs"/>
          <w:rtl/>
        </w:rPr>
        <w:t xml:space="preserve">הקרויה </w:t>
      </w:r>
      <w:r w:rsidRPr="0080333A">
        <w:rPr>
          <w:rtl/>
        </w:rPr>
        <w:t>'</w:t>
      </w:r>
      <w:r w:rsidRPr="0080333A">
        <w:t>Fit for 55</w:t>
      </w:r>
      <w:r w:rsidRPr="0080333A">
        <w:rPr>
          <w:rtl/>
        </w:rPr>
        <w:t>'</w:t>
      </w:r>
      <w:r w:rsidRPr="0080333A">
        <w:rPr>
          <w:rFonts w:hint="cs"/>
          <w:rtl/>
        </w:rPr>
        <w:t>. חבילה</w:t>
      </w:r>
      <w:r>
        <w:rPr>
          <w:rFonts w:hint="cs"/>
          <w:sz w:val="24"/>
          <w:rtl/>
        </w:rPr>
        <w:t xml:space="preserve"> זאת</w:t>
      </w:r>
      <w:r w:rsidRPr="000B5AD4">
        <w:rPr>
          <w:rFonts w:hint="cs"/>
          <w:sz w:val="24"/>
          <w:rtl/>
        </w:rPr>
        <w:t xml:space="preserve"> כוללת גם אמצעים שונים בתחום תמחור הפחמן שמטרתם לוודא את השגת יעד האיחוד להפחתת פליטות </w:t>
      </w:r>
      <w:r w:rsidRPr="000B5AD4">
        <w:rPr>
          <w:rFonts w:hint="cs"/>
          <w:sz w:val="24"/>
          <w:rtl/>
        </w:rPr>
        <w:t>גז"ח</w:t>
      </w:r>
      <w:r w:rsidRPr="000B5AD4">
        <w:rPr>
          <w:rFonts w:hint="cs"/>
          <w:sz w:val="24"/>
          <w:rtl/>
        </w:rPr>
        <w:t xml:space="preserve"> בשיעור של לפחות 55% עד שנת 2030 ו</w:t>
      </w:r>
      <w:r>
        <w:rPr>
          <w:rFonts w:hint="cs"/>
          <w:sz w:val="24"/>
          <w:rtl/>
        </w:rPr>
        <w:t>ל</w:t>
      </w:r>
      <w:r w:rsidRPr="000B5AD4">
        <w:rPr>
          <w:rFonts w:hint="cs"/>
          <w:sz w:val="24"/>
          <w:rtl/>
        </w:rPr>
        <w:t>איפוס פחמני עד שנת 2050 (</w:t>
      </w:r>
      <w:r w:rsidRPr="0080333A">
        <w:rPr>
          <w:rFonts w:hint="cs"/>
          <w:rtl/>
        </w:rPr>
        <w:t xml:space="preserve">להלן - </w:t>
      </w:r>
      <w:r w:rsidRPr="0080333A">
        <w:t>Fit for 55</w:t>
      </w:r>
      <w:r w:rsidRPr="0080333A">
        <w:rPr>
          <w:rFonts w:hint="cs"/>
          <w:rtl/>
        </w:rPr>
        <w:t>).</w:t>
      </w:r>
      <w:r w:rsidRPr="000B5AD4">
        <w:rPr>
          <w:rFonts w:hint="cs"/>
          <w:sz w:val="24"/>
          <w:rtl/>
        </w:rPr>
        <w:t xml:space="preserve"> מסגרת זו </w:t>
      </w:r>
      <w:r>
        <w:rPr>
          <w:rFonts w:hint="cs"/>
          <w:sz w:val="24"/>
          <w:rtl/>
        </w:rPr>
        <w:t>צפויה</w:t>
      </w:r>
      <w:r w:rsidRPr="000B5AD4">
        <w:rPr>
          <w:rFonts w:hint="cs"/>
          <w:sz w:val="24"/>
          <w:rtl/>
        </w:rPr>
        <w:t xml:space="preserve"> להרחיב את הסחר בפליטות גם לסקטור המבנים והתחבורה החל </w:t>
      </w:r>
      <w:r>
        <w:rPr>
          <w:rFonts w:hint="cs"/>
          <w:sz w:val="24"/>
          <w:rtl/>
        </w:rPr>
        <w:t>ב</w:t>
      </w:r>
      <w:r w:rsidRPr="000B5AD4">
        <w:rPr>
          <w:rFonts w:hint="cs"/>
          <w:sz w:val="24"/>
          <w:rtl/>
        </w:rPr>
        <w:t xml:space="preserve">שנת 2027; </w:t>
      </w:r>
      <w:r>
        <w:rPr>
          <w:rFonts w:hint="cs"/>
          <w:sz w:val="24"/>
          <w:rtl/>
        </w:rPr>
        <w:t>ו</w:t>
      </w:r>
      <w:r w:rsidRPr="000B5AD4">
        <w:rPr>
          <w:rFonts w:hint="cs"/>
          <w:sz w:val="24"/>
          <w:rtl/>
        </w:rPr>
        <w:t>לצמצם את המכסות לפל</w:t>
      </w:r>
      <w:r>
        <w:rPr>
          <w:rFonts w:hint="cs"/>
          <w:sz w:val="24"/>
          <w:rtl/>
        </w:rPr>
        <w:t>י</w:t>
      </w:r>
      <w:r w:rsidRPr="000B5AD4">
        <w:rPr>
          <w:rFonts w:hint="cs"/>
          <w:sz w:val="24"/>
          <w:rtl/>
        </w:rPr>
        <w:t xml:space="preserve">טות </w:t>
      </w:r>
      <w:r w:rsidRPr="000B5AD4">
        <w:rPr>
          <w:rFonts w:hint="cs"/>
          <w:sz w:val="24"/>
          <w:rtl/>
        </w:rPr>
        <w:t>גז"ח</w:t>
      </w:r>
      <w:r w:rsidRPr="000B5AD4">
        <w:rPr>
          <w:rFonts w:hint="cs"/>
          <w:sz w:val="24"/>
          <w:rtl/>
        </w:rPr>
        <w:t xml:space="preserve"> </w:t>
      </w:r>
      <w:r>
        <w:rPr>
          <w:rFonts w:hint="cs"/>
          <w:sz w:val="24"/>
          <w:rtl/>
        </w:rPr>
        <w:t>(דבר שייקר את הפחמן)</w:t>
      </w:r>
      <w:r>
        <w:rPr>
          <w:vertAlign w:val="superscript"/>
          <w:rtl/>
        </w:rPr>
        <w:footnoteReference w:id="66"/>
      </w:r>
      <w:r w:rsidRPr="00F548FA">
        <w:rPr>
          <w:rFonts w:hint="cs"/>
          <w:rtl/>
        </w:rPr>
        <w:t xml:space="preserve">. </w:t>
      </w:r>
    </w:p>
    <w:p w:rsidR="00F20E3F" w:rsidRPr="00032174" w:rsidP="00032174" w14:paraId="28F9C665" w14:textId="77777777">
      <w:pPr>
        <w:pStyle w:val="7111"/>
        <w:rPr>
          <w:rtl/>
        </w:rPr>
      </w:pPr>
      <w:r w:rsidRPr="00032174">
        <w:rPr>
          <w:rFonts w:hint="cs"/>
          <w:rtl/>
        </w:rPr>
        <w:t xml:space="preserve">תקבולים בהיקפים כאלו מעלים את שאלת ייעודם ואת אופן השימוש בהם. הקואליציה להובלת תמחור פחמן (להלן - </w:t>
      </w:r>
      <w:r w:rsidRPr="00032174">
        <w:t>CPLC</w:t>
      </w:r>
      <w:r w:rsidRPr="00032174">
        <w:rPr>
          <w:rFonts w:hint="cs"/>
          <w:rtl/>
        </w:rPr>
        <w:t>)</w:t>
      </w:r>
      <w:r>
        <w:rPr>
          <w:rStyle w:val="FootnoteReference2"/>
          <w:rtl/>
        </w:rPr>
        <w:footnoteReference w:id="67"/>
      </w:r>
      <w:r w:rsidRPr="00032174">
        <w:rPr>
          <w:rFonts w:hint="cs"/>
          <w:rtl/>
        </w:rPr>
        <w:t xml:space="preserve"> בהנהגת הבנק העולמי הדגישה את הקשר בין ייעוד השימוש של תקבולים אלו והאפקטיביות של מס הפחמן ואת החשיבות של שימוש מושכל בהם, בציינה:</w:t>
      </w:r>
    </w:p>
    <w:p w:rsidR="00F20E3F" w:rsidRPr="00D8707F" w:rsidP="00D8707F" w14:paraId="113CE07E" w14:textId="27B3B989">
      <w:pPr>
        <w:pStyle w:val="719"/>
        <w:bidi w:val="0"/>
        <w:ind w:left="510" w:right="794"/>
      </w:pPr>
      <w:r w:rsidRPr="00D8707F">
        <w:t>"Ineffective use of revenue - Carbon pricing instruments can raise significant revenues, but the effectiveness of many carbon pricing initiatives depends on how these revenues are spent. Revenues can be recycled to reduce other conventional taxes, protect lower-income households, support cleaner technologies, address fairness and competitiveness concerns, or channel public funds toward other public policy objectives</w:t>
      </w:r>
      <w:r w:rsidRPr="00D8707F">
        <w:t>"</w:t>
      </w:r>
      <w:r w:rsidRPr="0080333A" w:rsidR="0080333A">
        <w:rPr>
          <w:rFonts w:hint="cs"/>
          <w:vertAlign w:val="superscript"/>
          <w:rtl/>
        </w:rPr>
        <w:t xml:space="preserve"> </w:t>
      </w:r>
      <w:r w:rsidRPr="0080333A">
        <w:rPr>
          <w:vertAlign w:val="superscript"/>
          <w:rtl/>
        </w:rPr>
        <w:t>.</w:t>
      </w:r>
      <w:r>
        <w:rPr>
          <w:rStyle w:val="FootnoteReference2"/>
          <w:rtl/>
        </w:rPr>
        <w:footnoteReference w:id="68"/>
      </w:r>
    </w:p>
    <w:p w:rsidR="00F20E3F" w:rsidP="00032174" w14:paraId="677D0668" w14:textId="77777777">
      <w:pPr>
        <w:pStyle w:val="7111"/>
        <w:rPr>
          <w:rtl/>
        </w:rPr>
      </w:pPr>
      <w:r>
        <w:rPr>
          <w:rFonts w:hint="cs"/>
          <w:rtl/>
        </w:rPr>
        <w:t>גם ארגון ה-</w:t>
      </w:r>
      <w:r>
        <w:rPr>
          <w:rFonts w:hint="cs"/>
        </w:rPr>
        <w:t>OECD</w:t>
      </w:r>
      <w:r>
        <w:rPr>
          <w:rFonts w:hint="cs"/>
          <w:rtl/>
        </w:rPr>
        <w:t>, העוסק רבות בתמחור פחמן, התייחס במסמך מיוחד משנת 2019 לייעוד השימוש בתקבולים מתמחור פחמן וציין כי אין זה שנוי במחלוקת כי תמחור פחמן יקבל תמיכה ציבורית רחבה יותר אם תהא שקיפות בנוגע לשימוש בהכנסות ממנו. תוצאות המחקר ההשוואתי שהובא במסמך בדבר</w:t>
      </w:r>
      <w:r>
        <w:rPr>
          <w:rtl/>
        </w:rPr>
        <w:t xml:space="preserve"> דפוסי</w:t>
      </w:r>
      <w:r>
        <w:rPr>
          <w:rFonts w:hint="cs"/>
          <w:rtl/>
        </w:rPr>
        <w:t xml:space="preserve"> השימוש בתקבולים</w:t>
      </w:r>
      <w:r>
        <w:rPr>
          <w:rtl/>
        </w:rPr>
        <w:t xml:space="preserve"> </w:t>
      </w:r>
      <w:r>
        <w:rPr>
          <w:rFonts w:hint="cs"/>
          <w:rtl/>
        </w:rPr>
        <w:t xml:space="preserve">בתמחור פחמן באמצעות מנגנון </w:t>
      </w:r>
      <w:r>
        <w:rPr>
          <w:rtl/>
        </w:rPr>
        <w:t>מסחר בפליטות</w:t>
      </w:r>
      <w:r>
        <w:rPr>
          <w:rFonts w:hint="cs"/>
          <w:rtl/>
        </w:rPr>
        <w:t xml:space="preserve"> (</w:t>
      </w:r>
      <w:r>
        <w:rPr>
          <w:rFonts w:hint="cs"/>
        </w:rPr>
        <w:t>E</w:t>
      </w:r>
      <w:r>
        <w:t>TS</w:t>
      </w:r>
      <w:r>
        <w:rPr>
          <w:rFonts w:hint="cs"/>
          <w:rtl/>
        </w:rPr>
        <w:t>)</w:t>
      </w:r>
      <w:r>
        <w:rPr>
          <w:rtl/>
        </w:rPr>
        <w:t xml:space="preserve">, </w:t>
      </w:r>
      <w:r>
        <w:rPr>
          <w:rFonts w:hint="cs"/>
          <w:rtl/>
        </w:rPr>
        <w:t xml:space="preserve">מס </w:t>
      </w:r>
      <w:r>
        <w:rPr>
          <w:rtl/>
        </w:rPr>
        <w:t>פחמן</w:t>
      </w:r>
      <w:r>
        <w:rPr>
          <w:rFonts w:hint="cs"/>
          <w:rtl/>
        </w:rPr>
        <w:t xml:space="preserve"> (שלא באמצעות הבלו) ומס פחמן באמצעות הב</w:t>
      </w:r>
      <w:r>
        <w:rPr>
          <w:rtl/>
        </w:rPr>
        <w:t xml:space="preserve">לו מצביעים על </w:t>
      </w:r>
      <w:r>
        <w:rPr>
          <w:rFonts w:hint="cs"/>
          <w:rtl/>
        </w:rPr>
        <w:t xml:space="preserve">כך שמדינות שונות מגבילות את השימוש בתקבולים (לכך קרא - </w:t>
      </w:r>
      <w:r w:rsidRPr="00032174">
        <w:t>spending constrains</w:t>
      </w:r>
      <w:r>
        <w:rPr>
          <w:rFonts w:hint="cs"/>
          <w:rtl/>
        </w:rPr>
        <w:t xml:space="preserve">) באופן שונה ועל פני </w:t>
      </w:r>
      <w:r>
        <w:rPr>
          <w:rtl/>
        </w:rPr>
        <w:t xml:space="preserve">רצף שנע בין תמחור פחמן </w:t>
      </w:r>
      <w:r>
        <w:rPr>
          <w:rFonts w:hint="cs"/>
          <w:rtl/>
        </w:rPr>
        <w:t>שמטרותיו מוגבלות להוצאות הממוקדות באקלים</w:t>
      </w:r>
      <w:r>
        <w:rPr>
          <w:rtl/>
        </w:rPr>
        <w:t xml:space="preserve">, </w:t>
      </w:r>
      <w:r>
        <w:rPr>
          <w:rFonts w:hint="cs"/>
          <w:rtl/>
        </w:rPr>
        <w:t>דרך</w:t>
      </w:r>
      <w:r>
        <w:rPr>
          <w:rtl/>
        </w:rPr>
        <w:t xml:space="preserve"> תמהיל מטרות מדיניות מס רחבות יותר</w:t>
      </w:r>
      <w:r>
        <w:rPr>
          <w:rFonts w:hint="cs"/>
          <w:rtl/>
        </w:rPr>
        <w:t>, ועד</w:t>
      </w:r>
      <w:r>
        <w:rPr>
          <w:rtl/>
        </w:rPr>
        <w:t xml:space="preserve"> לאינטגרציה מלאה</w:t>
      </w:r>
      <w:r>
        <w:rPr>
          <w:rFonts w:hint="cs"/>
          <w:rtl/>
        </w:rPr>
        <w:t xml:space="preserve"> של תקבולי תמחור הפחמן עם</w:t>
      </w:r>
      <w:r>
        <w:rPr>
          <w:rtl/>
        </w:rPr>
        <w:t xml:space="preserve"> </w:t>
      </w:r>
      <w:r>
        <w:rPr>
          <w:rFonts w:hint="cs"/>
          <w:rtl/>
        </w:rPr>
        <w:t>מערכת ה</w:t>
      </w:r>
      <w:r>
        <w:rPr>
          <w:rtl/>
        </w:rPr>
        <w:t xml:space="preserve">הכנסות </w:t>
      </w:r>
      <w:r>
        <w:rPr>
          <w:rFonts w:hint="cs"/>
          <w:rtl/>
        </w:rPr>
        <w:t>הכללית של המדינה,</w:t>
      </w:r>
      <w:r>
        <w:rPr>
          <w:rtl/>
        </w:rPr>
        <w:t xml:space="preserve"> ללא מגבלות על </w:t>
      </w:r>
      <w:r>
        <w:rPr>
          <w:rFonts w:hint="cs"/>
          <w:rtl/>
        </w:rPr>
        <w:t>ה</w:t>
      </w:r>
      <w:r>
        <w:rPr>
          <w:rtl/>
        </w:rPr>
        <w:t>שימוש בה</w:t>
      </w:r>
      <w:r>
        <w:rPr>
          <w:rFonts w:hint="cs"/>
          <w:rtl/>
        </w:rPr>
        <w:t>ם</w:t>
      </w:r>
      <w:r>
        <w:rPr>
          <w:rStyle w:val="FootnoteReference2"/>
          <w:rtl/>
        </w:rPr>
        <w:footnoteReference w:id="69"/>
      </w:r>
      <w:r>
        <w:rPr>
          <w:rtl/>
        </w:rPr>
        <w:t>.</w:t>
      </w:r>
    </w:p>
    <w:p w:rsidR="00F20E3F" w:rsidP="00215F0A" w14:paraId="426BAC4E" w14:textId="77777777">
      <w:pPr>
        <w:pStyle w:val="7392"/>
        <w:rPr>
          <w:rtl/>
        </w:rPr>
      </w:pPr>
      <w:r>
        <w:rPr>
          <w:rFonts w:hint="cs"/>
          <w:rtl/>
        </w:rPr>
        <w:t xml:space="preserve">במסגרת </w:t>
      </w:r>
      <w:r w:rsidRPr="00894787">
        <w:rPr>
          <w:rtl/>
        </w:rPr>
        <w:t xml:space="preserve">דוח הוועדה למיסוי ירוק 3 </w:t>
      </w:r>
      <w:r>
        <w:rPr>
          <w:rFonts w:hint="cs"/>
          <w:rtl/>
        </w:rPr>
        <w:t xml:space="preserve">(משנת 2016) בנושא </w:t>
      </w:r>
      <w:r w:rsidRPr="00894787">
        <w:rPr>
          <w:rtl/>
        </w:rPr>
        <w:t>תחליפי נפט לתחבורה</w:t>
      </w:r>
      <w:r>
        <w:rPr>
          <w:rFonts w:hint="cs"/>
          <w:rtl/>
        </w:rPr>
        <w:t xml:space="preserve">, ואשר בראשה עמדו רשות המיסים ומשרד האוצר (להלן - ועדת מיסוי ירוק 3) </w:t>
      </w:r>
      <w:r w:rsidRPr="00FB7654">
        <w:rPr>
          <w:rtl/>
        </w:rPr>
        <w:t xml:space="preserve">נכתב כי קיים "פער גדול מאד בין העלויות החיצוניות לבלו, כלומר כיום מחירי הדלקים אינם משקפים את הנזק החברתי שהם גורמים, והפנמת העלויות יכולה להגדיל את היעילות הכלכלית במשק. מעבר לכך בשל הצריכה הגדולה של דלקים לחשמל, העלאת הבלו תאפשר להגדיל באופן משמעותי את הכנסות המדינה וכך להקטין </w:t>
      </w:r>
      <w:r w:rsidRPr="00FB7654">
        <w:rPr>
          <w:rtl/>
        </w:rPr>
        <w:t>מסים</w:t>
      </w:r>
      <w:r w:rsidRPr="00FB7654">
        <w:rPr>
          <w:rtl/>
        </w:rPr>
        <w:t xml:space="preserve"> מעוותים אחרים".</w:t>
      </w:r>
      <w:r>
        <w:rPr>
          <w:rFonts w:hint="cs"/>
          <w:rtl/>
        </w:rPr>
        <w:t xml:space="preserve"> עוד נכתב בנוגע לטענה כי העלאת הבלו על הדלק לתחבורה </w:t>
      </w:r>
      <w:r>
        <w:rPr>
          <w:rtl/>
        </w:rPr>
        <w:t>יעלה את יוקר המחיה ויפגע בעיקר בעשירונים הנמוכים</w:t>
      </w:r>
      <w:r>
        <w:rPr>
          <w:rFonts w:hint="cs"/>
          <w:rtl/>
        </w:rPr>
        <w:t>,</w:t>
      </w:r>
      <w:r>
        <w:rPr>
          <w:rtl/>
        </w:rPr>
        <w:t xml:space="preserve"> </w:t>
      </w:r>
      <w:r>
        <w:rPr>
          <w:rFonts w:hint="cs"/>
          <w:rtl/>
        </w:rPr>
        <w:t>ש"</w:t>
      </w:r>
      <w:r>
        <w:rPr>
          <w:rtl/>
        </w:rPr>
        <w:t xml:space="preserve">מיסוי סביבתי מוביל להקצאה אופטימלית של מקורות בניגוד </w:t>
      </w:r>
      <w:r>
        <w:rPr>
          <w:rtl/>
        </w:rPr>
        <w:t>למסים</w:t>
      </w:r>
      <w:r>
        <w:rPr>
          <w:rtl/>
        </w:rPr>
        <w:t xml:space="preserve"> אחרים שדווקא מעוותים את ההקצאה ולכן</w:t>
      </w:r>
      <w:r>
        <w:rPr>
          <w:rFonts w:hint="cs"/>
          <w:rtl/>
        </w:rPr>
        <w:t xml:space="preserve"> </w:t>
      </w:r>
      <w:r>
        <w:rPr>
          <w:rtl/>
        </w:rPr>
        <w:t xml:space="preserve">מאפשר הקטנה של </w:t>
      </w:r>
      <w:r>
        <w:rPr>
          <w:rtl/>
        </w:rPr>
        <w:t>מסים</w:t>
      </w:r>
      <w:r>
        <w:rPr>
          <w:rtl/>
        </w:rPr>
        <w:t xml:space="preserve"> אחרים תוך הגדלת היעילות החברתית. בעוד שמס על אנרגיה הוא</w:t>
      </w:r>
      <w:r>
        <w:rPr>
          <w:rFonts w:hint="cs"/>
          <w:rtl/>
        </w:rPr>
        <w:t xml:space="preserve"> </w:t>
      </w:r>
      <w:r>
        <w:rPr>
          <w:rtl/>
        </w:rPr>
        <w:t>אכן רגרסיבי, ניתן באמצעות ההכנסות שמייצר המס להקטין את המע"מ במידה דומה ואז</w:t>
      </w:r>
      <w:r>
        <w:rPr>
          <w:rFonts w:hint="cs"/>
          <w:rtl/>
        </w:rPr>
        <w:t xml:space="preserve"> </w:t>
      </w:r>
      <w:r>
        <w:rPr>
          <w:rtl/>
        </w:rPr>
        <w:t>התוצאה הסופית לא תגדיל את יוקר המחיה ועדיין תוביל לצמצום הזיהום</w:t>
      </w:r>
      <w:r>
        <w:rPr>
          <w:rFonts w:hint="cs"/>
          <w:rtl/>
        </w:rPr>
        <w:t>". אשר לטענה ש</w:t>
      </w:r>
      <w:r>
        <w:rPr>
          <w:rtl/>
        </w:rPr>
        <w:t xml:space="preserve">המס </w:t>
      </w:r>
      <w:r>
        <w:rPr>
          <w:rtl/>
        </w:rPr>
        <w:t>יפגע ביכולות התחרות של התעשייה המקומית</w:t>
      </w:r>
      <w:r>
        <w:rPr>
          <w:rFonts w:hint="cs"/>
          <w:rtl/>
        </w:rPr>
        <w:t>,</w:t>
      </w:r>
      <w:r>
        <w:rPr>
          <w:rtl/>
        </w:rPr>
        <w:t xml:space="preserve"> </w:t>
      </w:r>
      <w:r>
        <w:rPr>
          <w:rFonts w:hint="cs"/>
          <w:rtl/>
        </w:rPr>
        <w:t>נכתב כי "</w:t>
      </w:r>
      <w:r>
        <w:rPr>
          <w:rtl/>
        </w:rPr>
        <w:t>אי הפנמת</w:t>
      </w:r>
      <w:r>
        <w:rPr>
          <w:rFonts w:hint="cs"/>
          <w:rtl/>
        </w:rPr>
        <w:t xml:space="preserve"> </w:t>
      </w:r>
      <w:r>
        <w:rPr>
          <w:rtl/>
        </w:rPr>
        <w:t>הנזק הסביבתי של פחמן דו חמצני יעודד את כל הצרכנים</w:t>
      </w:r>
      <w:r>
        <w:rPr>
          <w:rFonts w:hint="cs"/>
          <w:rtl/>
        </w:rPr>
        <w:t xml:space="preserve"> (</w:t>
      </w:r>
      <w:r>
        <w:rPr>
          <w:rtl/>
        </w:rPr>
        <w:t>גם תעשיינים שמתחרים במדינות</w:t>
      </w:r>
      <w:r>
        <w:rPr>
          <w:rFonts w:hint="cs"/>
          <w:rtl/>
        </w:rPr>
        <w:t xml:space="preserve"> </w:t>
      </w:r>
      <w:r>
        <w:rPr>
          <w:rtl/>
        </w:rPr>
        <w:t>בהן לא מוטל מס דומה, וגם כל שאר הפירמות</w:t>
      </w:r>
      <w:r>
        <w:rPr>
          <w:rFonts w:hint="cs"/>
          <w:rtl/>
        </w:rPr>
        <w:t>)</w:t>
      </w:r>
      <w:r>
        <w:rPr>
          <w:rtl/>
        </w:rPr>
        <w:t xml:space="preserve"> לזהם יותר וכך יפגע ברווחה החברתית</w:t>
      </w:r>
      <w:r>
        <w:rPr>
          <w:rFonts w:hint="cs"/>
          <w:rtl/>
        </w:rPr>
        <w:t>"</w:t>
      </w:r>
      <w:r>
        <w:rPr>
          <w:rStyle w:val="FootnoteReference2"/>
          <w:rtl/>
        </w:rPr>
        <w:footnoteReference w:id="70"/>
      </w:r>
      <w:r>
        <w:rPr>
          <w:rtl/>
        </w:rPr>
        <w:t>.</w:t>
      </w:r>
      <w:r>
        <w:rPr>
          <w:rFonts w:hint="cs"/>
          <w:rtl/>
        </w:rPr>
        <w:t xml:space="preserve"> </w:t>
      </w:r>
    </w:p>
    <w:p w:rsidR="00F20E3F" w:rsidP="00215F0A" w14:paraId="37BE1516" w14:textId="77777777">
      <w:pPr>
        <w:pStyle w:val="7392"/>
        <w:rPr>
          <w:rtl/>
        </w:rPr>
      </w:pPr>
      <w:r>
        <w:rPr>
          <w:rFonts w:hint="cs"/>
          <w:rtl/>
        </w:rPr>
        <w:t xml:space="preserve">גם המשרד </w:t>
      </w:r>
      <w:r>
        <w:rPr>
          <w:rFonts w:hint="cs"/>
          <w:rtl/>
        </w:rPr>
        <w:t>להג"ס</w:t>
      </w:r>
      <w:r>
        <w:rPr>
          <w:rFonts w:hint="cs"/>
          <w:rtl/>
        </w:rPr>
        <w:t xml:space="preserve"> ציין כי "</w:t>
      </w:r>
      <w:r w:rsidRPr="009F4388">
        <w:rPr>
          <w:rtl/>
        </w:rPr>
        <w:t>התקבולים ממס הפחמן יכולים לשמש את המדינה לסייע למשק להיחלץ מהמשבר</w:t>
      </w:r>
      <w:r>
        <w:rPr>
          <w:rFonts w:hint="cs"/>
          <w:rtl/>
        </w:rPr>
        <w:t xml:space="preserve"> [הקורונה]</w:t>
      </w:r>
      <w:r w:rsidRPr="009F4388">
        <w:rPr>
          <w:rtl/>
        </w:rPr>
        <w:t>, תוך עידוד הנעת המשק באמצעות מחוללי צמיחה ירוקה ובת-קיימא</w:t>
      </w:r>
      <w:r>
        <w:rPr>
          <w:rFonts w:hint="cs"/>
          <w:rtl/>
        </w:rPr>
        <w:t>"</w:t>
      </w:r>
      <w:r w:rsidRPr="009F4388">
        <w:rPr>
          <w:rtl/>
        </w:rPr>
        <w:t>.</w:t>
      </w:r>
      <w:r>
        <w:rPr>
          <w:rFonts w:hint="cs"/>
          <w:rtl/>
        </w:rPr>
        <w:t xml:space="preserve"> לעומת זאת עמדת אגף הכלכלנית הראשית "</w:t>
      </w:r>
      <w:r w:rsidRPr="00EB63F3">
        <w:rPr>
          <w:rtl/>
        </w:rPr>
        <w:t>ביחס לשימוש בכספים היא כי צביעת הכנסות פוגעת בגמישות ניהול התקציב ועשיה להביא שימוש לא יעיל. עם זאת, במקרים מסוימים ניתן להצדיק אותה באם שקלול כלל ההיבטים הרלוונטיים תומך בכך בהתחשב ביתר החלופות</w:t>
      </w:r>
      <w:r>
        <w:rPr>
          <w:rFonts w:hint="cs"/>
          <w:rtl/>
        </w:rPr>
        <w:t>"</w:t>
      </w:r>
      <w:r w:rsidRPr="00EB63F3">
        <w:rPr>
          <w:rtl/>
        </w:rPr>
        <w:t>.</w:t>
      </w:r>
      <w:r>
        <w:rPr>
          <w:rFonts w:hint="cs"/>
          <w:rtl/>
        </w:rPr>
        <w:t xml:space="preserve"> סוגיית הטלת מס פחמן כרוכה אפוא בשאלת ייעוד התקבולים בגינו ובשאלות שעלו גם בישראל, בין היתר בנוגע לפיצוי לתעשייה והמנגנונים להגנתה, בנוגע לסיוע למאבק ביוקר המחיה ובנוגע לאוכלוסיות מוחלשות הנפגעות מעליית המחירים בשל מס הפחמן. להלן בלוח נתונים על התקבולים הצפויים אילו היה מיושם מס פחמן בישראל:</w:t>
      </w:r>
    </w:p>
    <w:p w:rsidR="00D8707F" w:rsidP="0080333A" w14:paraId="7B9B02F7" w14:textId="54430C30">
      <w:pPr>
        <w:pStyle w:val="733"/>
        <w:rPr>
          <w:rtl/>
        </w:rPr>
      </w:pPr>
      <w:r w:rsidRPr="00F271A9">
        <w:rPr>
          <w:rFonts w:hint="eastAsia"/>
          <w:b w:val="0"/>
          <w:bCs w:val="0"/>
          <w:rtl/>
        </w:rPr>
        <w:t>לוח</w:t>
      </w:r>
      <w:r w:rsidRPr="00F271A9">
        <w:rPr>
          <w:rFonts w:hint="cs"/>
          <w:b w:val="0"/>
          <w:bCs w:val="0"/>
          <w:rtl/>
        </w:rPr>
        <w:t xml:space="preserve"> 19</w:t>
      </w:r>
      <w:r w:rsidRPr="00F271A9">
        <w:rPr>
          <w:b w:val="0"/>
          <w:bCs w:val="0"/>
          <w:rtl/>
        </w:rPr>
        <w:t>:</w:t>
      </w:r>
      <w:r w:rsidRPr="00550964">
        <w:rPr>
          <w:rtl/>
        </w:rPr>
        <w:t xml:space="preserve"> תוספת הכנסות בלו </w:t>
      </w:r>
      <w:r>
        <w:rPr>
          <w:rFonts w:hint="cs"/>
          <w:rtl/>
        </w:rPr>
        <w:t xml:space="preserve">ממתווה </w:t>
      </w:r>
      <w:r w:rsidRPr="00550964">
        <w:rPr>
          <w:rtl/>
        </w:rPr>
        <w:t>מס הפחמן</w:t>
      </w:r>
      <w:r>
        <w:rPr>
          <w:rFonts w:hint="cs"/>
          <w:rtl/>
        </w:rPr>
        <w:t xml:space="preserve"> בישראל, לפי אגף הכלכלנית הראשית </w:t>
      </w:r>
      <w:r w:rsidRPr="00877F41">
        <w:rPr>
          <w:rFonts w:hint="cs"/>
          <w:rtl/>
        </w:rPr>
        <w:t>אילו היה מיושם מס פחמן</w:t>
      </w:r>
      <w:r>
        <w:rPr>
          <w:rFonts w:hint="cs"/>
          <w:rtl/>
        </w:rPr>
        <w:t xml:space="preserve"> (ב</w:t>
      </w:r>
      <w:r w:rsidRPr="00550964">
        <w:rPr>
          <w:rtl/>
        </w:rPr>
        <w:t xml:space="preserve">מיליוני </w:t>
      </w:r>
      <w:r>
        <w:rPr>
          <w:rFonts w:hint="cs"/>
          <w:rtl/>
        </w:rPr>
        <w:t xml:space="preserve">ש"ח) </w:t>
      </w:r>
    </w:p>
    <w:tbl>
      <w:tblPr>
        <w:bidiVisual/>
        <w:tblW w:w="5000" w:type="pct"/>
        <w:tblBorders>
          <w:left w:val="single" w:sz="4" w:space="0" w:color="000000" w:themeColor="text1"/>
          <w:right w:val="single" w:sz="4" w:space="0" w:color="000000" w:themeColor="text1"/>
          <w:insideV w:val="single" w:sz="4" w:space="0" w:color="000000" w:themeColor="text1"/>
        </w:tblBorders>
        <w:tblLook w:val="04A0"/>
      </w:tblPr>
      <w:tblGrid>
        <w:gridCol w:w="1835"/>
        <w:gridCol w:w="789"/>
        <w:gridCol w:w="790"/>
        <w:gridCol w:w="789"/>
        <w:gridCol w:w="790"/>
        <w:gridCol w:w="789"/>
        <w:gridCol w:w="790"/>
        <w:gridCol w:w="788"/>
      </w:tblGrid>
      <w:tr w14:paraId="6812BA83" w14:textId="77777777" w:rsidTr="0080333A">
        <w:tblPrEx>
          <w:tblW w:w="5000" w:type="pct"/>
          <w:tblBorders>
            <w:left w:val="single" w:sz="4" w:space="0" w:color="000000" w:themeColor="text1"/>
            <w:right w:val="single" w:sz="4" w:space="0" w:color="000000" w:themeColor="text1"/>
            <w:insideV w:val="single" w:sz="4" w:space="0" w:color="000000" w:themeColor="text1"/>
          </w:tblBorders>
          <w:tblLook w:val="04A0"/>
        </w:tblPrEx>
        <w:trPr>
          <w:trHeight w:val="300"/>
        </w:trPr>
        <w:tc>
          <w:tcPr>
            <w:tcW w:w="1246" w:type="pct"/>
            <w:shd w:val="clear" w:color="auto" w:fill="C8DCE4"/>
            <w:vAlign w:val="bottom"/>
            <w:hideMark/>
          </w:tcPr>
          <w:p w:rsidR="00F20E3F" w:rsidRPr="0080333A" w:rsidP="0080333A" w14:paraId="19E5EF73" w14:textId="579A6A1D">
            <w:pPr>
              <w:pStyle w:val="71R"/>
              <w:rPr>
                <w:b/>
                <w:bCs/>
                <w:rtl/>
              </w:rPr>
            </w:pPr>
            <w:r w:rsidRPr="0080333A">
              <w:rPr>
                <w:rFonts w:hint="cs"/>
                <w:b/>
                <w:bCs/>
                <w:rtl/>
              </w:rPr>
              <w:t>ההכנסות לפי אגף הכלכלנית הראשית</w:t>
            </w:r>
          </w:p>
        </w:tc>
        <w:tc>
          <w:tcPr>
            <w:tcW w:w="536" w:type="pct"/>
            <w:shd w:val="clear" w:color="auto" w:fill="C8DCE4"/>
            <w:vAlign w:val="bottom"/>
            <w:hideMark/>
          </w:tcPr>
          <w:p w:rsidR="00F20E3F" w:rsidRPr="0080333A" w:rsidP="0080333A" w14:paraId="251FDAD5" w14:textId="77777777">
            <w:pPr>
              <w:pStyle w:val="71R"/>
              <w:rPr>
                <w:b/>
                <w:bCs/>
              </w:rPr>
            </w:pPr>
            <w:r w:rsidRPr="0080333A">
              <w:rPr>
                <w:b/>
                <w:bCs/>
              </w:rPr>
              <w:t>2022</w:t>
            </w:r>
          </w:p>
        </w:tc>
        <w:tc>
          <w:tcPr>
            <w:tcW w:w="537" w:type="pct"/>
            <w:shd w:val="clear" w:color="auto" w:fill="C8DCE4"/>
            <w:vAlign w:val="bottom"/>
            <w:hideMark/>
          </w:tcPr>
          <w:p w:rsidR="00F20E3F" w:rsidRPr="0080333A" w:rsidP="0080333A" w14:paraId="521ADEDE" w14:textId="77777777">
            <w:pPr>
              <w:pStyle w:val="71R"/>
              <w:rPr>
                <w:b/>
                <w:bCs/>
              </w:rPr>
            </w:pPr>
            <w:r w:rsidRPr="0080333A">
              <w:rPr>
                <w:b/>
                <w:bCs/>
              </w:rPr>
              <w:t>2023</w:t>
            </w:r>
          </w:p>
        </w:tc>
        <w:tc>
          <w:tcPr>
            <w:tcW w:w="536" w:type="pct"/>
            <w:shd w:val="clear" w:color="auto" w:fill="C8DCE4"/>
            <w:vAlign w:val="bottom"/>
            <w:hideMark/>
          </w:tcPr>
          <w:p w:rsidR="00F20E3F" w:rsidRPr="0080333A" w:rsidP="0080333A" w14:paraId="6BE4BB0B" w14:textId="77777777">
            <w:pPr>
              <w:pStyle w:val="71R"/>
              <w:rPr>
                <w:b/>
                <w:bCs/>
              </w:rPr>
            </w:pPr>
            <w:r w:rsidRPr="0080333A">
              <w:rPr>
                <w:b/>
                <w:bCs/>
              </w:rPr>
              <w:t>2024</w:t>
            </w:r>
          </w:p>
        </w:tc>
        <w:tc>
          <w:tcPr>
            <w:tcW w:w="537" w:type="pct"/>
            <w:shd w:val="clear" w:color="auto" w:fill="C8DCE4"/>
            <w:vAlign w:val="bottom"/>
            <w:hideMark/>
          </w:tcPr>
          <w:p w:rsidR="00F20E3F" w:rsidRPr="0080333A" w:rsidP="0080333A" w14:paraId="40E89161" w14:textId="77777777">
            <w:pPr>
              <w:pStyle w:val="71R"/>
              <w:rPr>
                <w:b/>
                <w:bCs/>
              </w:rPr>
            </w:pPr>
            <w:r w:rsidRPr="0080333A">
              <w:rPr>
                <w:b/>
                <w:bCs/>
              </w:rPr>
              <w:t>2025</w:t>
            </w:r>
          </w:p>
        </w:tc>
        <w:tc>
          <w:tcPr>
            <w:tcW w:w="536" w:type="pct"/>
            <w:shd w:val="clear" w:color="auto" w:fill="C8DCE4"/>
            <w:vAlign w:val="bottom"/>
            <w:hideMark/>
          </w:tcPr>
          <w:p w:rsidR="00F20E3F" w:rsidRPr="0080333A" w:rsidP="0080333A" w14:paraId="351DFDCC" w14:textId="77777777">
            <w:pPr>
              <w:pStyle w:val="71R"/>
              <w:rPr>
                <w:b/>
                <w:bCs/>
              </w:rPr>
            </w:pPr>
            <w:r w:rsidRPr="0080333A">
              <w:rPr>
                <w:b/>
                <w:bCs/>
              </w:rPr>
              <w:t>2026</w:t>
            </w:r>
          </w:p>
        </w:tc>
        <w:tc>
          <w:tcPr>
            <w:tcW w:w="537" w:type="pct"/>
            <w:shd w:val="clear" w:color="auto" w:fill="C8DCE4"/>
            <w:vAlign w:val="bottom"/>
            <w:hideMark/>
          </w:tcPr>
          <w:p w:rsidR="00F20E3F" w:rsidRPr="0080333A" w:rsidP="0080333A" w14:paraId="5A9E407E" w14:textId="77777777">
            <w:pPr>
              <w:pStyle w:val="71R"/>
              <w:rPr>
                <w:b/>
                <w:bCs/>
              </w:rPr>
            </w:pPr>
            <w:r w:rsidRPr="0080333A">
              <w:rPr>
                <w:b/>
                <w:bCs/>
              </w:rPr>
              <w:t>2027</w:t>
            </w:r>
          </w:p>
        </w:tc>
        <w:tc>
          <w:tcPr>
            <w:tcW w:w="537" w:type="pct"/>
            <w:shd w:val="clear" w:color="auto" w:fill="C8DCE4"/>
            <w:vAlign w:val="bottom"/>
            <w:hideMark/>
          </w:tcPr>
          <w:p w:rsidR="00F20E3F" w:rsidRPr="0080333A" w:rsidP="0080333A" w14:paraId="041D0342" w14:textId="77777777">
            <w:pPr>
              <w:pStyle w:val="71R"/>
              <w:rPr>
                <w:b/>
                <w:bCs/>
              </w:rPr>
            </w:pPr>
            <w:r w:rsidRPr="0080333A">
              <w:rPr>
                <w:b/>
                <w:bCs/>
              </w:rPr>
              <w:t>2028</w:t>
            </w:r>
          </w:p>
        </w:tc>
      </w:tr>
      <w:tr w14:paraId="2A99AF83" w14:textId="77777777" w:rsidTr="0080333A">
        <w:tblPrEx>
          <w:tblW w:w="5000" w:type="pct"/>
          <w:tblLook w:val="04A0"/>
        </w:tblPrEx>
        <w:trPr>
          <w:trHeight w:val="493"/>
        </w:trPr>
        <w:tc>
          <w:tcPr>
            <w:tcW w:w="1246" w:type="pct"/>
            <w:shd w:val="clear" w:color="auto" w:fill="DFECEF"/>
            <w:vAlign w:val="center"/>
            <w:hideMark/>
          </w:tcPr>
          <w:p w:rsidR="00F20E3F" w:rsidRPr="00DF751A" w:rsidP="0080333A" w14:paraId="318A34FE" w14:textId="77777777">
            <w:pPr>
              <w:pStyle w:val="71R"/>
              <w:rPr>
                <w:rtl/>
              </w:rPr>
            </w:pPr>
            <w:r w:rsidRPr="00DF751A">
              <w:rPr>
                <w:rtl/>
              </w:rPr>
              <w:t>פחם</w:t>
            </w:r>
          </w:p>
        </w:tc>
        <w:tc>
          <w:tcPr>
            <w:tcW w:w="536" w:type="pct"/>
            <w:shd w:val="clear" w:color="auto" w:fill="DFECEF"/>
            <w:vAlign w:val="center"/>
            <w:hideMark/>
          </w:tcPr>
          <w:p w:rsidR="00F20E3F" w:rsidRPr="00DF751A" w:rsidP="0080333A" w14:paraId="1E1FC25A" w14:textId="77777777">
            <w:pPr>
              <w:pStyle w:val="71R"/>
              <w:rPr>
                <w:rtl/>
              </w:rPr>
            </w:pPr>
            <w:r w:rsidRPr="00DF751A">
              <w:t>0</w:t>
            </w:r>
          </w:p>
        </w:tc>
        <w:tc>
          <w:tcPr>
            <w:tcW w:w="537" w:type="pct"/>
            <w:shd w:val="clear" w:color="auto" w:fill="DFECEF"/>
            <w:vAlign w:val="center"/>
            <w:hideMark/>
          </w:tcPr>
          <w:p w:rsidR="00F20E3F" w:rsidRPr="00DF751A" w:rsidP="0080333A" w14:paraId="436FB483" w14:textId="77777777">
            <w:pPr>
              <w:pStyle w:val="71R"/>
            </w:pPr>
            <w:r w:rsidRPr="00DF751A">
              <w:t>114</w:t>
            </w:r>
          </w:p>
        </w:tc>
        <w:tc>
          <w:tcPr>
            <w:tcW w:w="536" w:type="pct"/>
            <w:shd w:val="clear" w:color="auto" w:fill="DFECEF"/>
            <w:vAlign w:val="center"/>
            <w:hideMark/>
          </w:tcPr>
          <w:p w:rsidR="00F20E3F" w:rsidRPr="00DF751A" w:rsidP="0080333A" w14:paraId="2F6CD9D0" w14:textId="77777777">
            <w:pPr>
              <w:pStyle w:val="71R"/>
            </w:pPr>
            <w:r w:rsidRPr="00DF751A">
              <w:t>225</w:t>
            </w:r>
          </w:p>
        </w:tc>
        <w:tc>
          <w:tcPr>
            <w:tcW w:w="537" w:type="pct"/>
            <w:shd w:val="clear" w:color="auto" w:fill="DFECEF"/>
            <w:vAlign w:val="center"/>
            <w:hideMark/>
          </w:tcPr>
          <w:p w:rsidR="00F20E3F" w:rsidRPr="00DF751A" w:rsidP="0080333A" w14:paraId="7DECBA54" w14:textId="77777777">
            <w:pPr>
              <w:pStyle w:val="71R"/>
            </w:pPr>
            <w:r w:rsidRPr="00DF751A">
              <w:t>114</w:t>
            </w:r>
          </w:p>
        </w:tc>
        <w:tc>
          <w:tcPr>
            <w:tcW w:w="536" w:type="pct"/>
            <w:shd w:val="clear" w:color="auto" w:fill="DFECEF"/>
            <w:vAlign w:val="center"/>
            <w:hideMark/>
          </w:tcPr>
          <w:p w:rsidR="00F20E3F" w:rsidRPr="00DF751A" w:rsidP="0080333A" w14:paraId="7DB52A70" w14:textId="77777777">
            <w:pPr>
              <w:pStyle w:val="71R"/>
            </w:pPr>
            <w:r w:rsidRPr="00DF751A">
              <w:t>0</w:t>
            </w:r>
          </w:p>
        </w:tc>
        <w:tc>
          <w:tcPr>
            <w:tcW w:w="537" w:type="pct"/>
            <w:shd w:val="clear" w:color="auto" w:fill="DFECEF"/>
            <w:vAlign w:val="center"/>
            <w:hideMark/>
          </w:tcPr>
          <w:p w:rsidR="00F20E3F" w:rsidRPr="00DF751A" w:rsidP="0080333A" w14:paraId="2A2A09B1" w14:textId="77777777">
            <w:pPr>
              <w:pStyle w:val="71R"/>
            </w:pPr>
            <w:r w:rsidRPr="00DF751A">
              <w:t>0</w:t>
            </w:r>
          </w:p>
        </w:tc>
        <w:tc>
          <w:tcPr>
            <w:tcW w:w="537" w:type="pct"/>
            <w:shd w:val="clear" w:color="auto" w:fill="DFECEF"/>
            <w:vAlign w:val="center"/>
            <w:hideMark/>
          </w:tcPr>
          <w:p w:rsidR="00F20E3F" w:rsidRPr="00DF751A" w:rsidP="0080333A" w14:paraId="29C2A0A5" w14:textId="77777777">
            <w:pPr>
              <w:pStyle w:val="71R"/>
            </w:pPr>
            <w:r w:rsidRPr="00DF751A">
              <w:t>0</w:t>
            </w:r>
          </w:p>
        </w:tc>
      </w:tr>
      <w:tr w14:paraId="59915662" w14:textId="77777777" w:rsidTr="0080333A">
        <w:tblPrEx>
          <w:tblW w:w="5000" w:type="pct"/>
          <w:tblLook w:val="04A0"/>
        </w:tblPrEx>
        <w:trPr>
          <w:trHeight w:val="300"/>
        </w:trPr>
        <w:tc>
          <w:tcPr>
            <w:tcW w:w="1246" w:type="pct"/>
            <w:shd w:val="clear" w:color="auto" w:fill="F0F8F9"/>
            <w:vAlign w:val="center"/>
            <w:hideMark/>
          </w:tcPr>
          <w:p w:rsidR="00F20E3F" w:rsidRPr="00DF751A" w:rsidP="0080333A" w14:paraId="64EEF8B3" w14:textId="77777777">
            <w:pPr>
              <w:pStyle w:val="71R"/>
            </w:pPr>
            <w:r w:rsidRPr="00DF751A">
              <w:rPr>
                <w:rtl/>
              </w:rPr>
              <w:t>גז טבעי</w:t>
            </w:r>
          </w:p>
        </w:tc>
        <w:tc>
          <w:tcPr>
            <w:tcW w:w="536" w:type="pct"/>
            <w:shd w:val="clear" w:color="auto" w:fill="F0F8F9"/>
            <w:vAlign w:val="center"/>
            <w:hideMark/>
          </w:tcPr>
          <w:p w:rsidR="00F20E3F" w:rsidRPr="00DF751A" w:rsidP="0080333A" w14:paraId="3EC7C923" w14:textId="77777777">
            <w:pPr>
              <w:pStyle w:val="71R"/>
              <w:rPr>
                <w:rtl/>
              </w:rPr>
            </w:pPr>
            <w:r w:rsidRPr="00DF751A">
              <w:t>0</w:t>
            </w:r>
          </w:p>
        </w:tc>
        <w:tc>
          <w:tcPr>
            <w:tcW w:w="537" w:type="pct"/>
            <w:shd w:val="clear" w:color="auto" w:fill="F0F8F9"/>
            <w:vAlign w:val="center"/>
            <w:hideMark/>
          </w:tcPr>
          <w:p w:rsidR="00F20E3F" w:rsidRPr="00DF751A" w:rsidP="0080333A" w14:paraId="117C22F4" w14:textId="77777777">
            <w:pPr>
              <w:pStyle w:val="71R"/>
            </w:pPr>
            <w:r w:rsidRPr="00DF751A">
              <w:t>111</w:t>
            </w:r>
          </w:p>
        </w:tc>
        <w:tc>
          <w:tcPr>
            <w:tcW w:w="536" w:type="pct"/>
            <w:shd w:val="clear" w:color="auto" w:fill="F0F8F9"/>
            <w:vAlign w:val="center"/>
            <w:hideMark/>
          </w:tcPr>
          <w:p w:rsidR="00F20E3F" w:rsidRPr="00DF751A" w:rsidP="0080333A" w14:paraId="625598F2" w14:textId="77777777">
            <w:pPr>
              <w:pStyle w:val="71R"/>
            </w:pPr>
            <w:r w:rsidRPr="00DF751A">
              <w:t>273</w:t>
            </w:r>
          </w:p>
        </w:tc>
        <w:tc>
          <w:tcPr>
            <w:tcW w:w="537" w:type="pct"/>
            <w:shd w:val="clear" w:color="auto" w:fill="F0F8F9"/>
            <w:vAlign w:val="center"/>
            <w:hideMark/>
          </w:tcPr>
          <w:p w:rsidR="00F20E3F" w:rsidRPr="00DF751A" w:rsidP="0080333A" w14:paraId="08D95F7F" w14:textId="77777777">
            <w:pPr>
              <w:pStyle w:val="71R"/>
            </w:pPr>
            <w:r w:rsidRPr="00DF751A">
              <w:t>540</w:t>
            </w:r>
          </w:p>
        </w:tc>
        <w:tc>
          <w:tcPr>
            <w:tcW w:w="536" w:type="pct"/>
            <w:shd w:val="clear" w:color="auto" w:fill="F0F8F9"/>
            <w:vAlign w:val="center"/>
            <w:hideMark/>
          </w:tcPr>
          <w:p w:rsidR="00F20E3F" w:rsidRPr="00DF751A" w:rsidP="0080333A" w14:paraId="16314DFA" w14:textId="77777777">
            <w:pPr>
              <w:pStyle w:val="71R"/>
            </w:pPr>
            <w:r w:rsidRPr="00DF751A">
              <w:t>897</w:t>
            </w:r>
          </w:p>
        </w:tc>
        <w:tc>
          <w:tcPr>
            <w:tcW w:w="537" w:type="pct"/>
            <w:shd w:val="clear" w:color="auto" w:fill="F0F8F9"/>
            <w:vAlign w:val="center"/>
            <w:hideMark/>
          </w:tcPr>
          <w:p w:rsidR="00F20E3F" w:rsidRPr="00DF751A" w:rsidP="0080333A" w14:paraId="7C892431" w14:textId="77777777">
            <w:pPr>
              <w:pStyle w:val="71R"/>
            </w:pPr>
            <w:r w:rsidRPr="00DF751A">
              <w:t>1,333</w:t>
            </w:r>
          </w:p>
        </w:tc>
        <w:tc>
          <w:tcPr>
            <w:tcW w:w="537" w:type="pct"/>
            <w:shd w:val="clear" w:color="auto" w:fill="F0F8F9"/>
            <w:vAlign w:val="center"/>
            <w:hideMark/>
          </w:tcPr>
          <w:p w:rsidR="00F20E3F" w:rsidRPr="00DF751A" w:rsidP="0080333A" w14:paraId="343E6ABB" w14:textId="77777777">
            <w:pPr>
              <w:pStyle w:val="71R"/>
            </w:pPr>
            <w:r w:rsidRPr="00DF751A">
              <w:t>1,891</w:t>
            </w:r>
          </w:p>
        </w:tc>
      </w:tr>
      <w:tr w14:paraId="1641DA80" w14:textId="77777777" w:rsidTr="0080333A">
        <w:tblPrEx>
          <w:tblW w:w="5000" w:type="pct"/>
          <w:tblLook w:val="04A0"/>
        </w:tblPrEx>
        <w:trPr>
          <w:trHeight w:val="300"/>
        </w:trPr>
        <w:tc>
          <w:tcPr>
            <w:tcW w:w="1246" w:type="pct"/>
            <w:shd w:val="clear" w:color="auto" w:fill="DFECEF"/>
            <w:vAlign w:val="center"/>
            <w:hideMark/>
          </w:tcPr>
          <w:p w:rsidR="00F20E3F" w:rsidRPr="00DF751A" w:rsidP="0080333A" w14:paraId="37ABCE43" w14:textId="77777777">
            <w:pPr>
              <w:pStyle w:val="71R"/>
            </w:pPr>
            <w:r w:rsidRPr="00DF751A">
              <w:rPr>
                <w:rtl/>
              </w:rPr>
              <w:t>גפ"</w:t>
            </w:r>
            <w:r w:rsidRPr="00DF751A">
              <w:rPr>
                <w:rFonts w:hint="cs"/>
                <w:rtl/>
              </w:rPr>
              <w:t>ם</w:t>
            </w:r>
          </w:p>
        </w:tc>
        <w:tc>
          <w:tcPr>
            <w:tcW w:w="536" w:type="pct"/>
            <w:shd w:val="clear" w:color="auto" w:fill="DFECEF"/>
            <w:vAlign w:val="center"/>
            <w:hideMark/>
          </w:tcPr>
          <w:p w:rsidR="00F20E3F" w:rsidRPr="00DF751A" w:rsidP="0080333A" w14:paraId="55149FF4" w14:textId="77777777">
            <w:pPr>
              <w:pStyle w:val="71R"/>
              <w:rPr>
                <w:rtl/>
              </w:rPr>
            </w:pPr>
            <w:r w:rsidRPr="00DF751A">
              <w:t>0</w:t>
            </w:r>
          </w:p>
        </w:tc>
        <w:tc>
          <w:tcPr>
            <w:tcW w:w="537" w:type="pct"/>
            <w:shd w:val="clear" w:color="auto" w:fill="DFECEF"/>
            <w:vAlign w:val="center"/>
            <w:hideMark/>
          </w:tcPr>
          <w:p w:rsidR="00F20E3F" w:rsidRPr="00DF751A" w:rsidP="0080333A" w14:paraId="134935A6" w14:textId="77777777">
            <w:pPr>
              <w:pStyle w:val="71R"/>
              <w:rPr>
                <w:rtl/>
              </w:rPr>
            </w:pPr>
            <w:r w:rsidRPr="00DF751A">
              <w:t>16</w:t>
            </w:r>
          </w:p>
        </w:tc>
        <w:tc>
          <w:tcPr>
            <w:tcW w:w="536" w:type="pct"/>
            <w:shd w:val="clear" w:color="auto" w:fill="DFECEF"/>
            <w:vAlign w:val="center"/>
            <w:hideMark/>
          </w:tcPr>
          <w:p w:rsidR="00F20E3F" w:rsidRPr="00DF751A" w:rsidP="0080333A" w14:paraId="7A9BEB41" w14:textId="77777777">
            <w:pPr>
              <w:pStyle w:val="71R"/>
            </w:pPr>
            <w:r w:rsidRPr="00DF751A">
              <w:t>37</w:t>
            </w:r>
          </w:p>
        </w:tc>
        <w:tc>
          <w:tcPr>
            <w:tcW w:w="537" w:type="pct"/>
            <w:shd w:val="clear" w:color="auto" w:fill="DFECEF"/>
            <w:vAlign w:val="center"/>
            <w:hideMark/>
          </w:tcPr>
          <w:p w:rsidR="00F20E3F" w:rsidRPr="00DF751A" w:rsidP="0080333A" w14:paraId="4A9D2788" w14:textId="77777777">
            <w:pPr>
              <w:pStyle w:val="71R"/>
            </w:pPr>
            <w:r w:rsidRPr="00DF751A">
              <w:t>64</w:t>
            </w:r>
          </w:p>
        </w:tc>
        <w:tc>
          <w:tcPr>
            <w:tcW w:w="536" w:type="pct"/>
            <w:shd w:val="clear" w:color="auto" w:fill="DFECEF"/>
            <w:vAlign w:val="center"/>
            <w:hideMark/>
          </w:tcPr>
          <w:p w:rsidR="00F20E3F" w:rsidRPr="00DF751A" w:rsidP="0080333A" w14:paraId="0A025D42" w14:textId="77777777">
            <w:pPr>
              <w:pStyle w:val="71R"/>
            </w:pPr>
            <w:r w:rsidRPr="00DF751A">
              <w:t>97</w:t>
            </w:r>
          </w:p>
        </w:tc>
        <w:tc>
          <w:tcPr>
            <w:tcW w:w="537" w:type="pct"/>
            <w:shd w:val="clear" w:color="auto" w:fill="DFECEF"/>
            <w:vAlign w:val="center"/>
            <w:hideMark/>
          </w:tcPr>
          <w:p w:rsidR="00F20E3F" w:rsidRPr="00DF751A" w:rsidP="0080333A" w14:paraId="17C06015" w14:textId="77777777">
            <w:pPr>
              <w:pStyle w:val="71R"/>
            </w:pPr>
            <w:r w:rsidRPr="00DF751A">
              <w:t>140</w:t>
            </w:r>
          </w:p>
        </w:tc>
        <w:tc>
          <w:tcPr>
            <w:tcW w:w="537" w:type="pct"/>
            <w:shd w:val="clear" w:color="auto" w:fill="DFECEF"/>
            <w:vAlign w:val="center"/>
            <w:hideMark/>
          </w:tcPr>
          <w:p w:rsidR="00F20E3F" w:rsidRPr="00DF751A" w:rsidP="0080333A" w14:paraId="4A32B475" w14:textId="77777777">
            <w:pPr>
              <w:pStyle w:val="71R"/>
            </w:pPr>
            <w:r w:rsidRPr="00DF751A">
              <w:t>194</w:t>
            </w:r>
          </w:p>
        </w:tc>
      </w:tr>
      <w:tr w14:paraId="6CE6AD26" w14:textId="77777777" w:rsidTr="0080333A">
        <w:tblPrEx>
          <w:tblW w:w="5000" w:type="pct"/>
          <w:tblLook w:val="04A0"/>
        </w:tblPrEx>
        <w:trPr>
          <w:trHeight w:val="300"/>
        </w:trPr>
        <w:tc>
          <w:tcPr>
            <w:tcW w:w="1246" w:type="pct"/>
            <w:shd w:val="clear" w:color="auto" w:fill="F0F8F9"/>
            <w:vAlign w:val="center"/>
            <w:hideMark/>
          </w:tcPr>
          <w:p w:rsidR="00F20E3F" w:rsidRPr="00DF751A" w:rsidP="0080333A" w14:paraId="77682CD9" w14:textId="77777777">
            <w:pPr>
              <w:pStyle w:val="71R"/>
            </w:pPr>
            <w:r w:rsidRPr="00DF751A">
              <w:rPr>
                <w:rtl/>
              </w:rPr>
              <w:t>מזוט</w:t>
            </w:r>
          </w:p>
        </w:tc>
        <w:tc>
          <w:tcPr>
            <w:tcW w:w="536" w:type="pct"/>
            <w:shd w:val="clear" w:color="auto" w:fill="F0F8F9"/>
            <w:vAlign w:val="center"/>
            <w:hideMark/>
          </w:tcPr>
          <w:p w:rsidR="00F20E3F" w:rsidRPr="00DF751A" w:rsidP="0080333A" w14:paraId="728D848E" w14:textId="77777777">
            <w:pPr>
              <w:pStyle w:val="71R"/>
              <w:rPr>
                <w:rtl/>
              </w:rPr>
            </w:pPr>
            <w:r w:rsidRPr="00DF751A">
              <w:t>0</w:t>
            </w:r>
          </w:p>
        </w:tc>
        <w:tc>
          <w:tcPr>
            <w:tcW w:w="537" w:type="pct"/>
            <w:shd w:val="clear" w:color="auto" w:fill="F0F8F9"/>
            <w:vAlign w:val="center"/>
            <w:hideMark/>
          </w:tcPr>
          <w:p w:rsidR="00F20E3F" w:rsidRPr="00DF751A" w:rsidP="0080333A" w14:paraId="3A232203" w14:textId="77777777">
            <w:pPr>
              <w:pStyle w:val="71R"/>
            </w:pPr>
            <w:r w:rsidRPr="00DF751A">
              <w:t>10</w:t>
            </w:r>
          </w:p>
        </w:tc>
        <w:tc>
          <w:tcPr>
            <w:tcW w:w="536" w:type="pct"/>
            <w:shd w:val="clear" w:color="auto" w:fill="F0F8F9"/>
            <w:vAlign w:val="center"/>
            <w:hideMark/>
          </w:tcPr>
          <w:p w:rsidR="00F20E3F" w:rsidRPr="00DF751A" w:rsidP="0080333A" w14:paraId="70DCB29D" w14:textId="77777777">
            <w:pPr>
              <w:pStyle w:val="71R"/>
            </w:pPr>
            <w:r w:rsidRPr="00DF751A">
              <w:t>22</w:t>
            </w:r>
          </w:p>
        </w:tc>
        <w:tc>
          <w:tcPr>
            <w:tcW w:w="537" w:type="pct"/>
            <w:shd w:val="clear" w:color="auto" w:fill="F0F8F9"/>
            <w:vAlign w:val="center"/>
            <w:hideMark/>
          </w:tcPr>
          <w:p w:rsidR="00F20E3F" w:rsidRPr="00DF751A" w:rsidP="0080333A" w14:paraId="5DBD35F5" w14:textId="77777777">
            <w:pPr>
              <w:pStyle w:val="71R"/>
            </w:pPr>
            <w:r w:rsidRPr="00DF751A">
              <w:t>35</w:t>
            </w:r>
          </w:p>
        </w:tc>
        <w:tc>
          <w:tcPr>
            <w:tcW w:w="536" w:type="pct"/>
            <w:shd w:val="clear" w:color="auto" w:fill="F0F8F9"/>
            <w:vAlign w:val="center"/>
            <w:hideMark/>
          </w:tcPr>
          <w:p w:rsidR="00F20E3F" w:rsidRPr="00DF751A" w:rsidP="0080333A" w14:paraId="3ECBDAD6" w14:textId="77777777">
            <w:pPr>
              <w:pStyle w:val="71R"/>
            </w:pPr>
            <w:r w:rsidRPr="00DF751A">
              <w:t>50</w:t>
            </w:r>
          </w:p>
        </w:tc>
        <w:tc>
          <w:tcPr>
            <w:tcW w:w="537" w:type="pct"/>
            <w:shd w:val="clear" w:color="auto" w:fill="F0F8F9"/>
            <w:vAlign w:val="center"/>
            <w:hideMark/>
          </w:tcPr>
          <w:p w:rsidR="00F20E3F" w:rsidRPr="00DF751A" w:rsidP="0080333A" w14:paraId="2D970D9F" w14:textId="77777777">
            <w:pPr>
              <w:pStyle w:val="71R"/>
            </w:pPr>
            <w:r w:rsidRPr="00DF751A">
              <w:t>66</w:t>
            </w:r>
          </w:p>
        </w:tc>
        <w:tc>
          <w:tcPr>
            <w:tcW w:w="537" w:type="pct"/>
            <w:shd w:val="clear" w:color="auto" w:fill="F0F8F9"/>
            <w:vAlign w:val="center"/>
            <w:hideMark/>
          </w:tcPr>
          <w:p w:rsidR="00F20E3F" w:rsidRPr="00DF751A" w:rsidP="0080333A" w14:paraId="16F26A5A" w14:textId="77777777">
            <w:pPr>
              <w:pStyle w:val="71R"/>
            </w:pPr>
            <w:r w:rsidRPr="00DF751A">
              <w:t>83</w:t>
            </w:r>
          </w:p>
        </w:tc>
      </w:tr>
      <w:tr w14:paraId="4041071F" w14:textId="77777777" w:rsidTr="0080333A">
        <w:tblPrEx>
          <w:tblW w:w="5000" w:type="pct"/>
          <w:tblLook w:val="04A0"/>
        </w:tblPrEx>
        <w:trPr>
          <w:trHeight w:val="355"/>
        </w:trPr>
        <w:tc>
          <w:tcPr>
            <w:tcW w:w="1246" w:type="pct"/>
            <w:shd w:val="clear" w:color="auto" w:fill="DFECEF"/>
            <w:vAlign w:val="center"/>
            <w:hideMark/>
          </w:tcPr>
          <w:p w:rsidR="00F20E3F" w:rsidRPr="00DF751A" w:rsidP="0080333A" w14:paraId="688D7C52" w14:textId="77777777">
            <w:pPr>
              <w:pStyle w:val="71R"/>
            </w:pPr>
            <w:r w:rsidRPr="00DF751A">
              <w:rPr>
                <w:rtl/>
              </w:rPr>
              <w:t>פטקוק</w:t>
            </w:r>
          </w:p>
        </w:tc>
        <w:tc>
          <w:tcPr>
            <w:tcW w:w="536" w:type="pct"/>
            <w:shd w:val="clear" w:color="auto" w:fill="DFECEF"/>
            <w:vAlign w:val="center"/>
            <w:hideMark/>
          </w:tcPr>
          <w:p w:rsidR="00F20E3F" w:rsidRPr="00DF751A" w:rsidP="0080333A" w14:paraId="16E736D3" w14:textId="77777777">
            <w:pPr>
              <w:pStyle w:val="71R"/>
              <w:rPr>
                <w:rtl/>
              </w:rPr>
            </w:pPr>
            <w:r w:rsidRPr="00DF751A">
              <w:t>0</w:t>
            </w:r>
          </w:p>
        </w:tc>
        <w:tc>
          <w:tcPr>
            <w:tcW w:w="537" w:type="pct"/>
            <w:shd w:val="clear" w:color="auto" w:fill="DFECEF"/>
            <w:vAlign w:val="center"/>
            <w:hideMark/>
          </w:tcPr>
          <w:p w:rsidR="00F20E3F" w:rsidRPr="00DF751A" w:rsidP="0080333A" w14:paraId="3F2EF8BF" w14:textId="77777777">
            <w:pPr>
              <w:pStyle w:val="71R"/>
            </w:pPr>
            <w:r w:rsidRPr="00DF751A">
              <w:t>8</w:t>
            </w:r>
          </w:p>
        </w:tc>
        <w:tc>
          <w:tcPr>
            <w:tcW w:w="536" w:type="pct"/>
            <w:shd w:val="clear" w:color="auto" w:fill="DFECEF"/>
            <w:vAlign w:val="center"/>
            <w:hideMark/>
          </w:tcPr>
          <w:p w:rsidR="00F20E3F" w:rsidRPr="00DF751A" w:rsidP="0080333A" w14:paraId="080984CB" w14:textId="77777777">
            <w:pPr>
              <w:pStyle w:val="71R"/>
            </w:pPr>
            <w:r w:rsidRPr="00DF751A">
              <w:t>16</w:t>
            </w:r>
          </w:p>
        </w:tc>
        <w:tc>
          <w:tcPr>
            <w:tcW w:w="537" w:type="pct"/>
            <w:shd w:val="clear" w:color="auto" w:fill="DFECEF"/>
            <w:vAlign w:val="center"/>
            <w:hideMark/>
          </w:tcPr>
          <w:p w:rsidR="00F20E3F" w:rsidRPr="00DF751A" w:rsidP="0080333A" w14:paraId="70380535" w14:textId="77777777">
            <w:pPr>
              <w:pStyle w:val="71R"/>
            </w:pPr>
            <w:r w:rsidRPr="00DF751A">
              <w:t>24</w:t>
            </w:r>
          </w:p>
        </w:tc>
        <w:tc>
          <w:tcPr>
            <w:tcW w:w="536" w:type="pct"/>
            <w:shd w:val="clear" w:color="auto" w:fill="DFECEF"/>
            <w:vAlign w:val="center"/>
            <w:hideMark/>
          </w:tcPr>
          <w:p w:rsidR="00F20E3F" w:rsidRPr="00DF751A" w:rsidP="0080333A" w14:paraId="302CBB90" w14:textId="77777777">
            <w:pPr>
              <w:pStyle w:val="71R"/>
            </w:pPr>
            <w:r w:rsidRPr="00DF751A">
              <w:t>33</w:t>
            </w:r>
          </w:p>
        </w:tc>
        <w:tc>
          <w:tcPr>
            <w:tcW w:w="537" w:type="pct"/>
            <w:shd w:val="clear" w:color="auto" w:fill="DFECEF"/>
            <w:vAlign w:val="center"/>
            <w:hideMark/>
          </w:tcPr>
          <w:p w:rsidR="00F20E3F" w:rsidRPr="00DF751A" w:rsidP="0080333A" w14:paraId="3F246026" w14:textId="77777777">
            <w:pPr>
              <w:pStyle w:val="71R"/>
            </w:pPr>
            <w:r w:rsidRPr="00DF751A">
              <w:t>43</w:t>
            </w:r>
          </w:p>
        </w:tc>
        <w:tc>
          <w:tcPr>
            <w:tcW w:w="537" w:type="pct"/>
            <w:shd w:val="clear" w:color="auto" w:fill="DFECEF"/>
            <w:vAlign w:val="center"/>
            <w:hideMark/>
          </w:tcPr>
          <w:p w:rsidR="00F20E3F" w:rsidRPr="00DF751A" w:rsidP="0080333A" w14:paraId="71896DAA" w14:textId="77777777">
            <w:pPr>
              <w:pStyle w:val="71R"/>
            </w:pPr>
            <w:r w:rsidRPr="00DF751A">
              <w:t>52</w:t>
            </w:r>
          </w:p>
        </w:tc>
      </w:tr>
    </w:tbl>
    <w:p w:rsidR="00F20E3F" w:rsidP="002F2907" w14:paraId="543EB70C" w14:textId="77777777">
      <w:pPr>
        <w:pStyle w:val="733"/>
        <w:rPr>
          <w:rtl/>
        </w:rPr>
      </w:pPr>
      <w:r w:rsidRPr="00F271A9">
        <w:rPr>
          <w:rFonts w:hint="cs"/>
          <w:b w:val="0"/>
          <w:bCs w:val="0"/>
          <w:rtl/>
        </w:rPr>
        <w:t>תרשים 37:</w:t>
      </w:r>
      <w:r w:rsidRPr="008B633C">
        <w:rPr>
          <w:rFonts w:hint="cs"/>
          <w:rtl/>
        </w:rPr>
        <w:t xml:space="preserve"> סה"כ תוספת ההכנסות </w:t>
      </w:r>
      <w:r w:rsidRPr="008B633C">
        <w:rPr>
          <w:rtl/>
        </w:rPr>
        <w:t>לפי אגף התקציבים ואגף הכלכלנית הראשית</w:t>
      </w:r>
      <w:r>
        <w:rPr>
          <w:rFonts w:hint="cs"/>
          <w:rtl/>
        </w:rPr>
        <w:t xml:space="preserve"> </w:t>
      </w:r>
      <w:r w:rsidRPr="00877F41">
        <w:rPr>
          <w:rFonts w:hint="cs"/>
          <w:rtl/>
        </w:rPr>
        <w:t>אילו היה מיושם מס פחמן</w:t>
      </w:r>
      <w:r w:rsidRPr="008B633C">
        <w:rPr>
          <w:rtl/>
        </w:rPr>
        <w:t xml:space="preserve"> (במיליוני ש"ח)</w:t>
      </w:r>
    </w:p>
    <w:p w:rsidR="00D8707F" w:rsidRPr="00D8707F" w:rsidP="00D8707F" w14:paraId="15075B5B" w14:textId="3534EA5F">
      <w:pPr>
        <w:rPr>
          <w:rtl/>
        </w:rPr>
      </w:pPr>
      <w:r>
        <w:rPr>
          <w:noProof/>
          <w:rtl/>
          <w:lang w:val="he-IL"/>
        </w:rPr>
        <w:drawing>
          <wp:inline distT="0" distB="0" distL="0" distR="0">
            <wp:extent cx="4679950" cy="3170697"/>
            <wp:effectExtent l="0" t="0" r="0" b="0"/>
            <wp:docPr id="2008442703" name="תמונה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288796" name="תמונה 43"/>
                    <pic:cNvPicPr/>
                  </pic:nvPicPr>
                  <pic:blipFill>
                    <a:blip xmlns:r="http://schemas.openxmlformats.org/officeDocument/2006/relationships" r:embed="rId41">
                      <a:extLst>
                        <a:ext xmlns:a="http://schemas.openxmlformats.org/drawingml/2006/main" uri="{28A0092B-C50C-407E-A947-70E740481C1C}">
                          <a14:useLocalDpi xmlns:a14="http://schemas.microsoft.com/office/drawing/2010/main" val="0"/>
                        </a:ext>
                      </a:extLst>
                    </a:blip>
                    <a:stretch>
                      <a:fillRect/>
                    </a:stretch>
                  </pic:blipFill>
                  <pic:spPr>
                    <a:xfrm>
                      <a:off x="0" y="0"/>
                      <a:ext cx="4679950" cy="3170697"/>
                    </a:xfrm>
                    <a:prstGeom prst="rect">
                      <a:avLst/>
                    </a:prstGeom>
                  </pic:spPr>
                </pic:pic>
              </a:graphicData>
            </a:graphic>
          </wp:inline>
        </w:drawing>
      </w:r>
    </w:p>
    <w:p w:rsidR="00F20E3F" w:rsidRPr="002F2907" w:rsidP="00D8707F" w14:paraId="68CFBA68" w14:textId="77777777">
      <w:pPr>
        <w:pStyle w:val="737"/>
        <w:spacing w:after="0"/>
        <w:rPr>
          <w:rtl/>
        </w:rPr>
      </w:pPr>
      <w:r w:rsidRPr="002F2907">
        <w:rPr>
          <w:rFonts w:hint="cs"/>
          <w:rtl/>
        </w:rPr>
        <w:t>המקור: נתוני אגף התקציבים ואגף הכלכלית הראשית במשרד האוצר, ובעיבוד משרד מבקר המדינה</w:t>
      </w:r>
    </w:p>
    <w:p w:rsidR="00F20E3F" w:rsidRPr="002F2907" w:rsidP="00D8707F" w14:paraId="042F0838" w14:textId="19C6F2B2">
      <w:pPr>
        <w:pStyle w:val="737"/>
        <w:spacing w:before="0"/>
        <w:ind w:left="424" w:hanging="424"/>
        <w:rPr>
          <w:rtl/>
        </w:rPr>
      </w:pPr>
      <w:r w:rsidRPr="002F2907">
        <w:rPr>
          <w:rFonts w:hint="cs"/>
          <w:rtl/>
        </w:rPr>
        <w:t xml:space="preserve">* </w:t>
      </w:r>
      <w:r w:rsidR="00D8707F">
        <w:rPr>
          <w:rtl/>
        </w:rPr>
        <w:tab/>
      </w:r>
      <w:r w:rsidRPr="002F2907">
        <w:rPr>
          <w:rtl/>
        </w:rPr>
        <w:t xml:space="preserve">חישוב </w:t>
      </w:r>
      <w:r w:rsidRPr="002F2907">
        <w:rPr>
          <w:rFonts w:hint="cs"/>
          <w:rtl/>
        </w:rPr>
        <w:t>אגף הכלכלנית הראשית ב</w:t>
      </w:r>
      <w:r w:rsidRPr="002F2907">
        <w:rPr>
          <w:rtl/>
        </w:rPr>
        <w:t>הנחה ש</w:t>
      </w:r>
      <w:r w:rsidRPr="002F2907">
        <w:rPr>
          <w:rFonts w:hint="eastAsia"/>
          <w:rtl/>
        </w:rPr>
        <w:t>ל</w:t>
      </w:r>
      <w:r w:rsidRPr="002F2907">
        <w:rPr>
          <w:rFonts w:hint="cs"/>
          <w:rtl/>
        </w:rPr>
        <w:t xml:space="preserve"> </w:t>
      </w:r>
      <w:r w:rsidRPr="002F2907">
        <w:rPr>
          <w:rtl/>
        </w:rPr>
        <w:t xml:space="preserve">ירידה </w:t>
      </w:r>
      <w:r w:rsidRPr="002F2907">
        <w:rPr>
          <w:rFonts w:hint="cs"/>
          <w:rtl/>
        </w:rPr>
        <w:t xml:space="preserve">בצריכה </w:t>
      </w:r>
      <w:r w:rsidRPr="002F2907">
        <w:rPr>
          <w:rtl/>
        </w:rPr>
        <w:t xml:space="preserve">שנתית של 10% </w:t>
      </w:r>
      <w:r w:rsidRPr="002F2907">
        <w:rPr>
          <w:rtl/>
        </w:rPr>
        <w:t>בפטקוק</w:t>
      </w:r>
      <w:r w:rsidRPr="002F2907">
        <w:rPr>
          <w:rFonts w:hint="cs"/>
          <w:rtl/>
        </w:rPr>
        <w:t xml:space="preserve"> ושל</w:t>
      </w:r>
      <w:r w:rsidRPr="002F2907">
        <w:rPr>
          <w:rtl/>
        </w:rPr>
        <w:t xml:space="preserve"> 50% </w:t>
      </w:r>
      <w:r w:rsidRPr="002F2907">
        <w:rPr>
          <w:rFonts w:hint="cs"/>
          <w:rtl/>
        </w:rPr>
        <w:t>ב</w:t>
      </w:r>
      <w:r w:rsidRPr="002F2907">
        <w:rPr>
          <w:rtl/>
        </w:rPr>
        <w:t xml:space="preserve">מזוט בתעשייה </w:t>
      </w:r>
      <w:r w:rsidRPr="002F2907">
        <w:rPr>
          <w:rFonts w:hint="cs"/>
          <w:rtl/>
        </w:rPr>
        <w:t xml:space="preserve">(עד 2030) </w:t>
      </w:r>
      <w:r w:rsidRPr="002F2907">
        <w:rPr>
          <w:rtl/>
        </w:rPr>
        <w:t>ללא קשר למתווה</w:t>
      </w:r>
      <w:r w:rsidRPr="002F2907">
        <w:rPr>
          <w:rFonts w:hint="cs"/>
          <w:rtl/>
        </w:rPr>
        <w:t>.</w:t>
      </w:r>
    </w:p>
    <w:p w:rsidR="00F20E3F" w:rsidRPr="00215F0A" w:rsidP="00215F0A" w14:paraId="1B5AF70E" w14:textId="77777777">
      <w:pPr>
        <w:pStyle w:val="7392"/>
        <w:rPr>
          <w:rtl/>
        </w:rPr>
      </w:pPr>
      <w:r w:rsidRPr="00215F0A">
        <w:rPr>
          <w:rFonts w:hint="cs"/>
          <w:rtl/>
        </w:rPr>
        <w:t>מהנתונים לעיל עולה כי כבר בשנת 2023 היו אמורים להתקבל תקבולים ראשונים לאוצר המדינה בסך 259 מיליון ש"ח, ובסך הכול היו מתקבלים עד שנת 2028 כ-6.5 מיליארד ש"ח (לפי אגף הכלכלנית הראשית) ו-7.5 מיליארד ש"ח (לפי אגף תקציבים). כמו כן, לפי אגף התקציבים סכום זה היה מגיע לכ-21.5 מיליארד ש"ח עד שנת 2033. גם בעניין ייעוד תקבולי מס הפחמן החלטת הממשלה 286 לא עסקה, והנושא נותר ללא הכרעה.</w:t>
      </w:r>
    </w:p>
    <w:p w:rsidR="00F20E3F" w:rsidRPr="00CA7E0D" w:rsidP="00CA7E0D" w14:paraId="0BC49C18" w14:textId="236F6C52">
      <w:pPr>
        <w:pStyle w:val="7317"/>
        <w:rPr>
          <w:rtl/>
        </w:rPr>
      </w:pPr>
      <w:r w:rsidRPr="00CA7E0D">
        <w:rPr>
          <w:rFonts w:hint="cs"/>
          <w:rtl/>
        </w:rPr>
        <w:t xml:space="preserve">בדוח הקודם עלה כי לאחר יותר מ-13 שנים של דיונים בנושא תמחור פחמן, התקבלה החלטת הממשלה 286 על החלה הדרגתית של מס פחמן על חלק מהדלקים, וזאת החל בשנת 2023. בביקורת המעקב עלה כי נכון </w:t>
      </w:r>
      <w:r w:rsidR="00523140">
        <w:rPr>
          <w:rFonts w:hint="cs"/>
          <w:rtl/>
        </w:rPr>
        <w:t>לנובמבר</w:t>
      </w:r>
      <w:r w:rsidRPr="00CA7E0D">
        <w:rPr>
          <w:rFonts w:hint="cs"/>
          <w:rtl/>
        </w:rPr>
        <w:t xml:space="preserve"> 2023 לא הוחל מס פחמן (בהמשך לדיון בוועדת הכספים מדצמבר 2021), ובפועל ההחלטה אינה מיושמת, ואין בשלב זה נכונות של משרד האוצר לקדם את יישומה אף שמתווה מס הפחמן אמור להיות מיושם באופן מדורג, ובכל הקשור למשקי בית הוא משיט עלות נמוכה עד מתונה של 32 ש"ח לחודש בממוצע למשק בית. הדבר אף אינו עולה בקנה אחד עם המלצות חוזרות של ארגון </w:t>
      </w:r>
      <w:r w:rsidR="00761E16">
        <w:rPr>
          <w:rtl/>
        </w:rPr>
        <w:br/>
      </w:r>
      <w:r w:rsidRPr="00CA7E0D">
        <w:rPr>
          <w:rFonts w:hint="cs"/>
          <w:rtl/>
        </w:rPr>
        <w:t>ה-</w:t>
      </w:r>
      <w:r w:rsidRPr="00CA7E0D">
        <w:rPr>
          <w:rFonts w:hint="cs"/>
        </w:rPr>
        <w:t>OECD</w:t>
      </w:r>
      <w:r w:rsidRPr="00CA7E0D">
        <w:rPr>
          <w:rFonts w:hint="cs"/>
          <w:rtl/>
        </w:rPr>
        <w:t xml:space="preserve"> בנושא, לרבות המלצתו האחרונה בסקר ביצועים סביבתיים של ישראל משנת 2023. אי-יישום מס הפחמן יגרע הכנסה </w:t>
      </w:r>
      <w:r w:rsidRPr="00CA7E0D">
        <w:rPr>
          <w:rtl/>
        </w:rPr>
        <w:t>של יותר מ-2</w:t>
      </w:r>
      <w:r w:rsidR="00DC569B">
        <w:rPr>
          <w:rFonts w:hint="cs"/>
          <w:rtl/>
        </w:rPr>
        <w:t>50</w:t>
      </w:r>
      <w:r w:rsidRPr="00CA7E0D">
        <w:rPr>
          <w:rtl/>
        </w:rPr>
        <w:t xml:space="preserve"> מילי</w:t>
      </w:r>
      <w:r w:rsidR="00DC569B">
        <w:rPr>
          <w:rFonts w:hint="cs"/>
          <w:rtl/>
        </w:rPr>
        <w:t>ון</w:t>
      </w:r>
      <w:r w:rsidRPr="00CA7E0D">
        <w:rPr>
          <w:rtl/>
        </w:rPr>
        <w:t xml:space="preserve"> ש"ח בשנ</w:t>
      </w:r>
      <w:r w:rsidRPr="00CA7E0D">
        <w:rPr>
          <w:rFonts w:hint="cs"/>
          <w:rtl/>
        </w:rPr>
        <w:t>ת 2023, ושל יותר מ-7.5</w:t>
      </w:r>
      <w:r w:rsidRPr="00CA7E0D">
        <w:rPr>
          <w:rtl/>
        </w:rPr>
        <w:t xml:space="preserve"> מיליארד ש"ח</w:t>
      </w:r>
      <w:r w:rsidRPr="00CA7E0D">
        <w:rPr>
          <w:rFonts w:hint="cs"/>
          <w:rtl/>
        </w:rPr>
        <w:t xml:space="preserve"> בשנים</w:t>
      </w:r>
      <w:r w:rsidRPr="00CA7E0D">
        <w:rPr>
          <w:rtl/>
        </w:rPr>
        <w:t xml:space="preserve"> 2023 עד</w:t>
      </w:r>
      <w:r w:rsidRPr="00CA7E0D">
        <w:rPr>
          <w:rFonts w:hint="cs"/>
          <w:rtl/>
        </w:rPr>
        <w:t xml:space="preserve"> </w:t>
      </w:r>
      <w:r w:rsidRPr="00CA7E0D">
        <w:rPr>
          <w:rtl/>
        </w:rPr>
        <w:t>2028</w:t>
      </w:r>
      <w:r w:rsidRPr="00CA7E0D">
        <w:rPr>
          <w:rFonts w:hint="cs"/>
          <w:rtl/>
        </w:rPr>
        <w:t xml:space="preserve"> (במצטבר)</w:t>
      </w:r>
      <w:r w:rsidRPr="00CA7E0D">
        <w:rPr>
          <w:rtl/>
        </w:rPr>
        <w:t>, לפי אגף התקציבים במשרד האוצר.</w:t>
      </w:r>
      <w:r w:rsidRPr="00CA7E0D">
        <w:rPr>
          <w:rFonts w:hint="cs"/>
          <w:rtl/>
        </w:rPr>
        <w:t xml:space="preserve"> כמו כן, </w:t>
      </w:r>
      <w:r w:rsidRPr="00CA7E0D">
        <w:rPr>
          <w:rtl/>
        </w:rPr>
        <w:t>לאור חקיקה שנכנסה לתוקף</w:t>
      </w:r>
      <w:r w:rsidRPr="00CA7E0D">
        <w:rPr>
          <w:rFonts w:hint="cs"/>
          <w:rtl/>
        </w:rPr>
        <w:t xml:space="preserve"> באיחוד האירופי בדצמבר 2022 ובהיעדר מס פחמן בישראל, יצואנים ישראלים צפויים להידרש </w:t>
      </w:r>
      <w:r w:rsidRPr="00CA7E0D">
        <w:rPr>
          <w:rtl/>
        </w:rPr>
        <w:t xml:space="preserve">לשלם </w:t>
      </w:r>
      <w:r w:rsidRPr="00CA7E0D">
        <w:rPr>
          <w:rFonts w:hint="cs"/>
          <w:rtl/>
        </w:rPr>
        <w:t>בשנים הקרובות פערי מס פחמן בגבולות האיחוד, כ</w:t>
      </w:r>
      <w:r w:rsidRPr="00CA7E0D">
        <w:rPr>
          <w:rtl/>
        </w:rPr>
        <w:t>פי שיפורט בהמשך.</w:t>
      </w:r>
    </w:p>
    <w:p w:rsidR="00F20E3F" w:rsidRPr="00CA7E0D" w:rsidP="00CA7E0D" w14:paraId="10A50D8D" w14:textId="4BF2E57D">
      <w:pPr>
        <w:pStyle w:val="7317"/>
        <w:rPr>
          <w:rtl/>
        </w:rPr>
      </w:pPr>
      <w:r w:rsidRPr="00DC569B">
        <w:rPr>
          <w:rtl/>
        </w:rPr>
        <w:t xml:space="preserve">עוד עלה כי משרדי האוצר, </w:t>
      </w:r>
      <w:r w:rsidRPr="00DC569B">
        <w:rPr>
          <w:rtl/>
        </w:rPr>
        <w:t>הג"ס</w:t>
      </w:r>
      <w:r w:rsidRPr="00DC569B">
        <w:rPr>
          <w:rtl/>
        </w:rPr>
        <w:t xml:space="preserve">, הכלכלה </w:t>
      </w:r>
      <w:r w:rsidRPr="00DC569B">
        <w:rPr>
          <w:rtl/>
        </w:rPr>
        <w:t>והאנרגייה</w:t>
      </w:r>
      <w:r w:rsidRPr="00DC569B">
        <w:rPr>
          <w:rtl/>
        </w:rPr>
        <w:t xml:space="preserve"> לא סיימו לגבש בד בבד עם החלטת הממשלה 286 את המנגנונים המשלימים למס הפחמן - קרי, תמיכה במשקי בית בקרב אוכלוסיות ראויות לקידום; פיצוי לענפי תעשייה עתירי </w:t>
      </w:r>
      <w:r w:rsidRPr="00DC569B">
        <w:rPr>
          <w:rtl/>
        </w:rPr>
        <w:t>אנרגייה</w:t>
      </w:r>
      <w:r w:rsidRPr="00DC569B">
        <w:rPr>
          <w:rtl/>
        </w:rPr>
        <w:t xml:space="preserve"> כדי לשמר את התחרותיות של התעשייה הישראלית; ומנגנון מיסוי כללי אשר יישומו יוביל לקיזוז או למיתון העלייה ביוקר המחיה. את המנגנונים הללו נדרש להסדיר בד בבד עם הטלת מס הפחמן, ואף הוצע להסדירם במסגרת דוח ועדת מיסוי ירוק 3 - היעדר הסדרתם מנע בפועל את יישומו של מס הפחמן, והוא מקשה </w:t>
      </w:r>
      <w:r w:rsidR="00263F47">
        <w:rPr>
          <w:rFonts w:hint="cs"/>
          <w:rtl/>
        </w:rPr>
        <w:t>על כך</w:t>
      </w:r>
      <w:r w:rsidRPr="00DC569B">
        <w:rPr>
          <w:rtl/>
        </w:rPr>
        <w:t xml:space="preserve"> גם בשנים 2022 עד 2023</w:t>
      </w:r>
      <w:r w:rsidRPr="00CA7E0D">
        <w:rPr>
          <w:rFonts w:hint="cs"/>
          <w:rtl/>
        </w:rPr>
        <w:t xml:space="preserve">. </w:t>
      </w:r>
    </w:p>
    <w:p w:rsidR="00F20E3F" w:rsidRPr="00CA7E0D" w:rsidP="00CA7E0D" w14:paraId="2705A2FB" w14:textId="77777777">
      <w:pPr>
        <w:pStyle w:val="7392"/>
        <w:rPr>
          <w:rtl/>
        </w:rPr>
      </w:pPr>
      <w:r w:rsidRPr="00CA7E0D">
        <w:rPr>
          <w:rFonts w:hint="cs"/>
          <w:rtl/>
        </w:rPr>
        <w:t>אגף התקציבים במשרד האוצר מסר בתשובתו כי בעת הזו יש "קושי בהיתכנות ציבורית" להחלת מס פחמן, ו</w:t>
      </w:r>
      <w:r w:rsidRPr="00CA7E0D">
        <w:rPr>
          <w:rtl/>
        </w:rPr>
        <w:t>כי</w:t>
      </w:r>
      <w:r w:rsidRPr="00CA7E0D">
        <w:rPr>
          <w:rFonts w:hint="cs"/>
          <w:rtl/>
        </w:rPr>
        <w:t xml:space="preserve"> עמדתו המקצועית היא</w:t>
      </w:r>
      <w:r w:rsidRPr="00CA7E0D">
        <w:rPr>
          <w:rtl/>
        </w:rPr>
        <w:t xml:space="preserve"> </w:t>
      </w:r>
      <w:r w:rsidRPr="00CA7E0D">
        <w:rPr>
          <w:rFonts w:hint="cs"/>
          <w:rtl/>
        </w:rPr>
        <w:t>ש</w:t>
      </w:r>
      <w:r w:rsidRPr="00CA7E0D">
        <w:rPr>
          <w:rtl/>
        </w:rPr>
        <w:t>יש להפנים עלויות חיצוניות באמצעות מיסים.</w:t>
      </w:r>
      <w:r w:rsidRPr="00CA7E0D">
        <w:rPr>
          <w:rFonts w:hint="cs"/>
          <w:rtl/>
        </w:rPr>
        <w:t xml:space="preserve"> עוד מסר אגף התקציבים בתשובתו כי "</w:t>
      </w:r>
      <w:r w:rsidRPr="00CA7E0D">
        <w:rPr>
          <w:rtl/>
        </w:rPr>
        <w:t>אגף התקציבים סבור שמיסוי השפעות חיצוניות הוא ככלל נכון, ולפיכך יש לקדם את ההצעה</w:t>
      </w:r>
      <w:r w:rsidRPr="00CA7E0D">
        <w:rPr>
          <w:rFonts w:hint="cs"/>
          <w:rtl/>
        </w:rPr>
        <w:t xml:space="preserve">... </w:t>
      </w:r>
      <w:r w:rsidRPr="00CA7E0D">
        <w:rPr>
          <w:rtl/>
        </w:rPr>
        <w:t xml:space="preserve">ובפרט לאור טענתכם </w:t>
      </w:r>
      <w:r w:rsidRPr="00CA7E0D">
        <w:rPr>
          <w:rFonts w:hint="cs"/>
          <w:rtl/>
        </w:rPr>
        <w:t xml:space="preserve">[של הביקורת] </w:t>
      </w:r>
      <w:r w:rsidRPr="00CA7E0D">
        <w:rPr>
          <w:rtl/>
        </w:rPr>
        <w:t>הנכונה כי המתווה המוצע הינו מדורג. עם זאת</w:t>
      </w:r>
      <w:r w:rsidRPr="00CA7E0D">
        <w:rPr>
          <w:rFonts w:hint="cs"/>
          <w:rtl/>
        </w:rPr>
        <w:t xml:space="preserve">... </w:t>
      </w:r>
      <w:r w:rsidRPr="00CA7E0D">
        <w:rPr>
          <w:rtl/>
        </w:rPr>
        <w:t>יש לקחת בחשבון שקבלת החלטה על החלת מס חדש בעת אינפלציה מייצרת התנגדות ציבורית ולפיכך תתקל בקושי ציבורי, ויש למצוא פתרונות חלופיים לתת מענה לנושא</w:t>
      </w:r>
      <w:r w:rsidRPr="00CA7E0D">
        <w:rPr>
          <w:rFonts w:hint="cs"/>
          <w:rtl/>
        </w:rPr>
        <w:t>".</w:t>
      </w:r>
    </w:p>
    <w:p w:rsidR="00F20E3F" w:rsidRPr="00CA7E0D" w:rsidP="00CA7E0D" w14:paraId="1E4A38F9" w14:textId="0CE8F3A7">
      <w:pPr>
        <w:pStyle w:val="7392"/>
        <w:rPr>
          <w:rtl/>
        </w:rPr>
      </w:pPr>
      <w:r w:rsidRPr="00CA7E0D">
        <w:rPr>
          <w:rtl/>
        </w:rPr>
        <w:t>משרד הכלכלה</w:t>
      </w:r>
      <w:r w:rsidRPr="00CA7E0D">
        <w:rPr>
          <w:rFonts w:hint="cs"/>
          <w:rtl/>
        </w:rPr>
        <w:t xml:space="preserve"> מסר בתשובתו למשרד מבקר המדינה מאוגוסט 2023 (להלן - תשובת משרד הכלכלה)</w:t>
      </w:r>
      <w:r w:rsidRPr="00CA7E0D">
        <w:rPr>
          <w:rFonts w:hint="cs"/>
        </w:rPr>
        <w:t xml:space="preserve"> </w:t>
      </w:r>
      <w:r w:rsidRPr="00CA7E0D">
        <w:rPr>
          <w:rFonts w:hint="cs"/>
          <w:rtl/>
        </w:rPr>
        <w:t>כי</w:t>
      </w:r>
      <w:r w:rsidRPr="00CA7E0D">
        <w:rPr>
          <w:rtl/>
        </w:rPr>
        <w:t xml:space="preserve"> אכן חסרה עבודה רבה </w:t>
      </w:r>
      <w:r w:rsidRPr="00CA7E0D">
        <w:rPr>
          <w:rFonts w:hint="cs"/>
          <w:rtl/>
        </w:rPr>
        <w:t>כמפורט בדוח</w:t>
      </w:r>
      <w:r w:rsidRPr="00CA7E0D">
        <w:rPr>
          <w:rtl/>
        </w:rPr>
        <w:t xml:space="preserve"> </w:t>
      </w:r>
      <w:r w:rsidRPr="00CA7E0D">
        <w:rPr>
          <w:rFonts w:hint="cs"/>
          <w:rtl/>
        </w:rPr>
        <w:t xml:space="preserve">הביקורת, וכי הוא מצוי </w:t>
      </w:r>
      <w:r w:rsidRPr="00CA7E0D">
        <w:rPr>
          <w:rtl/>
        </w:rPr>
        <w:t>בתחילת תהליך</w:t>
      </w:r>
      <w:r w:rsidRPr="00CA7E0D">
        <w:rPr>
          <w:rFonts w:hint="cs"/>
          <w:rtl/>
        </w:rPr>
        <w:t xml:space="preserve"> </w:t>
      </w:r>
      <w:r w:rsidRPr="00CA7E0D">
        <w:rPr>
          <w:rtl/>
        </w:rPr>
        <w:t>להשלמת העבודה הנדרשת ומציאת פתרונות גם למנגנונים המשלימים לתעשייה וגם ב</w:t>
      </w:r>
      <w:r w:rsidRPr="00CA7E0D">
        <w:rPr>
          <w:rFonts w:hint="cs"/>
          <w:rtl/>
        </w:rPr>
        <w:t>תהליך ב</w:t>
      </w:r>
      <w:r w:rsidRPr="00CA7E0D">
        <w:rPr>
          <w:rtl/>
        </w:rPr>
        <w:t>חינת עומק</w:t>
      </w:r>
      <w:r w:rsidRPr="00CA7E0D">
        <w:rPr>
          <w:rFonts w:hint="cs"/>
          <w:rtl/>
        </w:rPr>
        <w:t xml:space="preserve"> </w:t>
      </w:r>
      <w:r w:rsidRPr="00CA7E0D">
        <w:rPr>
          <w:rtl/>
        </w:rPr>
        <w:t>לצורת מיסוי הפחמן הרצויה.</w:t>
      </w:r>
      <w:r w:rsidRPr="00CA7E0D">
        <w:rPr>
          <w:rFonts w:hint="cs"/>
          <w:rtl/>
        </w:rPr>
        <w:t xml:space="preserve"> עוד מסר המשרד </w:t>
      </w:r>
      <w:r w:rsidRPr="00CA7E0D">
        <w:rPr>
          <w:rtl/>
        </w:rPr>
        <w:t>כי אם יוחלט לאמץ צורה כלשהי של תמחור פחמן</w:t>
      </w:r>
      <w:r w:rsidRPr="00CA7E0D">
        <w:rPr>
          <w:rFonts w:hint="cs"/>
          <w:rtl/>
        </w:rPr>
        <w:t>,</w:t>
      </w:r>
      <w:r w:rsidRPr="00CA7E0D">
        <w:rPr>
          <w:rtl/>
        </w:rPr>
        <w:t xml:space="preserve"> יש לעשות זאת </w:t>
      </w:r>
      <w:r w:rsidRPr="00CA7E0D">
        <w:rPr>
          <w:rFonts w:hint="cs"/>
          <w:rtl/>
        </w:rPr>
        <w:t xml:space="preserve">באמצעות </w:t>
      </w:r>
      <w:r w:rsidRPr="00CA7E0D">
        <w:rPr>
          <w:rtl/>
        </w:rPr>
        <w:t>מנגנון הגנה על התעשייה</w:t>
      </w:r>
      <w:r w:rsidRPr="00CA7E0D">
        <w:rPr>
          <w:rFonts w:hint="cs"/>
          <w:rtl/>
        </w:rPr>
        <w:t xml:space="preserve"> </w:t>
      </w:r>
      <w:r w:rsidRPr="00CA7E0D">
        <w:rPr>
          <w:rtl/>
        </w:rPr>
        <w:t>בדומה לנעשה במס הגבולות באירופה</w:t>
      </w:r>
      <w:r w:rsidRPr="00CA7E0D">
        <w:rPr>
          <w:rFonts w:hint="cs"/>
          <w:rtl/>
        </w:rPr>
        <w:t xml:space="preserve">, תוך </w:t>
      </w:r>
      <w:r w:rsidRPr="00CA7E0D">
        <w:rPr>
          <w:rtl/>
        </w:rPr>
        <w:t xml:space="preserve">שמירה על </w:t>
      </w:r>
      <w:r w:rsidRPr="00CA7E0D">
        <w:rPr>
          <w:rFonts w:hint="cs"/>
          <w:rtl/>
        </w:rPr>
        <w:t>ה</w:t>
      </w:r>
      <w:r w:rsidRPr="00CA7E0D">
        <w:rPr>
          <w:rtl/>
        </w:rPr>
        <w:t>תחרותיות</w:t>
      </w:r>
      <w:r w:rsidRPr="00CA7E0D">
        <w:rPr>
          <w:rFonts w:hint="cs"/>
          <w:rtl/>
        </w:rPr>
        <w:t xml:space="preserve"> ו</w:t>
      </w:r>
      <w:r w:rsidRPr="00CA7E0D">
        <w:rPr>
          <w:rtl/>
        </w:rPr>
        <w:t>החזרת מרב הכספים מהמס הנגבה בה לפרויקטים</w:t>
      </w:r>
      <w:r w:rsidRPr="00CA7E0D">
        <w:rPr>
          <w:rFonts w:hint="cs"/>
          <w:rtl/>
        </w:rPr>
        <w:t xml:space="preserve"> </w:t>
      </w:r>
      <w:r w:rsidRPr="00CA7E0D">
        <w:rPr>
          <w:rtl/>
        </w:rPr>
        <w:t>להתייעלות אנרגטית ו</w:t>
      </w:r>
      <w:r w:rsidRPr="00CA7E0D">
        <w:rPr>
          <w:rFonts w:hint="cs"/>
          <w:rtl/>
        </w:rPr>
        <w:t>ל</w:t>
      </w:r>
      <w:r w:rsidRPr="00CA7E0D">
        <w:rPr>
          <w:rtl/>
        </w:rPr>
        <w:t>הפחתת פליטות</w:t>
      </w:r>
      <w:r w:rsidRPr="00CA7E0D">
        <w:rPr>
          <w:rFonts w:hint="cs"/>
          <w:rtl/>
        </w:rPr>
        <w:t xml:space="preserve"> </w:t>
      </w:r>
      <w:r w:rsidRPr="00CA7E0D">
        <w:rPr>
          <w:rFonts w:hint="cs"/>
          <w:rtl/>
        </w:rPr>
        <w:t>במסקטור</w:t>
      </w:r>
      <w:r w:rsidRPr="00CA7E0D">
        <w:rPr>
          <w:rFonts w:hint="cs"/>
          <w:rtl/>
        </w:rPr>
        <w:t xml:space="preserve"> זה.</w:t>
      </w:r>
    </w:p>
    <w:p w:rsidR="00F20E3F" w:rsidP="00CA7E0D" w14:paraId="20786E5E" w14:textId="77777777">
      <w:pPr>
        <w:pStyle w:val="716"/>
        <w:rPr>
          <w:rtl/>
        </w:rPr>
      </w:pPr>
      <w:r w:rsidRPr="00CB79A7">
        <w:rPr>
          <w:rFonts w:hint="cs"/>
          <w:rtl/>
        </w:rPr>
        <w:t xml:space="preserve">בשנת 2021, לאחר שנים של דיונים ועבודות ממשלתיות בנושא, החליטה ממשלת ישראל להחיל מס פחמן במתווה </w:t>
      </w:r>
      <w:r>
        <w:rPr>
          <w:rFonts w:hint="cs"/>
          <w:rtl/>
        </w:rPr>
        <w:t>ש</w:t>
      </w:r>
      <w:r w:rsidRPr="00CB79A7">
        <w:rPr>
          <w:rFonts w:hint="cs"/>
          <w:rtl/>
        </w:rPr>
        <w:t xml:space="preserve">עליו הוחלט בהחלטת </w:t>
      </w:r>
      <w:r>
        <w:rPr>
          <w:rFonts w:hint="cs"/>
          <w:rtl/>
        </w:rPr>
        <w:t>ה</w:t>
      </w:r>
      <w:r w:rsidRPr="00CB79A7">
        <w:rPr>
          <w:rFonts w:hint="cs"/>
          <w:rtl/>
        </w:rPr>
        <w:t>ממשלה 286</w:t>
      </w:r>
      <w:r>
        <w:rPr>
          <w:rFonts w:hint="cs"/>
          <w:rtl/>
        </w:rPr>
        <w:t>. מדובר במתווה הדרגתי לטווח ארוך מאוד, ובמהלכו מחירי הדלקים אכן עשויים להיות תנודתיים, ועל כן מידת יישומו של מס הפחמן לא יכולה להיות תלויה במחירי הדלקים</w:t>
      </w:r>
      <w:r w:rsidRPr="00CB79A7">
        <w:rPr>
          <w:rFonts w:hint="cs"/>
          <w:rtl/>
        </w:rPr>
        <w:t>.</w:t>
      </w:r>
      <w:r>
        <w:rPr>
          <w:rFonts w:hint="cs"/>
          <w:rtl/>
        </w:rPr>
        <w:t xml:space="preserve"> משרד מבקר המדינה חוזר אפוא על המלצתו בדוח הקודם, ולפיה</w:t>
      </w:r>
      <w:r w:rsidRPr="00CB79A7">
        <w:rPr>
          <w:rFonts w:hint="cs"/>
          <w:rtl/>
        </w:rPr>
        <w:t xml:space="preserve"> </w:t>
      </w:r>
      <w:r>
        <w:rPr>
          <w:rFonts w:hint="cs"/>
          <w:rtl/>
        </w:rPr>
        <w:t xml:space="preserve">בד בבד עם הגיבוש הסופי של המנגנונים המשלימים שיסייעו למזער את הנזק לתעשייה ולאוכלוסיות </w:t>
      </w:r>
      <w:r w:rsidRPr="00AA61F7">
        <w:rPr>
          <w:rtl/>
        </w:rPr>
        <w:t>ראויות לקידום</w:t>
      </w:r>
      <w:r>
        <w:rPr>
          <w:rFonts w:hint="cs"/>
          <w:rtl/>
        </w:rPr>
        <w:t xml:space="preserve"> ועם תיקופם, יפעלו</w:t>
      </w:r>
      <w:r w:rsidRPr="00CB79A7">
        <w:rPr>
          <w:rFonts w:hint="cs"/>
          <w:rtl/>
        </w:rPr>
        <w:t xml:space="preserve"> משרד</w:t>
      </w:r>
      <w:r>
        <w:rPr>
          <w:rFonts w:hint="cs"/>
          <w:rtl/>
        </w:rPr>
        <w:t>י</w:t>
      </w:r>
      <w:r w:rsidRPr="00CB79A7">
        <w:rPr>
          <w:rFonts w:hint="cs"/>
          <w:rtl/>
        </w:rPr>
        <w:t xml:space="preserve"> האוצר,</w:t>
      </w:r>
      <w:r>
        <w:rPr>
          <w:rFonts w:hint="cs"/>
          <w:rtl/>
        </w:rPr>
        <w:t xml:space="preserve"> </w:t>
      </w:r>
      <w:r w:rsidRPr="00CB79A7">
        <w:rPr>
          <w:rFonts w:hint="cs"/>
          <w:rtl/>
        </w:rPr>
        <w:t>הג"ס</w:t>
      </w:r>
      <w:r>
        <w:rPr>
          <w:rFonts w:hint="cs"/>
          <w:rtl/>
        </w:rPr>
        <w:t>, הכלכלה</w:t>
      </w:r>
      <w:r w:rsidRPr="00CB79A7">
        <w:rPr>
          <w:rFonts w:hint="cs"/>
          <w:rtl/>
        </w:rPr>
        <w:t xml:space="preserve"> </w:t>
      </w:r>
      <w:r w:rsidRPr="00CB79A7">
        <w:rPr>
          <w:rFonts w:hint="cs"/>
          <w:rtl/>
        </w:rPr>
        <w:t>וה</w:t>
      </w:r>
      <w:r>
        <w:rPr>
          <w:rFonts w:hint="cs"/>
          <w:rtl/>
        </w:rPr>
        <w:t>אנרגייה</w:t>
      </w:r>
      <w:r w:rsidRPr="00CB79A7">
        <w:rPr>
          <w:rFonts w:hint="cs"/>
          <w:rtl/>
        </w:rPr>
        <w:t xml:space="preserve"> ליישום </w:t>
      </w:r>
      <w:r>
        <w:rPr>
          <w:rFonts w:hint="cs"/>
          <w:rtl/>
        </w:rPr>
        <w:t>ה</w:t>
      </w:r>
      <w:r w:rsidRPr="00CB79A7">
        <w:rPr>
          <w:rFonts w:hint="cs"/>
          <w:rtl/>
        </w:rPr>
        <w:t>חלט</w:t>
      </w:r>
      <w:r>
        <w:rPr>
          <w:rFonts w:hint="cs"/>
          <w:rtl/>
        </w:rPr>
        <w:t>ת הממשלה בנושא</w:t>
      </w:r>
      <w:r w:rsidRPr="00CB79A7">
        <w:rPr>
          <w:rFonts w:hint="cs"/>
          <w:rtl/>
        </w:rPr>
        <w:t xml:space="preserve">. במסגרת זו יפעל משרד האוצר </w:t>
      </w:r>
      <w:r>
        <w:rPr>
          <w:rFonts w:hint="cs"/>
          <w:rtl/>
        </w:rPr>
        <w:t xml:space="preserve">בו-זמנית </w:t>
      </w:r>
      <w:r w:rsidRPr="00CB79A7">
        <w:rPr>
          <w:rFonts w:hint="cs"/>
          <w:rtl/>
        </w:rPr>
        <w:t>לחתימה מחדש על הצווים ולאישור</w:t>
      </w:r>
      <w:r>
        <w:rPr>
          <w:rFonts w:hint="cs"/>
          <w:rtl/>
        </w:rPr>
        <w:t>ם</w:t>
      </w:r>
      <w:r w:rsidRPr="00CB79A7">
        <w:rPr>
          <w:rFonts w:hint="cs"/>
          <w:rtl/>
        </w:rPr>
        <w:t xml:space="preserve"> בו</w:t>
      </w:r>
      <w:r>
        <w:rPr>
          <w:rFonts w:hint="cs"/>
          <w:rtl/>
        </w:rPr>
        <w:t>ו</w:t>
      </w:r>
      <w:r w:rsidRPr="00CB79A7">
        <w:rPr>
          <w:rFonts w:hint="cs"/>
          <w:rtl/>
        </w:rPr>
        <w:t>עדת הכספים</w:t>
      </w:r>
      <w:r>
        <w:rPr>
          <w:rFonts w:hint="cs"/>
          <w:rtl/>
        </w:rPr>
        <w:t xml:space="preserve"> ויגבש אמות מידה מושכלות לשימוש בתקבולים, לרבות בכל הנוגע לשאלת ייעודם לנושאי אקלים ולצמצום השפעת מס הפחמן על יוקר המחיה.</w:t>
      </w:r>
      <w:r w:rsidRPr="00490012">
        <w:rPr>
          <w:rFonts w:hint="cs"/>
          <w:rtl/>
        </w:rPr>
        <w:t xml:space="preserve"> </w:t>
      </w:r>
      <w:r>
        <w:rPr>
          <w:rFonts w:hint="cs"/>
          <w:rtl/>
        </w:rPr>
        <w:t xml:space="preserve">בתוך כך, כיוון שמדובר בכלי מדיניות </w:t>
      </w:r>
      <w:r>
        <w:rPr>
          <w:rFonts w:hint="cs"/>
          <w:rtl/>
        </w:rPr>
        <w:t>ליבתי</w:t>
      </w:r>
      <w:r>
        <w:rPr>
          <w:rFonts w:hint="cs"/>
          <w:rtl/>
        </w:rPr>
        <w:t xml:space="preserve"> </w:t>
      </w:r>
      <w:r w:rsidRPr="00C10BFF">
        <w:rPr>
          <w:rFonts w:hint="cs"/>
          <w:rtl/>
        </w:rPr>
        <w:t>במדיניות האקלים הכוללת ו</w:t>
      </w:r>
      <w:r>
        <w:rPr>
          <w:rFonts w:hint="cs"/>
          <w:rtl/>
        </w:rPr>
        <w:t>כדי</w:t>
      </w:r>
      <w:r w:rsidRPr="00C10BFF">
        <w:rPr>
          <w:rFonts w:hint="cs"/>
          <w:rtl/>
        </w:rPr>
        <w:t xml:space="preserve"> להבטיח רציפות בהחלתו, מוצע לעגן את מס הפחמן בחוק אקלים</w:t>
      </w:r>
      <w:r>
        <w:rPr>
          <w:rFonts w:hint="cs"/>
          <w:rtl/>
        </w:rPr>
        <w:t xml:space="preserve">. </w:t>
      </w:r>
    </w:p>
    <w:p w:rsidR="003824AD" w:rsidRPr="006C304E" w:rsidP="003824AD" w14:paraId="04FE1B39" w14:textId="77777777">
      <w:pPr>
        <w:pStyle w:val="0-"/>
        <w:rPr>
          <w:rtl/>
        </w:rPr>
      </w:pPr>
      <w:r w:rsidRPr="006C304E">
        <w:rPr>
          <w:rFonts w:hint="cs"/>
          <w:rtl/>
        </w:rPr>
        <w:t>מידת תיקון הליקוי</w:t>
      </w:r>
    </w:p>
    <w:p w:rsidR="003824AD" w:rsidRPr="006C304E" w:rsidP="00FB13B2" w14:paraId="236714D4" w14:textId="77777777">
      <w:pPr>
        <w:spacing w:before="240" w:after="360"/>
        <w:jc w:val="center"/>
        <w:rPr>
          <w:rtl/>
        </w:rPr>
      </w:pPr>
      <w:r w:rsidRPr="006C304E">
        <w:rPr>
          <w:noProof/>
        </w:rPr>
        <w:drawing>
          <wp:inline distT="0" distB="0" distL="0" distR="0">
            <wp:extent cx="3960935" cy="740593"/>
            <wp:effectExtent l="0" t="0" r="0" b="0"/>
            <wp:docPr id="1552447581" name="תמונה 1552447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5816708" name="תמונה 1986381801"/>
                    <pic:cNvPicPr/>
                  </pic:nvPicPr>
                  <pic:blipFill>
                    <a:blip xmlns:r="http://schemas.openxmlformats.org/officeDocument/2006/relationships" r:embed="rId37">
                      <a:extLst>
                        <a:ext xmlns:a="http://schemas.openxmlformats.org/drawingml/2006/main" uri="{28A0092B-C50C-407E-A947-70E740481C1C}">
                          <a14:useLocalDpi xmlns:a14="http://schemas.microsoft.com/office/drawing/2010/main" val="0"/>
                        </a:ext>
                      </a:extLst>
                    </a:blip>
                    <a:stretch>
                      <a:fillRect/>
                    </a:stretch>
                  </pic:blipFill>
                  <pic:spPr>
                    <a:xfrm>
                      <a:off x="0" y="0"/>
                      <a:ext cx="4045187" cy="756346"/>
                    </a:xfrm>
                    <a:prstGeom prst="rect">
                      <a:avLst/>
                    </a:prstGeom>
                  </pic:spPr>
                </pic:pic>
              </a:graphicData>
            </a:graphic>
          </wp:inline>
        </w:drawing>
      </w:r>
    </w:p>
    <w:p w:rsidR="00F20E3F" w:rsidP="007B7A97" w14:paraId="37AA1000" w14:textId="77777777">
      <w:pPr>
        <w:pStyle w:val="73414"/>
        <w:rPr>
          <w:rtl/>
        </w:rPr>
      </w:pPr>
      <w:r>
        <w:rPr>
          <w:rFonts w:hint="cs"/>
          <w:rtl/>
        </w:rPr>
        <w:t xml:space="preserve">גובה מס הפחמן שנקבע בהחלטת הממשלה 286 </w:t>
      </w:r>
    </w:p>
    <w:p w:rsidR="00D81375" w:rsidP="00D81375" w14:paraId="7E610171" w14:textId="14C7F9D6">
      <w:pPr>
        <w:pStyle w:val="73120"/>
        <w:rPr>
          <w:rtl/>
        </w:rPr>
      </w:pPr>
      <w:r>
        <w:rPr>
          <w:rFonts w:hint="cs"/>
          <w:rtl/>
        </w:rPr>
        <w:t>הדוח</w:t>
      </w:r>
      <w:r w:rsidRPr="00CA7E0D">
        <w:rPr>
          <w:rFonts w:hint="cs"/>
          <w:rtl/>
        </w:rPr>
        <w:t xml:space="preserve"> </w:t>
      </w:r>
      <w:r>
        <w:rPr>
          <w:rFonts w:hint="cs"/>
          <w:rtl/>
        </w:rPr>
        <w:t>הקודם</w:t>
      </w:r>
      <w:r w:rsidRPr="00CA7E0D">
        <w:rPr>
          <w:rFonts w:hint="cs"/>
          <w:rtl/>
        </w:rPr>
        <w:t xml:space="preserve"> </w:t>
      </w:r>
    </w:p>
    <w:p w:rsidR="00F20E3F" w:rsidRPr="00CA7E0D" w:rsidP="00CA7E0D" w14:paraId="12349D54" w14:textId="0F2E09B3">
      <w:pPr>
        <w:pStyle w:val="7392"/>
        <w:rPr>
          <w:rtl/>
        </w:rPr>
      </w:pPr>
      <w:r w:rsidRPr="00CA7E0D">
        <w:rPr>
          <w:rStyle w:val="7"/>
          <w:rFonts w:eastAsiaTheme="minorHAnsi" w:hint="eastAsia"/>
          <w:b/>
          <w:color w:val="0073C3"/>
          <w:spacing w:val="0"/>
          <w:rtl/>
        </w:rPr>
        <w:t>הליקוי</w:t>
      </w:r>
      <w:r w:rsidRPr="00CA7E0D">
        <w:rPr>
          <w:rStyle w:val="7"/>
          <w:rFonts w:eastAsiaTheme="minorHAnsi"/>
          <w:b/>
          <w:color w:val="0073C3"/>
          <w:spacing w:val="0"/>
          <w:rtl/>
        </w:rPr>
        <w:t>:</w:t>
      </w:r>
      <w:r w:rsidRPr="00CA7E0D">
        <w:rPr>
          <w:rFonts w:hint="cs"/>
          <w:color w:val="0073C3"/>
          <w:rtl/>
        </w:rPr>
        <w:t xml:space="preserve"> </w:t>
      </w:r>
      <w:r w:rsidRPr="00CA7E0D">
        <w:rPr>
          <w:rFonts w:hint="cs"/>
          <w:rtl/>
        </w:rPr>
        <w:t>ה</w:t>
      </w:r>
      <w:r w:rsidRPr="00CA7E0D">
        <w:rPr>
          <w:rtl/>
        </w:rPr>
        <w:t xml:space="preserve">מחיר של 167 ש"ח לטונה פליטות </w:t>
      </w:r>
      <w:r w:rsidRPr="00CA7E0D">
        <w:rPr>
          <w:rtl/>
        </w:rPr>
        <w:t>גז"ח</w:t>
      </w:r>
      <w:r w:rsidRPr="00CA7E0D">
        <w:rPr>
          <w:rtl/>
        </w:rPr>
        <w:t xml:space="preserve"> הוא נמוך מההמלצה העדכנית של ארגון </w:t>
      </w:r>
      <w:r w:rsidR="006B4883">
        <w:rPr>
          <w:rtl/>
        </w:rPr>
        <w:br/>
      </w:r>
      <w:r w:rsidRPr="00CA7E0D">
        <w:rPr>
          <w:rtl/>
        </w:rPr>
        <w:t>ה-</w:t>
      </w:r>
      <w:r w:rsidRPr="00CA7E0D">
        <w:t>OECD</w:t>
      </w:r>
      <w:r w:rsidRPr="00CA7E0D">
        <w:rPr>
          <w:rtl/>
        </w:rPr>
        <w:t xml:space="preserve"> שעומדת כאמור על מחיר של 60 </w:t>
      </w:r>
      <w:r w:rsidRPr="00CA7E0D">
        <w:rPr>
          <w:rFonts w:hint="cs"/>
          <w:rtl/>
        </w:rPr>
        <w:t>אירו</w:t>
      </w:r>
      <w:r w:rsidRPr="00CA7E0D">
        <w:rPr>
          <w:rtl/>
        </w:rPr>
        <w:t xml:space="preserve"> בשנת 2021 ו-120 אירו בשנת 2030.</w:t>
      </w:r>
    </w:p>
    <w:p w:rsidR="00F20E3F" w:rsidRPr="00CA7E0D" w:rsidP="00CA7E0D" w14:paraId="07846461" w14:textId="77777777">
      <w:pPr>
        <w:pStyle w:val="7392"/>
        <w:rPr>
          <w:rtl/>
        </w:rPr>
      </w:pPr>
      <w:r w:rsidRPr="00CA7E0D">
        <w:rPr>
          <w:rStyle w:val="7"/>
          <w:rFonts w:eastAsiaTheme="minorHAnsi" w:hint="cs"/>
          <w:b/>
          <w:color w:val="0073C3"/>
          <w:spacing w:val="0"/>
          <w:rtl/>
        </w:rPr>
        <w:t xml:space="preserve">תגובת </w:t>
      </w:r>
      <w:r w:rsidRPr="00CA7E0D">
        <w:rPr>
          <w:rStyle w:val="7"/>
          <w:rFonts w:eastAsiaTheme="minorHAnsi" w:hint="eastAsia"/>
          <w:b/>
          <w:color w:val="0073C3"/>
          <w:spacing w:val="0"/>
          <w:rtl/>
        </w:rPr>
        <w:t>המשרד</w:t>
      </w:r>
      <w:r w:rsidRPr="00CA7E0D">
        <w:rPr>
          <w:rStyle w:val="7"/>
          <w:rFonts w:eastAsiaTheme="minorHAnsi"/>
          <w:b/>
          <w:color w:val="0073C3"/>
          <w:spacing w:val="0"/>
          <w:rtl/>
        </w:rPr>
        <w:t xml:space="preserve"> </w:t>
      </w:r>
      <w:r w:rsidRPr="00CA7E0D">
        <w:rPr>
          <w:rStyle w:val="7"/>
          <w:rFonts w:eastAsiaTheme="minorHAnsi" w:hint="eastAsia"/>
          <w:b/>
          <w:color w:val="0073C3"/>
          <w:spacing w:val="0"/>
          <w:rtl/>
        </w:rPr>
        <w:t>להג</w:t>
      </w:r>
      <w:r w:rsidRPr="00CA7E0D">
        <w:rPr>
          <w:rStyle w:val="7"/>
          <w:rFonts w:eastAsiaTheme="minorHAnsi"/>
          <w:b/>
          <w:color w:val="0073C3"/>
          <w:spacing w:val="0"/>
          <w:rtl/>
        </w:rPr>
        <w:t>"ס</w:t>
      </w:r>
      <w:r w:rsidRPr="00CA7E0D">
        <w:rPr>
          <w:rStyle w:val="7"/>
          <w:rFonts w:eastAsiaTheme="minorHAnsi" w:hint="cs"/>
          <w:b/>
          <w:color w:val="0073C3"/>
          <w:spacing w:val="0"/>
          <w:rtl/>
        </w:rPr>
        <w:t xml:space="preserve"> על הדוח הקודם</w:t>
      </w:r>
      <w:r w:rsidRPr="00CA7E0D">
        <w:rPr>
          <w:rStyle w:val="7"/>
          <w:rFonts w:eastAsiaTheme="minorHAnsi"/>
          <w:b/>
          <w:color w:val="0073C3"/>
          <w:spacing w:val="0"/>
          <w:rtl/>
        </w:rPr>
        <w:t>:</w:t>
      </w:r>
      <w:r w:rsidRPr="00CA7E0D">
        <w:rPr>
          <w:color w:val="0073C3"/>
          <w:rtl/>
        </w:rPr>
        <w:t xml:space="preserve"> </w:t>
      </w:r>
      <w:r w:rsidRPr="00CA7E0D">
        <w:rPr>
          <w:rtl/>
        </w:rPr>
        <w:t>אנו מסכימים שמחיר הפחמן שנקבע בהחלטת הממשלה הוא נמוך ממה שהיינו רוצים,</w:t>
      </w:r>
      <w:r w:rsidRPr="00CA7E0D">
        <w:rPr>
          <w:rFonts w:hint="cs"/>
          <w:rtl/>
        </w:rPr>
        <w:t xml:space="preserve"> </w:t>
      </w:r>
      <w:r w:rsidRPr="00CA7E0D">
        <w:rPr>
          <w:rtl/>
        </w:rPr>
        <w:t>זוהי פשרה של המשרד אל מול הצ</w:t>
      </w:r>
      <w:r w:rsidRPr="00CA7E0D">
        <w:rPr>
          <w:rFonts w:hint="cs"/>
          <w:rtl/>
        </w:rPr>
        <w:t>ו</w:t>
      </w:r>
      <w:r w:rsidRPr="00CA7E0D">
        <w:rPr>
          <w:rtl/>
        </w:rPr>
        <w:t>רך להגיע להסכמה בנושא בממשלה.</w:t>
      </w:r>
    </w:p>
    <w:p w:rsidR="00F20E3F" w:rsidRPr="00CA7E0D" w:rsidP="00CA7E0D" w14:paraId="3F5132F0" w14:textId="77777777">
      <w:pPr>
        <w:pStyle w:val="73120"/>
        <w:rPr>
          <w:rtl/>
        </w:rPr>
      </w:pPr>
      <w:r w:rsidRPr="00CA7E0D">
        <w:rPr>
          <w:rFonts w:hint="cs"/>
          <w:rtl/>
        </w:rPr>
        <w:t xml:space="preserve">ביקורת המעקב </w:t>
      </w:r>
    </w:p>
    <w:p w:rsidR="00F20E3F" w:rsidRPr="00CA7E0D" w:rsidP="00CA7E0D" w14:paraId="291BF9AE" w14:textId="77777777">
      <w:pPr>
        <w:pStyle w:val="7392"/>
        <w:rPr>
          <w:rtl/>
        </w:rPr>
      </w:pPr>
      <w:r w:rsidRPr="00CA7E0D">
        <w:rPr>
          <w:rFonts w:hint="cs"/>
          <w:rtl/>
        </w:rPr>
        <w:t xml:space="preserve">כאשר דנים בנושא של תמחור פחמן באמצעות אמצעי תמחור (כמו מס פחמן או מנגנון </w:t>
      </w:r>
      <w:r w:rsidRPr="00CA7E0D">
        <w:rPr>
          <w:rFonts w:hint="cs"/>
        </w:rPr>
        <w:t>ETS</w:t>
      </w:r>
      <w:r w:rsidRPr="00CA7E0D">
        <w:rPr>
          <w:rFonts w:hint="cs"/>
          <w:rtl/>
        </w:rPr>
        <w:t xml:space="preserve">), קיימת חשיבות לשאלה מה </w:t>
      </w:r>
      <w:r w:rsidRPr="00CA7E0D">
        <w:rPr>
          <w:rFonts w:hint="cs"/>
          <w:b/>
          <w:bCs/>
          <w:rtl/>
        </w:rPr>
        <w:t>גובה</w:t>
      </w:r>
      <w:r w:rsidRPr="00CA7E0D">
        <w:rPr>
          <w:rFonts w:hint="cs"/>
          <w:rtl/>
        </w:rPr>
        <w:t xml:space="preserve"> התמחור שנקבע באמצעי הנבחר. שאלה נוספת שעולה היא על כמה מפליטות </w:t>
      </w:r>
      <w:r w:rsidRPr="00CA7E0D">
        <w:rPr>
          <w:rFonts w:hint="cs"/>
          <w:rtl/>
        </w:rPr>
        <w:t>הגז"ח</w:t>
      </w:r>
      <w:r w:rsidRPr="00CA7E0D">
        <w:rPr>
          <w:rFonts w:hint="cs"/>
          <w:rtl/>
        </w:rPr>
        <w:t>, לרבות ממקור של דלקים, מוטלים אמצעי תמחור פחמן אלו - כלומר היקף "</w:t>
      </w:r>
      <w:r w:rsidRPr="00CA7E0D">
        <w:rPr>
          <w:rFonts w:hint="cs"/>
          <w:b/>
          <w:bCs/>
          <w:rtl/>
        </w:rPr>
        <w:t>הכיסוי</w:t>
      </w:r>
      <w:r w:rsidRPr="00CA7E0D">
        <w:rPr>
          <w:rFonts w:hint="cs"/>
          <w:rtl/>
        </w:rPr>
        <w:t xml:space="preserve">" (ראו להלן). ייתכן מצב שבו מחיר הפחמן גבוה אך חל רק על מעט מהפליטות, או מצב שבו פליטות רבות מתומחרות אך במחיר נמוך. שני משתנים אלו גוזרים יחדיו את מידת הפנמת העלויות החיצוניות של פליטות </w:t>
      </w:r>
      <w:r w:rsidRPr="00CA7E0D">
        <w:rPr>
          <w:rFonts w:hint="cs"/>
          <w:rtl/>
        </w:rPr>
        <w:t>גז"ח</w:t>
      </w:r>
      <w:r w:rsidRPr="00CA7E0D">
        <w:rPr>
          <w:rFonts w:hint="cs"/>
          <w:rtl/>
        </w:rPr>
        <w:t xml:space="preserve"> ואת האפקטיביות של תמחור הפחמן.</w:t>
      </w:r>
    </w:p>
    <w:p w:rsidR="00F20E3F" w:rsidRPr="00E33B91" w:rsidP="00C44928" w14:paraId="31464F8B" w14:textId="77777777">
      <w:pPr>
        <w:pStyle w:val="734"/>
        <w:numPr>
          <w:ilvl w:val="0"/>
          <w:numId w:val="36"/>
        </w:numPr>
        <w:rPr>
          <w:rtl/>
        </w:rPr>
      </w:pPr>
      <w:r w:rsidRPr="00E33B91">
        <w:rPr>
          <w:rFonts w:hint="cs"/>
          <w:rtl/>
        </w:rPr>
        <w:t>בשנים האחרונות פורסמו מחקרים וחוות דעת של גופים בין-לאומיים אשר הצביעו על כך שמס הפחמן המוטל כיום במדינות שונות אינו מתמרץ דיו הפחתת פליטות</w:t>
      </w:r>
      <w:r>
        <w:rPr>
          <w:vertAlign w:val="superscript"/>
          <w:rtl/>
        </w:rPr>
        <w:footnoteReference w:id="71"/>
      </w:r>
      <w:r w:rsidRPr="00E33B91">
        <w:rPr>
          <w:rFonts w:hint="cs"/>
          <w:rtl/>
        </w:rPr>
        <w:t xml:space="preserve"> כדי לעמוד ביעדי הסכם פריז, </w:t>
      </w:r>
      <w:r w:rsidRPr="00E33B91">
        <w:rPr>
          <w:rtl/>
        </w:rPr>
        <w:t xml:space="preserve">ואינו משקף את עלותו </w:t>
      </w:r>
      <w:r w:rsidRPr="00E33B91">
        <w:rPr>
          <w:rFonts w:hint="cs"/>
          <w:rtl/>
        </w:rPr>
        <w:t>"</w:t>
      </w:r>
      <w:r w:rsidRPr="00E33B91">
        <w:rPr>
          <w:rtl/>
        </w:rPr>
        <w:t>האמיתית" לנוכח ההש</w:t>
      </w:r>
      <w:r w:rsidRPr="00E33B91">
        <w:rPr>
          <w:rFonts w:hint="cs"/>
          <w:rtl/>
        </w:rPr>
        <w:t>פע</w:t>
      </w:r>
      <w:r w:rsidRPr="00E33B91">
        <w:rPr>
          <w:rtl/>
        </w:rPr>
        <w:t>ות החמורות של שינויי האקלים</w:t>
      </w:r>
      <w:r w:rsidRPr="00E33B91">
        <w:rPr>
          <w:rFonts w:hint="cs"/>
          <w:rtl/>
        </w:rPr>
        <w:t xml:space="preserve">. המלצות גופים אלה בנוגע לטווח המחירים הרצוי לטונה פליטות </w:t>
      </w:r>
      <w:r w:rsidRPr="00E33B91">
        <w:t>CO</w:t>
      </w:r>
      <w:r w:rsidRPr="00DC569B">
        <w:rPr>
          <w:vertAlign w:val="subscript"/>
        </w:rPr>
        <w:t>2</w:t>
      </w:r>
      <w:r w:rsidRPr="00E33B91">
        <w:t>e</w:t>
      </w:r>
      <w:r w:rsidRPr="00E33B91">
        <w:rPr>
          <w:rFonts w:hint="cs"/>
          <w:rtl/>
        </w:rPr>
        <w:t xml:space="preserve"> מלמדות כי מס הפחמן אמור לעלות ככל שחולף הזמן</w:t>
      </w:r>
      <w:r>
        <w:rPr>
          <w:vertAlign w:val="superscript"/>
          <w:rtl/>
        </w:rPr>
        <w:footnoteReference w:id="72"/>
      </w:r>
      <w:r w:rsidRPr="00E33B91">
        <w:rPr>
          <w:rFonts w:hint="cs"/>
          <w:rtl/>
        </w:rPr>
        <w:t>:</w:t>
      </w:r>
    </w:p>
    <w:p w:rsidR="00F20E3F" w:rsidP="00E33B91" w14:paraId="71665E56" w14:textId="078E953D">
      <w:pPr>
        <w:pStyle w:val="733"/>
        <w:ind w:left="397"/>
      </w:pPr>
      <w:r w:rsidRPr="00E33B91">
        <w:rPr>
          <w:rFonts w:hint="eastAsia"/>
          <w:b w:val="0"/>
          <w:bCs w:val="0"/>
          <w:rtl/>
        </w:rPr>
        <w:t>לוח</w:t>
      </w:r>
      <w:r w:rsidRPr="00E33B91">
        <w:rPr>
          <w:rFonts w:hint="cs"/>
          <w:b w:val="0"/>
          <w:bCs w:val="0"/>
          <w:rtl/>
        </w:rPr>
        <w:t xml:space="preserve"> 20</w:t>
      </w:r>
      <w:r w:rsidRPr="00E33B91">
        <w:rPr>
          <w:b w:val="0"/>
          <w:bCs w:val="0"/>
          <w:rtl/>
        </w:rPr>
        <w:t>:</w:t>
      </w:r>
      <w:r w:rsidRPr="00E33B91">
        <w:rPr>
          <w:rFonts w:hint="cs"/>
          <w:rtl/>
        </w:rPr>
        <w:t xml:space="preserve"> המחירים המומלצים להפנמה אפקטיבית של עלויות חיצוניות </w:t>
      </w:r>
      <w:r w:rsidR="00E33B91">
        <w:br/>
      </w:r>
      <w:r w:rsidRPr="00E33B91">
        <w:rPr>
          <w:rFonts w:hint="cs"/>
          <w:rtl/>
        </w:rPr>
        <w:t xml:space="preserve">של </w:t>
      </w:r>
      <w:r w:rsidRPr="00E33B91">
        <w:rPr>
          <w:rFonts w:hint="cs"/>
          <w:rtl/>
        </w:rPr>
        <w:t>גז"ח</w:t>
      </w:r>
    </w:p>
    <w:tbl>
      <w:tblPr>
        <w:tblStyle w:val="TableGrid"/>
        <w:bidiVisual/>
        <w:tblW w:w="4715" w:type="pct"/>
        <w:jc w:val="right"/>
        <w:tblBorders>
          <w:top w:val="none" w:sz="0" w:space="0" w:color="auto"/>
          <w:bottom w:val="none" w:sz="0" w:space="0" w:color="auto"/>
          <w:insideH w:val="none" w:sz="0" w:space="0" w:color="auto"/>
        </w:tblBorders>
        <w:tblLook w:val="04A0"/>
      </w:tblPr>
      <w:tblGrid>
        <w:gridCol w:w="3684"/>
        <w:gridCol w:w="3256"/>
      </w:tblGrid>
      <w:tr w14:paraId="4ADD0C18" w14:textId="77777777" w:rsidTr="00E33B91">
        <w:tblPrEx>
          <w:tblW w:w="4715" w:type="pct"/>
          <w:jc w:val="right"/>
          <w:tblBorders>
            <w:top w:val="none" w:sz="0" w:space="0" w:color="auto"/>
            <w:bottom w:val="none" w:sz="0" w:space="0" w:color="auto"/>
            <w:insideH w:val="none" w:sz="0" w:space="0" w:color="auto"/>
          </w:tblBorders>
          <w:tblLook w:val="04A0"/>
        </w:tblPrEx>
        <w:trPr>
          <w:trHeight w:val="283"/>
          <w:jc w:val="right"/>
        </w:trPr>
        <w:tc>
          <w:tcPr>
            <w:tcW w:w="2654" w:type="pct"/>
            <w:shd w:val="clear" w:color="auto" w:fill="C6DCE4"/>
          </w:tcPr>
          <w:p w:rsidR="00E33B91" w:rsidRPr="00E33B91" w:rsidP="00E33B91" w14:paraId="26C2A5A6" w14:textId="77777777">
            <w:pPr>
              <w:pStyle w:val="71B"/>
              <w:rPr>
                <w:rStyle w:val="54"/>
                <w:rFonts w:eastAsiaTheme="minorEastAsia"/>
                <w:bCs/>
                <w:spacing w:val="0"/>
                <w:rtl/>
              </w:rPr>
            </w:pPr>
            <w:r w:rsidRPr="00E33B91">
              <w:rPr>
                <w:rStyle w:val="54"/>
                <w:rFonts w:eastAsiaTheme="minorEastAsia" w:hint="cs"/>
                <w:bCs/>
                <w:spacing w:val="0"/>
                <w:rtl/>
              </w:rPr>
              <w:t>שם הארגון הבינלאומי הממליץ</w:t>
            </w:r>
          </w:p>
        </w:tc>
        <w:tc>
          <w:tcPr>
            <w:tcW w:w="2346" w:type="pct"/>
            <w:shd w:val="clear" w:color="auto" w:fill="C6DCE4"/>
          </w:tcPr>
          <w:p w:rsidR="00E33B91" w:rsidRPr="00E33B91" w:rsidP="00E33B91" w14:paraId="14598F59" w14:textId="77777777">
            <w:pPr>
              <w:pStyle w:val="71B"/>
              <w:rPr>
                <w:rStyle w:val="54"/>
                <w:rFonts w:eastAsiaTheme="minorEastAsia"/>
                <w:bCs/>
                <w:spacing w:val="0"/>
                <w:rtl/>
              </w:rPr>
            </w:pPr>
            <w:r w:rsidRPr="00E33B91">
              <w:rPr>
                <w:rStyle w:val="54"/>
                <w:rFonts w:eastAsiaTheme="minorEastAsia" w:hint="cs"/>
                <w:bCs/>
                <w:spacing w:val="0"/>
                <w:rtl/>
              </w:rPr>
              <w:t>המלצה על מחיר לטונה פחמן</w:t>
            </w:r>
          </w:p>
        </w:tc>
      </w:tr>
      <w:tr w14:paraId="256CCD02" w14:textId="77777777" w:rsidTr="00E33B91">
        <w:tblPrEx>
          <w:tblW w:w="4715" w:type="pct"/>
          <w:jc w:val="right"/>
          <w:tblLook w:val="04A0"/>
        </w:tblPrEx>
        <w:trPr>
          <w:trHeight w:val="581"/>
          <w:jc w:val="right"/>
        </w:trPr>
        <w:tc>
          <w:tcPr>
            <w:tcW w:w="2654" w:type="pct"/>
            <w:shd w:val="clear" w:color="auto" w:fill="DBE8EE"/>
            <w:vAlign w:val="center"/>
          </w:tcPr>
          <w:p w:rsidR="00E33B91" w:rsidRPr="00B827C4" w:rsidP="00711A1D" w14:paraId="1D25C87E" w14:textId="77777777">
            <w:pPr>
              <w:pStyle w:val="71R"/>
              <w:rPr>
                <w:rtl/>
              </w:rPr>
            </w:pPr>
            <w:r w:rsidRPr="00B827C4">
              <w:rPr>
                <w:rFonts w:hint="cs"/>
                <w:rtl/>
              </w:rPr>
              <w:t>הבנק העולמי (2017) וה-</w:t>
            </w:r>
            <w:r w:rsidRPr="00B827C4">
              <w:t>CPLC</w:t>
            </w:r>
            <w:r>
              <w:rPr>
                <w:vertAlign w:val="superscript"/>
                <w:rtl/>
              </w:rPr>
              <w:footnoteReference w:id="73"/>
            </w:r>
          </w:p>
        </w:tc>
        <w:tc>
          <w:tcPr>
            <w:tcW w:w="2346" w:type="pct"/>
            <w:shd w:val="clear" w:color="auto" w:fill="DBE8EE"/>
          </w:tcPr>
          <w:p w:rsidR="00E33B91" w:rsidRPr="00B827C4" w:rsidP="00711A1D" w14:paraId="4D894019" w14:textId="77777777">
            <w:pPr>
              <w:pStyle w:val="71R"/>
            </w:pPr>
            <w:r w:rsidRPr="00B827C4">
              <w:rPr>
                <w:rFonts w:hint="cs"/>
                <w:rtl/>
              </w:rPr>
              <w:t>40 - 80 דולר בשנת 2020</w:t>
            </w:r>
            <w:r w:rsidRPr="00B827C4">
              <w:rPr>
                <w:rtl/>
              </w:rPr>
              <w:br/>
            </w:r>
            <w:r w:rsidRPr="00B827C4">
              <w:rPr>
                <w:rFonts w:hint="cs"/>
                <w:rtl/>
              </w:rPr>
              <w:t xml:space="preserve">50 - 100 דולר בשנת 2030 </w:t>
            </w:r>
          </w:p>
        </w:tc>
      </w:tr>
      <w:tr w14:paraId="68E407F8" w14:textId="77777777" w:rsidTr="00E33B91">
        <w:tblPrEx>
          <w:tblW w:w="4715" w:type="pct"/>
          <w:jc w:val="right"/>
          <w:tblLook w:val="04A0"/>
        </w:tblPrEx>
        <w:trPr>
          <w:trHeight w:val="326"/>
          <w:jc w:val="right"/>
        </w:trPr>
        <w:tc>
          <w:tcPr>
            <w:tcW w:w="2654" w:type="pct"/>
            <w:shd w:val="clear" w:color="auto" w:fill="ECF4F5"/>
            <w:vAlign w:val="center"/>
          </w:tcPr>
          <w:p w:rsidR="00E33B91" w:rsidRPr="00B827C4" w:rsidP="00711A1D" w14:paraId="5A019BF8" w14:textId="77777777">
            <w:pPr>
              <w:pStyle w:val="71R"/>
              <w:rPr>
                <w:rtl/>
              </w:rPr>
            </w:pPr>
            <w:r w:rsidRPr="00B827C4">
              <w:rPr>
                <w:rFonts w:hint="cs"/>
                <w:rtl/>
              </w:rPr>
              <w:t>ה-</w:t>
            </w:r>
            <w:r w:rsidRPr="00B827C4">
              <w:t>IMF</w:t>
            </w:r>
            <w:r w:rsidRPr="00B827C4">
              <w:rPr>
                <w:rFonts w:hint="cs"/>
                <w:rtl/>
              </w:rPr>
              <w:t xml:space="preserve"> (קרן המטבע הבינלאומית) (2019)</w:t>
            </w:r>
            <w:r>
              <w:rPr>
                <w:vertAlign w:val="superscript"/>
                <w:rtl/>
              </w:rPr>
              <w:footnoteReference w:id="74"/>
            </w:r>
          </w:p>
        </w:tc>
        <w:tc>
          <w:tcPr>
            <w:tcW w:w="2346" w:type="pct"/>
            <w:shd w:val="clear" w:color="auto" w:fill="ECF4F5"/>
          </w:tcPr>
          <w:p w:rsidR="00E33B91" w:rsidRPr="00B827C4" w:rsidP="00711A1D" w14:paraId="0AC9558F" w14:textId="77777777">
            <w:pPr>
              <w:pStyle w:val="71R"/>
              <w:rPr>
                <w:rtl/>
              </w:rPr>
            </w:pPr>
            <w:r w:rsidRPr="00B827C4">
              <w:rPr>
                <w:rFonts w:hint="cs"/>
                <w:rtl/>
              </w:rPr>
              <w:t>75 דולר לשנה בשנת 2030</w:t>
            </w:r>
          </w:p>
        </w:tc>
      </w:tr>
      <w:tr w14:paraId="146C9EBD" w14:textId="77777777" w:rsidTr="00E33B91">
        <w:tblPrEx>
          <w:tblW w:w="4715" w:type="pct"/>
          <w:jc w:val="right"/>
          <w:tblLook w:val="04A0"/>
        </w:tblPrEx>
        <w:trPr>
          <w:trHeight w:val="571"/>
          <w:jc w:val="right"/>
        </w:trPr>
        <w:tc>
          <w:tcPr>
            <w:tcW w:w="2654" w:type="pct"/>
            <w:shd w:val="clear" w:color="auto" w:fill="DBE8EE"/>
            <w:vAlign w:val="center"/>
          </w:tcPr>
          <w:p w:rsidR="00E33B91" w:rsidRPr="00B827C4" w:rsidP="00711A1D" w14:paraId="0F1297B4" w14:textId="77777777">
            <w:pPr>
              <w:pStyle w:val="71R"/>
              <w:rPr>
                <w:rtl/>
              </w:rPr>
            </w:pPr>
            <w:r w:rsidRPr="00B827C4">
              <w:rPr>
                <w:rFonts w:hint="cs"/>
                <w:rtl/>
              </w:rPr>
              <w:t>ה-</w:t>
            </w:r>
            <w:r w:rsidRPr="00B827C4">
              <w:t>OECD</w:t>
            </w:r>
            <w:r>
              <w:rPr>
                <w:rStyle w:val="FootnoteReference2"/>
                <w:rtl/>
              </w:rPr>
              <w:footnoteReference w:id="75"/>
            </w:r>
          </w:p>
        </w:tc>
        <w:tc>
          <w:tcPr>
            <w:tcW w:w="2346" w:type="pct"/>
            <w:shd w:val="clear" w:color="auto" w:fill="DBE8EE"/>
          </w:tcPr>
          <w:p w:rsidR="00E33B91" w:rsidRPr="00B827C4" w:rsidP="00711A1D" w14:paraId="5752895D" w14:textId="77777777">
            <w:pPr>
              <w:pStyle w:val="71R"/>
              <w:rPr>
                <w:rtl/>
              </w:rPr>
            </w:pPr>
            <w:r w:rsidRPr="00B827C4">
              <w:rPr>
                <w:rFonts w:hint="cs"/>
                <w:rtl/>
              </w:rPr>
              <w:t>60 אירו לשנת 2021</w:t>
            </w:r>
            <w:r w:rsidRPr="00B827C4">
              <w:rPr>
                <w:rtl/>
              </w:rPr>
              <w:br/>
            </w:r>
            <w:r w:rsidRPr="00B827C4">
              <w:rPr>
                <w:rFonts w:hint="cs"/>
                <w:rtl/>
              </w:rPr>
              <w:t>120 אירו יעד לשנת 2030</w:t>
            </w:r>
          </w:p>
        </w:tc>
      </w:tr>
      <w:tr w14:paraId="2F6BFFA9" w14:textId="77777777" w:rsidTr="00E33B91">
        <w:tblPrEx>
          <w:tblW w:w="4715" w:type="pct"/>
          <w:jc w:val="right"/>
          <w:tblLook w:val="04A0"/>
        </w:tblPrEx>
        <w:trPr>
          <w:trHeight w:val="571"/>
          <w:jc w:val="right"/>
        </w:trPr>
        <w:tc>
          <w:tcPr>
            <w:tcW w:w="2654" w:type="pct"/>
            <w:shd w:val="clear" w:color="auto" w:fill="ECF4F5"/>
            <w:vAlign w:val="center"/>
          </w:tcPr>
          <w:p w:rsidR="00E33B91" w:rsidRPr="00B827C4" w:rsidP="00711A1D" w14:paraId="261265FE" w14:textId="77777777">
            <w:pPr>
              <w:pStyle w:val="71R"/>
              <w:rPr>
                <w:rtl/>
              </w:rPr>
            </w:pPr>
            <w:r w:rsidRPr="00B827C4">
              <w:rPr>
                <w:rFonts w:hint="cs"/>
                <w:rtl/>
              </w:rPr>
              <w:t>האיחוד האירופי</w:t>
            </w:r>
            <w:r>
              <w:rPr>
                <w:rStyle w:val="FootnoteReference2"/>
                <w:rtl/>
              </w:rPr>
              <w:footnoteReference w:id="76"/>
            </w:r>
            <w:r w:rsidRPr="00B827C4">
              <w:rPr>
                <w:rFonts w:hint="cs"/>
                <w:rtl/>
              </w:rPr>
              <w:t xml:space="preserve"> </w:t>
            </w:r>
          </w:p>
        </w:tc>
        <w:tc>
          <w:tcPr>
            <w:tcW w:w="2346" w:type="pct"/>
            <w:shd w:val="clear" w:color="auto" w:fill="ECF4F5"/>
          </w:tcPr>
          <w:p w:rsidR="00E33B91" w:rsidRPr="00B827C4" w:rsidP="00711A1D" w14:paraId="2ADF96FE" w14:textId="77777777">
            <w:pPr>
              <w:pStyle w:val="71R"/>
              <w:rPr>
                <w:rtl/>
              </w:rPr>
            </w:pPr>
            <w:r w:rsidRPr="00B827C4">
              <w:rPr>
                <w:rFonts w:hint="cs"/>
                <w:rtl/>
              </w:rPr>
              <w:t>100 אירו עד לשנת 2030</w:t>
            </w:r>
          </w:p>
          <w:p w:rsidR="00E33B91" w:rsidRPr="00B827C4" w:rsidP="00711A1D" w14:paraId="5EB06052" w14:textId="77777777">
            <w:pPr>
              <w:pStyle w:val="71R"/>
              <w:rPr>
                <w:rtl/>
              </w:rPr>
            </w:pPr>
            <w:r w:rsidRPr="00B827C4">
              <w:rPr>
                <w:rFonts w:hint="cs"/>
                <w:rtl/>
              </w:rPr>
              <w:t>269 אירו עד לשנת 2060</w:t>
            </w:r>
          </w:p>
        </w:tc>
      </w:tr>
    </w:tbl>
    <w:p w:rsidR="00F20E3F" w:rsidRPr="00E33B91" w:rsidP="00E33B91" w14:paraId="76B8E638" w14:textId="77777777">
      <w:pPr>
        <w:pStyle w:val="737"/>
        <w:ind w:left="397"/>
        <w:rPr>
          <w:rtl/>
        </w:rPr>
      </w:pPr>
      <w:r w:rsidRPr="00E33B91">
        <w:rPr>
          <w:rFonts w:hint="cs"/>
          <w:rtl/>
        </w:rPr>
        <w:t xml:space="preserve">המקור: הבנק העולמי, </w:t>
      </w:r>
      <w:r w:rsidRPr="00E33B91">
        <w:t>IMF</w:t>
      </w:r>
      <w:r w:rsidRPr="00E33B91">
        <w:rPr>
          <w:rFonts w:hint="cs"/>
          <w:rtl/>
        </w:rPr>
        <w:t>, ארגון ה-</w:t>
      </w:r>
      <w:r w:rsidRPr="00E33B91">
        <w:t>OECD</w:t>
      </w:r>
      <w:r w:rsidRPr="00E33B91">
        <w:rPr>
          <w:rFonts w:hint="cs"/>
          <w:rtl/>
        </w:rPr>
        <w:t xml:space="preserve">, המשרד </w:t>
      </w:r>
      <w:r w:rsidRPr="00E33B91">
        <w:rPr>
          <w:rFonts w:hint="cs"/>
          <w:rtl/>
        </w:rPr>
        <w:t>להג"ס</w:t>
      </w:r>
      <w:r w:rsidRPr="00E33B91">
        <w:rPr>
          <w:rFonts w:hint="cs"/>
          <w:rtl/>
        </w:rPr>
        <w:t>.</w:t>
      </w:r>
    </w:p>
    <w:p w:rsidR="00F20E3F" w:rsidRPr="00E33B91" w:rsidP="00E33B91" w14:paraId="2E64F937" w14:textId="77777777">
      <w:pPr>
        <w:pStyle w:val="7316"/>
        <w:rPr>
          <w:rtl/>
        </w:rPr>
      </w:pPr>
      <w:r w:rsidRPr="00E33B91">
        <w:rPr>
          <w:rFonts w:hint="cs"/>
          <w:rtl/>
        </w:rPr>
        <w:t xml:space="preserve">בעולם תמחור </w:t>
      </w:r>
      <w:r w:rsidRPr="00E33B91">
        <w:rPr>
          <w:rFonts w:hint="cs"/>
          <w:rtl/>
        </w:rPr>
        <w:t>גז"ח</w:t>
      </w:r>
      <w:r w:rsidRPr="00E33B91">
        <w:rPr>
          <w:rFonts w:hint="cs"/>
          <w:rtl/>
        </w:rPr>
        <w:t xml:space="preserve"> מתבצע בעיקר באמצעות הטלת מס פחמן או באמצעות מנגנון </w:t>
      </w:r>
      <w:r w:rsidRPr="00E33B91">
        <w:rPr>
          <w:rFonts w:hint="cs"/>
        </w:rPr>
        <w:t>ETS</w:t>
      </w:r>
      <w:r w:rsidRPr="00E33B91">
        <w:rPr>
          <w:rFonts w:hint="cs"/>
          <w:rtl/>
        </w:rPr>
        <w:t xml:space="preserve"> המושתת על מכסות של פליטות (להלן - אמצעי תמחור פחמן). תמחור פליטות יכול שיתבצע ברמה הלאומית (מדינות), ברמת הריבונות האזורית (</w:t>
      </w:r>
      <w:r w:rsidRPr="00E33B91">
        <w:t>Subnational Jurisdictions</w:t>
      </w:r>
      <w:r w:rsidRPr="00E33B91">
        <w:rPr>
          <w:rFonts w:hint="cs"/>
          <w:rtl/>
        </w:rPr>
        <w:t xml:space="preserve"> כמו פרובינציות, מדינות בארצות הברית, </w:t>
      </w:r>
      <w:r w:rsidRPr="00E33B91">
        <w:rPr>
          <w:rFonts w:hint="cs"/>
          <w:rtl/>
        </w:rPr>
        <w:t>קנטונים</w:t>
      </w:r>
      <w:r w:rsidRPr="00E33B91">
        <w:rPr>
          <w:rFonts w:hint="cs"/>
          <w:rtl/>
        </w:rPr>
        <w:t xml:space="preserve">), או ברמת השלטון המקומי (ערים, מחוזות). </w:t>
      </w:r>
      <w:r w:rsidRPr="00E33B91">
        <w:rPr>
          <w:rFonts w:hint="cs"/>
          <w:rtl/>
        </w:rPr>
        <w:t xml:space="preserve">לפי נתוני הבנק העולמי, נכון ליוני 2023, 47 מדינות ו-36 </w:t>
      </w:r>
      <w:r w:rsidRPr="00E33B91">
        <w:rPr>
          <w:rFonts w:hint="cs"/>
          <w:rtl/>
        </w:rPr>
        <w:t>ריבונויות</w:t>
      </w:r>
      <w:r w:rsidRPr="00E33B91">
        <w:rPr>
          <w:rFonts w:hint="cs"/>
          <w:rtl/>
        </w:rPr>
        <w:t xml:space="preserve"> אזוריות מתמחרות פחמן</w:t>
      </w:r>
      <w:r>
        <w:rPr>
          <w:rStyle w:val="FootnoteReference2"/>
          <w:rtl/>
        </w:rPr>
        <w:footnoteReference w:id="77"/>
      </w:r>
      <w:r w:rsidRPr="00E33B91">
        <w:rPr>
          <w:rFonts w:hint="cs"/>
          <w:rtl/>
        </w:rPr>
        <w:t xml:space="preserve">. </w:t>
      </w:r>
    </w:p>
    <w:p w:rsidR="00F20E3F" w:rsidRPr="00E33B91" w:rsidP="00E33B91" w14:paraId="72B98B05" w14:textId="77777777">
      <w:pPr>
        <w:pStyle w:val="7316"/>
        <w:rPr>
          <w:rtl/>
        </w:rPr>
      </w:pPr>
      <w:r w:rsidRPr="00E33B91">
        <w:rPr>
          <w:rFonts w:hint="cs"/>
          <w:rtl/>
        </w:rPr>
        <w:t xml:space="preserve">יצוין כי לאיחוד האירופי ולארצות הברית יש מתודולוגיות שונות לחישוב עלויות חיצוניות, ובהתאם לכך התמחור המומלץ באיחוד נע בין 60 ל-100 אירו לטונה </w:t>
      </w:r>
      <w:r w:rsidRPr="00E33B91">
        <w:rPr>
          <w:rFonts w:hint="cs"/>
          <w:rtl/>
        </w:rPr>
        <w:t>גז"ח</w:t>
      </w:r>
      <w:r w:rsidRPr="00E33B91">
        <w:rPr>
          <w:rFonts w:hint="cs"/>
          <w:rtl/>
        </w:rPr>
        <w:t>, ובארצות הברית נקבע המחיר המומלץ לשנת 2020 על 51 דולר ארה"ב לטונה (מחירו המעודכן ל-2023 הוא 54 דולר ארה"ב לטונה)</w:t>
      </w:r>
      <w:r>
        <w:rPr>
          <w:rStyle w:val="FootnoteReference2"/>
          <w:rtl/>
        </w:rPr>
        <w:footnoteReference w:id="78"/>
      </w:r>
      <w:r w:rsidRPr="00E33B91">
        <w:rPr>
          <w:rFonts w:hint="cs"/>
          <w:rtl/>
        </w:rPr>
        <w:t xml:space="preserve">. בשני המקרים לפי התחשיבים המאוחרים יותר מחירי הפחמן גבוהים יותר מקודמיהם. </w:t>
      </w:r>
    </w:p>
    <w:p w:rsidR="00F20E3F" w:rsidP="00E33B91" w14:paraId="53172910" w14:textId="77777777">
      <w:pPr>
        <w:pStyle w:val="7316"/>
        <w:rPr>
          <w:rtl/>
        </w:rPr>
      </w:pPr>
      <w:r>
        <w:rPr>
          <w:rFonts w:hint="cs"/>
          <w:rtl/>
        </w:rPr>
        <w:t xml:space="preserve">בישראל החליט המשרד </w:t>
      </w:r>
      <w:r>
        <w:rPr>
          <w:rFonts w:hint="cs"/>
          <w:rtl/>
        </w:rPr>
        <w:t>להג"ס</w:t>
      </w:r>
      <w:r>
        <w:rPr>
          <w:rFonts w:hint="cs"/>
          <w:rtl/>
        </w:rPr>
        <w:t xml:space="preserve"> לבסס את תחשיביו והמלצותי</w:t>
      </w:r>
      <w:r>
        <w:rPr>
          <w:rFonts w:hint="eastAsia"/>
          <w:rtl/>
        </w:rPr>
        <w:t>ו</w:t>
      </w:r>
      <w:r>
        <w:rPr>
          <w:rFonts w:hint="cs"/>
          <w:rtl/>
        </w:rPr>
        <w:t xml:space="preserve"> על תמחור פחמן לפי </w:t>
      </w:r>
      <w:r w:rsidRPr="00B3190F">
        <w:rPr>
          <w:rFonts w:hint="cs"/>
          <w:rtl/>
        </w:rPr>
        <w:t xml:space="preserve">המתודולוגיה האמריקאית, והגיע למסקנה </w:t>
      </w:r>
      <w:r>
        <w:rPr>
          <w:rFonts w:hint="cs"/>
          <w:rtl/>
        </w:rPr>
        <w:t>ו</w:t>
      </w:r>
      <w:r w:rsidRPr="00B3190F">
        <w:rPr>
          <w:rFonts w:hint="cs"/>
          <w:rtl/>
        </w:rPr>
        <w:t>לפיה ב</w:t>
      </w:r>
      <w:r>
        <w:rPr>
          <w:rFonts w:hint="cs"/>
          <w:rtl/>
        </w:rPr>
        <w:t xml:space="preserve">שנת </w:t>
      </w:r>
      <w:r w:rsidRPr="00B3190F">
        <w:rPr>
          <w:rtl/>
        </w:rPr>
        <w:t xml:space="preserve">2020 העלות החיצונית של פליטת פחמן בישראל היא 167 </w:t>
      </w:r>
      <w:r w:rsidRPr="00B3190F">
        <w:rPr>
          <w:rFonts w:hint="cs"/>
          <w:rtl/>
        </w:rPr>
        <w:t>ש"ח</w:t>
      </w:r>
      <w:r w:rsidRPr="00B3190F">
        <w:rPr>
          <w:rtl/>
        </w:rPr>
        <w:t xml:space="preserve"> לטו</w:t>
      </w:r>
      <w:r>
        <w:rPr>
          <w:rFonts w:hint="cs"/>
          <w:rtl/>
        </w:rPr>
        <w:t>נה</w:t>
      </w:r>
      <w:r w:rsidRPr="00B3190F">
        <w:rPr>
          <w:rFonts w:hint="cs"/>
          <w:rtl/>
        </w:rPr>
        <w:t xml:space="preserve"> פחמן דו-חמצני</w:t>
      </w:r>
      <w:r>
        <w:rPr>
          <w:rFonts w:hint="cs"/>
          <w:rtl/>
        </w:rPr>
        <w:t xml:space="preserve"> </w:t>
      </w:r>
      <w:r w:rsidRPr="00B3190F">
        <w:rPr>
          <w:rFonts w:hint="cs"/>
          <w:rtl/>
        </w:rPr>
        <w:t xml:space="preserve">(לפי שער היוון של 3%, </w:t>
      </w:r>
      <w:r>
        <w:rPr>
          <w:rFonts w:hint="cs"/>
          <w:rtl/>
        </w:rPr>
        <w:t>ש</w:t>
      </w:r>
      <w:r w:rsidRPr="00B3190F">
        <w:rPr>
          <w:rFonts w:hint="cs"/>
          <w:rtl/>
        </w:rPr>
        <w:t xml:space="preserve">אותו בחר מבין </w:t>
      </w:r>
      <w:r>
        <w:rPr>
          <w:rFonts w:hint="cs"/>
          <w:rtl/>
        </w:rPr>
        <w:t>שלוש</w:t>
      </w:r>
      <w:r w:rsidRPr="00B3190F">
        <w:rPr>
          <w:rFonts w:hint="cs"/>
          <w:rtl/>
        </w:rPr>
        <w:t xml:space="preserve"> חלופות), </w:t>
      </w:r>
      <w:r>
        <w:rPr>
          <w:rFonts w:hint="cs"/>
          <w:rtl/>
        </w:rPr>
        <w:t>ו</w:t>
      </w:r>
      <w:r w:rsidRPr="00B3190F">
        <w:rPr>
          <w:rtl/>
        </w:rPr>
        <w:t xml:space="preserve">ערך זה מתעדכן </w:t>
      </w:r>
      <w:r w:rsidRPr="00B3190F">
        <w:rPr>
          <w:rFonts w:hint="cs"/>
          <w:rtl/>
        </w:rPr>
        <w:t>מדי שנה</w:t>
      </w:r>
      <w:r>
        <w:rPr>
          <w:rFonts w:hint="cs"/>
          <w:rtl/>
        </w:rPr>
        <w:t xml:space="preserve"> בשנה</w:t>
      </w:r>
      <w:r w:rsidRPr="00B3190F">
        <w:rPr>
          <w:rtl/>
        </w:rPr>
        <w:t xml:space="preserve"> ב-2.1% ב</w:t>
      </w:r>
      <w:r>
        <w:rPr>
          <w:rFonts w:hint="cs"/>
          <w:rtl/>
        </w:rPr>
        <w:t>שנים</w:t>
      </w:r>
      <w:r w:rsidRPr="00B3190F">
        <w:rPr>
          <w:rtl/>
        </w:rPr>
        <w:t xml:space="preserve"> 2021</w:t>
      </w:r>
      <w:r>
        <w:rPr>
          <w:rFonts w:hint="cs"/>
          <w:rtl/>
        </w:rPr>
        <w:t xml:space="preserve"> עד </w:t>
      </w:r>
      <w:r w:rsidRPr="00B3190F">
        <w:rPr>
          <w:rtl/>
        </w:rPr>
        <w:t>2030</w:t>
      </w:r>
      <w:r>
        <w:rPr>
          <w:rtl/>
        </w:rPr>
        <w:t>,</w:t>
      </w:r>
      <w:r w:rsidRPr="00B3190F">
        <w:rPr>
          <w:rtl/>
        </w:rPr>
        <w:t xml:space="preserve"> ב</w:t>
      </w:r>
      <w:r w:rsidRPr="00B3190F">
        <w:rPr>
          <w:rFonts w:hint="cs"/>
          <w:rtl/>
        </w:rPr>
        <w:t>-</w:t>
      </w:r>
      <w:r w:rsidRPr="00B3190F">
        <w:rPr>
          <w:rtl/>
        </w:rPr>
        <w:t>1.9% ב</w:t>
      </w:r>
      <w:r>
        <w:rPr>
          <w:rFonts w:hint="cs"/>
          <w:rtl/>
        </w:rPr>
        <w:t>שנים</w:t>
      </w:r>
      <w:r w:rsidRPr="00B3190F">
        <w:rPr>
          <w:rtl/>
        </w:rPr>
        <w:t xml:space="preserve"> 2030</w:t>
      </w:r>
      <w:r w:rsidRPr="00B3190F">
        <w:rPr>
          <w:rFonts w:hint="cs"/>
          <w:rtl/>
        </w:rPr>
        <w:t xml:space="preserve"> </w:t>
      </w:r>
      <w:r>
        <w:rPr>
          <w:rFonts w:hint="cs"/>
          <w:rtl/>
        </w:rPr>
        <w:t xml:space="preserve">עד </w:t>
      </w:r>
      <w:r w:rsidRPr="00B3190F">
        <w:rPr>
          <w:rtl/>
        </w:rPr>
        <w:t>2040</w:t>
      </w:r>
      <w:r w:rsidRPr="00B3190F">
        <w:rPr>
          <w:rFonts w:hint="cs"/>
          <w:rtl/>
        </w:rPr>
        <w:t>, וב-</w:t>
      </w:r>
      <w:r w:rsidRPr="00B3190F">
        <w:rPr>
          <w:rtl/>
        </w:rPr>
        <w:t>1.6%</w:t>
      </w:r>
      <w:r w:rsidRPr="00B3190F">
        <w:rPr>
          <w:rFonts w:hint="cs"/>
          <w:rtl/>
        </w:rPr>
        <w:t xml:space="preserve"> ב</w:t>
      </w:r>
      <w:r>
        <w:rPr>
          <w:rFonts w:hint="cs"/>
          <w:rtl/>
        </w:rPr>
        <w:t>שנים</w:t>
      </w:r>
      <w:r w:rsidRPr="00B3190F">
        <w:rPr>
          <w:rtl/>
        </w:rPr>
        <w:t xml:space="preserve"> 2040</w:t>
      </w:r>
      <w:r w:rsidRPr="00B3190F">
        <w:rPr>
          <w:rFonts w:hint="cs"/>
          <w:rtl/>
        </w:rPr>
        <w:t xml:space="preserve"> </w:t>
      </w:r>
      <w:r>
        <w:rPr>
          <w:rFonts w:hint="cs"/>
          <w:rtl/>
        </w:rPr>
        <w:t xml:space="preserve">עד </w:t>
      </w:r>
      <w:r w:rsidRPr="00B3190F">
        <w:rPr>
          <w:rtl/>
        </w:rPr>
        <w:t>2050</w:t>
      </w:r>
      <w:r>
        <w:rPr>
          <w:rStyle w:val="FootnoteReference2"/>
          <w:rtl/>
        </w:rPr>
        <w:footnoteReference w:id="79"/>
      </w:r>
      <w:r w:rsidRPr="00B3190F">
        <w:rPr>
          <w:rFonts w:hint="cs"/>
          <w:rtl/>
        </w:rPr>
        <w:t>. נכון לשנת 2021, 167 ש"ח היו</w:t>
      </w:r>
      <w:r>
        <w:rPr>
          <w:rFonts w:hint="cs"/>
          <w:rtl/>
        </w:rPr>
        <w:t xml:space="preserve"> שווים</w:t>
      </w:r>
      <w:r w:rsidRPr="00B3190F">
        <w:rPr>
          <w:rFonts w:hint="cs"/>
          <w:rtl/>
        </w:rPr>
        <w:t xml:space="preserve"> כ-51 </w:t>
      </w:r>
      <w:r>
        <w:rPr>
          <w:rFonts w:hint="cs"/>
          <w:rtl/>
        </w:rPr>
        <w:t xml:space="preserve">דולר </w:t>
      </w:r>
      <w:r w:rsidRPr="00B3190F">
        <w:rPr>
          <w:rFonts w:hint="cs"/>
          <w:rtl/>
        </w:rPr>
        <w:t>ארה</w:t>
      </w:r>
      <w:r w:rsidRPr="00B3190F">
        <w:rPr>
          <w:rtl/>
        </w:rPr>
        <w:t>"</w:t>
      </w:r>
      <w:r w:rsidRPr="00B3190F">
        <w:rPr>
          <w:rFonts w:hint="cs"/>
          <w:rtl/>
        </w:rPr>
        <w:t>ב (נכון ליוני 2023, הם</w:t>
      </w:r>
      <w:r>
        <w:rPr>
          <w:rFonts w:hint="cs"/>
          <w:rtl/>
        </w:rPr>
        <w:t xml:space="preserve"> שווים</w:t>
      </w:r>
      <w:r w:rsidRPr="00B3190F">
        <w:rPr>
          <w:rFonts w:hint="cs"/>
          <w:rtl/>
        </w:rPr>
        <w:t xml:space="preserve"> כ-44 </w:t>
      </w:r>
      <w:r>
        <w:rPr>
          <w:rFonts w:hint="cs"/>
          <w:rtl/>
        </w:rPr>
        <w:t xml:space="preserve">דולר </w:t>
      </w:r>
      <w:r w:rsidRPr="00B3190F">
        <w:rPr>
          <w:rFonts w:hint="cs"/>
          <w:rtl/>
        </w:rPr>
        <w:t>ארה</w:t>
      </w:r>
      <w:r w:rsidRPr="00B3190F">
        <w:rPr>
          <w:rtl/>
        </w:rPr>
        <w:t>"</w:t>
      </w:r>
      <w:r w:rsidRPr="00B3190F">
        <w:rPr>
          <w:rFonts w:hint="cs"/>
          <w:rtl/>
        </w:rPr>
        <w:t xml:space="preserve">ב). המשרד </w:t>
      </w:r>
      <w:r w:rsidRPr="00B3190F">
        <w:rPr>
          <w:rFonts w:hint="cs"/>
          <w:rtl/>
        </w:rPr>
        <w:t>להג"ס</w:t>
      </w:r>
      <w:r w:rsidRPr="00B3190F">
        <w:rPr>
          <w:rFonts w:hint="cs"/>
          <w:rtl/>
        </w:rPr>
        <w:t xml:space="preserve"> מפרסם מדי שנה </w:t>
      </w:r>
      <w:r>
        <w:rPr>
          <w:rFonts w:hint="cs"/>
          <w:rtl/>
        </w:rPr>
        <w:t xml:space="preserve">בשנה </w:t>
      </w:r>
      <w:r w:rsidRPr="00B3190F">
        <w:rPr>
          <w:rFonts w:hint="cs"/>
          <w:rtl/>
        </w:rPr>
        <w:t xml:space="preserve">את העלויות החיצוניות המעודכנות של </w:t>
      </w:r>
      <w:r>
        <w:rPr>
          <w:rFonts w:hint="cs"/>
          <w:rtl/>
        </w:rPr>
        <w:t>גז"ח</w:t>
      </w:r>
      <w:r w:rsidRPr="00B3190F">
        <w:rPr>
          <w:rFonts w:hint="cs"/>
          <w:rtl/>
        </w:rPr>
        <w:t xml:space="preserve">, מהוונות לאותה שנה. באפריל 2023 </w:t>
      </w:r>
      <w:r>
        <w:rPr>
          <w:rFonts w:hint="cs"/>
          <w:rtl/>
        </w:rPr>
        <w:t xml:space="preserve">פרסם </w:t>
      </w:r>
      <w:r w:rsidRPr="00B3190F">
        <w:rPr>
          <w:rFonts w:hint="cs"/>
          <w:rtl/>
        </w:rPr>
        <w:t xml:space="preserve">המשרד </w:t>
      </w:r>
      <w:r>
        <w:rPr>
          <w:rFonts w:hint="cs"/>
          <w:rtl/>
        </w:rPr>
        <w:t>מחיר</w:t>
      </w:r>
      <w:r w:rsidRPr="00B3190F">
        <w:rPr>
          <w:rFonts w:hint="cs"/>
          <w:rtl/>
        </w:rPr>
        <w:t xml:space="preserve"> של 189 ש"ח לטו</w:t>
      </w:r>
      <w:r>
        <w:rPr>
          <w:rFonts w:hint="cs"/>
          <w:rtl/>
        </w:rPr>
        <w:t>נה</w:t>
      </w:r>
      <w:r w:rsidRPr="00B3190F">
        <w:rPr>
          <w:rFonts w:hint="cs"/>
          <w:rtl/>
        </w:rPr>
        <w:t xml:space="preserve"> פחמן דו-חמצני שהביא בחשבון עלי</w:t>
      </w:r>
      <w:r>
        <w:rPr>
          <w:rFonts w:hint="cs"/>
          <w:rtl/>
        </w:rPr>
        <w:t>י</w:t>
      </w:r>
      <w:r w:rsidRPr="00B3190F">
        <w:rPr>
          <w:rFonts w:hint="cs"/>
          <w:rtl/>
        </w:rPr>
        <w:t>ה שנתית של 2.1% במחירו ועל</w:t>
      </w:r>
      <w:r>
        <w:rPr>
          <w:rFonts w:hint="cs"/>
          <w:rtl/>
        </w:rPr>
        <w:t>י</w:t>
      </w:r>
      <w:r w:rsidRPr="00B3190F">
        <w:rPr>
          <w:rFonts w:hint="cs"/>
          <w:rtl/>
        </w:rPr>
        <w:t>יה במדד של 5.3%</w:t>
      </w:r>
      <w:r>
        <w:rPr>
          <w:rStyle w:val="FootnoteReference2"/>
          <w:rtl/>
        </w:rPr>
        <w:footnoteReference w:id="80"/>
      </w:r>
      <w:r w:rsidRPr="00B3190F">
        <w:rPr>
          <w:rFonts w:hint="cs"/>
          <w:rtl/>
        </w:rPr>
        <w:t xml:space="preserve">. </w:t>
      </w:r>
    </w:p>
    <w:p w:rsidR="00F20E3F" w:rsidRPr="00B3190F" w:rsidP="00E33B91" w14:paraId="3A8F3A88" w14:textId="77777777">
      <w:pPr>
        <w:pStyle w:val="7316"/>
        <w:rPr>
          <w:rtl/>
        </w:rPr>
      </w:pPr>
      <w:r>
        <w:rPr>
          <w:rFonts w:hint="cs"/>
          <w:rtl/>
        </w:rPr>
        <w:t xml:space="preserve">המשרד </w:t>
      </w:r>
      <w:r>
        <w:rPr>
          <w:rFonts w:hint="cs"/>
          <w:rtl/>
        </w:rPr>
        <w:t>להג"ס</w:t>
      </w:r>
      <w:r>
        <w:rPr>
          <w:rFonts w:hint="cs"/>
          <w:rtl/>
        </w:rPr>
        <w:t xml:space="preserve"> כתב בתשובתו כי "</w:t>
      </w:r>
      <w:r>
        <w:rPr>
          <w:rtl/>
        </w:rPr>
        <w:t xml:space="preserve">מס הפחמן הוא מס </w:t>
      </w:r>
      <w:r>
        <w:rPr>
          <w:rtl/>
        </w:rPr>
        <w:t>פיגוביאני</w:t>
      </w:r>
      <w:r>
        <w:rPr>
          <w:rtl/>
        </w:rPr>
        <w:t xml:space="preserve"> אשר מטרתו</w:t>
      </w:r>
      <w:r>
        <w:rPr>
          <w:rFonts w:hint="cs"/>
          <w:rtl/>
        </w:rPr>
        <w:t xml:space="preserve"> </w:t>
      </w:r>
      <w:r>
        <w:rPr>
          <w:rtl/>
        </w:rPr>
        <w:t>הפנמת העלות החיצונית</w:t>
      </w:r>
      <w:r>
        <w:rPr>
          <w:rStyle w:val="FootnoteReference2"/>
          <w:rtl/>
        </w:rPr>
        <w:footnoteReference w:id="81"/>
      </w:r>
      <w:r>
        <w:rPr>
          <w:rtl/>
        </w:rPr>
        <w:t xml:space="preserve"> של פליטת פחמן דו-חמצני על מנת לייצר שיווי משקל יעיל אשר לוקח</w:t>
      </w:r>
      <w:r>
        <w:rPr>
          <w:rFonts w:hint="cs"/>
          <w:rtl/>
        </w:rPr>
        <w:t xml:space="preserve"> </w:t>
      </w:r>
      <w:r>
        <w:rPr>
          <w:rtl/>
        </w:rPr>
        <w:t xml:space="preserve">בחשבון את עלות הנזק של פליטות עודפות של </w:t>
      </w:r>
      <w:r>
        <w:rPr>
          <w:rtl/>
        </w:rPr>
        <w:t>פד"ח</w:t>
      </w:r>
      <w:r>
        <w:rPr>
          <w:rFonts w:hint="cs"/>
          <w:rtl/>
        </w:rPr>
        <w:t xml:space="preserve"> (פחמן דו חמצני)</w:t>
      </w:r>
      <w:r>
        <w:rPr>
          <w:rtl/>
        </w:rPr>
        <w:t xml:space="preserve">. העלות החיצונית של </w:t>
      </w:r>
      <w:r>
        <w:rPr>
          <w:rtl/>
        </w:rPr>
        <w:t>פד"ח</w:t>
      </w:r>
      <w:r>
        <w:rPr>
          <w:rtl/>
        </w:rPr>
        <w:t xml:space="preserve"> פורסמה במסמך</w:t>
      </w:r>
      <w:r>
        <w:rPr>
          <w:rFonts w:hint="cs"/>
          <w:rtl/>
        </w:rPr>
        <w:t xml:space="preserve"> '</w:t>
      </w:r>
      <w:r>
        <w:rPr>
          <w:rtl/>
        </w:rPr>
        <w:t xml:space="preserve">הספר הירוק </w:t>
      </w:r>
      <w:r>
        <w:rPr>
          <w:rFonts w:hint="cs"/>
          <w:rtl/>
        </w:rPr>
        <w:t>-</w:t>
      </w:r>
      <w:r>
        <w:rPr>
          <w:rtl/>
        </w:rPr>
        <w:t xml:space="preserve"> עלויות חיצוניות של מזהמי אוויר וגזי חממה</w:t>
      </w:r>
      <w:r>
        <w:rPr>
          <w:rFonts w:hint="cs"/>
          <w:rtl/>
        </w:rPr>
        <w:t>'...</w:t>
      </w:r>
      <w:r>
        <w:rPr>
          <w:rtl/>
        </w:rPr>
        <w:t xml:space="preserve"> נתוני הספר הירוק מתעדכנים אחת לשנה בהתאם למתודולוגיה המפורסמת בספר הירוק.</w:t>
      </w:r>
      <w:r>
        <w:rPr>
          <w:rFonts w:hint="cs"/>
          <w:rtl/>
        </w:rPr>
        <w:t xml:space="preserve">.. </w:t>
      </w:r>
      <w:r>
        <w:rPr>
          <w:rtl/>
        </w:rPr>
        <w:t xml:space="preserve">העלות החיצונית של </w:t>
      </w:r>
      <w:r>
        <w:rPr>
          <w:rtl/>
        </w:rPr>
        <w:t>פד"ח</w:t>
      </w:r>
      <w:r>
        <w:rPr>
          <w:rtl/>
        </w:rPr>
        <w:t xml:space="preserve"> </w:t>
      </w:r>
      <w:r>
        <w:rPr>
          <w:rFonts w:hint="cs"/>
          <w:rtl/>
        </w:rPr>
        <w:t>(</w:t>
      </w:r>
      <w:r>
        <w:rPr>
          <w:rtl/>
        </w:rPr>
        <w:t>וגזי</w:t>
      </w:r>
      <w:r>
        <w:rPr>
          <w:rFonts w:hint="cs"/>
          <w:rtl/>
        </w:rPr>
        <w:t xml:space="preserve"> </w:t>
      </w:r>
      <w:r>
        <w:rPr>
          <w:rtl/>
        </w:rPr>
        <w:t>חממה נוספים</w:t>
      </w:r>
      <w:r>
        <w:rPr>
          <w:rFonts w:hint="cs"/>
          <w:rtl/>
        </w:rPr>
        <w:t>)</w:t>
      </w:r>
      <w:r>
        <w:rPr>
          <w:rtl/>
        </w:rPr>
        <w:t xml:space="preserve"> עוקבת אחר התמחור שמפרסם הממשל האמריקאי ומתעדכן מעת לעת, וכאמור,</w:t>
      </w:r>
      <w:r>
        <w:rPr>
          <w:rFonts w:hint="cs"/>
          <w:rtl/>
        </w:rPr>
        <w:t xml:space="preserve"> </w:t>
      </w:r>
      <w:r>
        <w:rPr>
          <w:rtl/>
        </w:rPr>
        <w:t xml:space="preserve">מחושב בגישת עלות הנזק. מדינות נוספות </w:t>
      </w:r>
      <w:r>
        <w:rPr>
          <w:rFonts w:hint="cs"/>
          <w:rtl/>
        </w:rPr>
        <w:t>(</w:t>
      </w:r>
      <w:r>
        <w:rPr>
          <w:rtl/>
        </w:rPr>
        <w:t>כדוגמת קנדה</w:t>
      </w:r>
      <w:r>
        <w:rPr>
          <w:rFonts w:hint="cs"/>
          <w:rtl/>
        </w:rPr>
        <w:t>)</w:t>
      </w:r>
      <w:r>
        <w:rPr>
          <w:rtl/>
        </w:rPr>
        <w:t xml:space="preserve"> מבססות את תחשיב העלויות החיצוניות</w:t>
      </w:r>
      <w:r>
        <w:rPr>
          <w:rFonts w:hint="cs"/>
          <w:rtl/>
        </w:rPr>
        <w:t xml:space="preserve"> </w:t>
      </w:r>
      <w:r>
        <w:rPr>
          <w:rtl/>
        </w:rPr>
        <w:t xml:space="preserve">שלהן עבור </w:t>
      </w:r>
      <w:r>
        <w:rPr>
          <w:rtl/>
        </w:rPr>
        <w:t>פד"ח</w:t>
      </w:r>
      <w:r>
        <w:rPr>
          <w:rtl/>
        </w:rPr>
        <w:t xml:space="preserve"> לתחשיב האמריקאי</w:t>
      </w:r>
      <w:r>
        <w:rPr>
          <w:rFonts w:hint="cs"/>
          <w:rtl/>
        </w:rPr>
        <w:t>"</w:t>
      </w:r>
      <w:r>
        <w:rPr>
          <w:rtl/>
        </w:rPr>
        <w:t>.</w:t>
      </w:r>
    </w:p>
    <w:p w:rsidR="00F20E3F" w:rsidRPr="00E33B91" w:rsidP="00E33B91" w14:paraId="23C54694" w14:textId="77777777">
      <w:pPr>
        <w:pStyle w:val="718"/>
        <w:rPr>
          <w:rtl/>
        </w:rPr>
      </w:pPr>
      <w:r w:rsidRPr="00E33B91">
        <w:rPr>
          <w:rFonts w:hint="cs"/>
          <w:rtl/>
        </w:rPr>
        <w:t>בדוח הקודם עלה כי ה</w:t>
      </w:r>
      <w:r w:rsidRPr="00E33B91">
        <w:rPr>
          <w:rtl/>
        </w:rPr>
        <w:t>מחיר של 167 ש"ח לטו</w:t>
      </w:r>
      <w:r w:rsidRPr="00E33B91">
        <w:rPr>
          <w:rFonts w:hint="cs"/>
          <w:rtl/>
        </w:rPr>
        <w:t>נה</w:t>
      </w:r>
      <w:r w:rsidRPr="00E33B91">
        <w:rPr>
          <w:rtl/>
        </w:rPr>
        <w:t xml:space="preserve"> </w:t>
      </w:r>
      <w:r w:rsidRPr="00E33B91">
        <w:rPr>
          <w:rFonts w:hint="cs"/>
          <w:rtl/>
        </w:rPr>
        <w:t>פחמן,</w:t>
      </w:r>
      <w:r w:rsidRPr="00E33B91">
        <w:rPr>
          <w:rtl/>
        </w:rPr>
        <w:t xml:space="preserve"> </w:t>
      </w:r>
      <w:r w:rsidRPr="00E33B91">
        <w:rPr>
          <w:rFonts w:hint="cs"/>
          <w:rtl/>
        </w:rPr>
        <w:t xml:space="preserve">כפי שציין המשרד </w:t>
      </w:r>
      <w:r w:rsidRPr="00E33B91">
        <w:rPr>
          <w:rFonts w:hint="cs"/>
          <w:rtl/>
        </w:rPr>
        <w:t>להג"ס</w:t>
      </w:r>
      <w:r w:rsidRPr="00E33B91">
        <w:rPr>
          <w:rFonts w:hint="cs"/>
          <w:rtl/>
        </w:rPr>
        <w:t xml:space="preserve"> במסמך המדיניות שלו, </w:t>
      </w:r>
      <w:r w:rsidRPr="00E33B91">
        <w:rPr>
          <w:rtl/>
        </w:rPr>
        <w:t>נמוך מההמלצה העדכנית של ארגון ה-</w:t>
      </w:r>
      <w:r w:rsidRPr="00E33B91">
        <w:t>OECD</w:t>
      </w:r>
      <w:r w:rsidRPr="00E33B91">
        <w:rPr>
          <w:rtl/>
        </w:rPr>
        <w:t xml:space="preserve"> </w:t>
      </w:r>
      <w:r w:rsidRPr="00E33B91">
        <w:rPr>
          <w:rFonts w:hint="cs"/>
          <w:rtl/>
        </w:rPr>
        <w:t>-</w:t>
      </w:r>
      <w:r w:rsidRPr="00E33B91">
        <w:rPr>
          <w:rtl/>
        </w:rPr>
        <w:t xml:space="preserve"> </w:t>
      </w:r>
      <w:r w:rsidRPr="00E33B91">
        <w:rPr>
          <w:rFonts w:hint="cs"/>
          <w:rtl/>
        </w:rPr>
        <w:t xml:space="preserve">כאמור </w:t>
      </w:r>
      <w:r w:rsidRPr="00E33B91">
        <w:rPr>
          <w:rtl/>
        </w:rPr>
        <w:t xml:space="preserve">60 </w:t>
      </w:r>
      <w:r w:rsidRPr="00E33B91">
        <w:rPr>
          <w:rFonts w:hint="cs"/>
          <w:rtl/>
        </w:rPr>
        <w:t>אירו</w:t>
      </w:r>
      <w:r w:rsidRPr="00E33B91">
        <w:rPr>
          <w:rtl/>
        </w:rPr>
        <w:t xml:space="preserve"> בשנת 2021 ו-120 אירו בשנת 2030</w:t>
      </w:r>
      <w:r w:rsidRPr="00E33B91">
        <w:rPr>
          <w:rFonts w:hint="cs"/>
          <w:rtl/>
        </w:rPr>
        <w:t>. בביקורת המעקב</w:t>
      </w:r>
      <w:r w:rsidRPr="00E33B91">
        <w:rPr>
          <w:rtl/>
        </w:rPr>
        <w:t xml:space="preserve"> </w:t>
      </w:r>
      <w:r w:rsidRPr="00E33B91">
        <w:rPr>
          <w:rFonts w:hint="cs"/>
          <w:rtl/>
        </w:rPr>
        <w:t>לא נמצא כי גובה מס הפחמן נידון מחדש או כי נשקלת התאמתו להמלצות הבין-לאומיות בעניין. במצב זה גובה מס הפחמן, אשר מעודכן לשנת 2022 בסכום של 189 ש"ח והוא בהלימה להמלצה שבארצות הברית, גם לו היה מיושם, לא היה עומד בהמלצות האמורות של ארגון ה-</w:t>
      </w:r>
      <w:r w:rsidRPr="00E33B91">
        <w:rPr>
          <w:rFonts w:hint="cs"/>
        </w:rPr>
        <w:t>OECD</w:t>
      </w:r>
      <w:r w:rsidRPr="00E33B91">
        <w:rPr>
          <w:rFonts w:hint="cs"/>
          <w:rtl/>
        </w:rPr>
        <w:t>, ה-</w:t>
      </w:r>
      <w:r w:rsidRPr="00E33B91">
        <w:t>IMF</w:t>
      </w:r>
      <w:r w:rsidRPr="00E33B91">
        <w:rPr>
          <w:rFonts w:hint="cs"/>
          <w:rtl/>
        </w:rPr>
        <w:t xml:space="preserve">, האיחוד האירופי או הבנק העולמי. עוד נמצא כי המשרד </w:t>
      </w:r>
      <w:r w:rsidRPr="00E33B91">
        <w:rPr>
          <w:rFonts w:hint="cs"/>
          <w:rtl/>
        </w:rPr>
        <w:t>להג"ס</w:t>
      </w:r>
      <w:r w:rsidRPr="00E33B91">
        <w:rPr>
          <w:rFonts w:hint="cs"/>
          <w:rtl/>
        </w:rPr>
        <w:t xml:space="preserve"> כלל בהמלצתו תמחור של </w:t>
      </w:r>
      <w:r w:rsidRPr="00E33B91">
        <w:t>CO</w:t>
      </w:r>
      <w:r w:rsidRPr="008B26C0">
        <w:rPr>
          <w:vertAlign w:val="subscript"/>
        </w:rPr>
        <w:t>2</w:t>
      </w:r>
      <w:r w:rsidRPr="00E33B91">
        <w:rPr>
          <w:rtl/>
        </w:rPr>
        <w:t xml:space="preserve"> </w:t>
      </w:r>
      <w:r w:rsidRPr="00E33B91">
        <w:rPr>
          <w:rFonts w:hint="cs"/>
          <w:rtl/>
        </w:rPr>
        <w:t xml:space="preserve">בלבד, ולא המליץ על תמחור כל סוגי </w:t>
      </w:r>
      <w:r w:rsidRPr="00E33B91">
        <w:rPr>
          <w:rFonts w:hint="cs"/>
          <w:rtl/>
        </w:rPr>
        <w:t>הגז"ח</w:t>
      </w:r>
      <w:r w:rsidRPr="00E33B91">
        <w:rPr>
          <w:rFonts w:hint="cs"/>
          <w:rtl/>
        </w:rPr>
        <w:t xml:space="preserve">, כלומר אין המלצת מחיר לטונה </w:t>
      </w:r>
      <w:r w:rsidRPr="00E33B91">
        <w:t>CO</w:t>
      </w:r>
      <w:r w:rsidRPr="008B26C0">
        <w:rPr>
          <w:vertAlign w:val="subscript"/>
        </w:rPr>
        <w:t>2</w:t>
      </w:r>
      <w:r w:rsidRPr="00E33B91">
        <w:t>e</w:t>
      </w:r>
      <w:r>
        <w:rPr>
          <w:vertAlign w:val="superscript"/>
          <w:rtl/>
        </w:rPr>
        <w:footnoteReference w:id="82"/>
      </w:r>
      <w:r w:rsidRPr="00E33B91">
        <w:rPr>
          <w:rFonts w:hint="cs"/>
          <w:rtl/>
        </w:rPr>
        <w:t xml:space="preserve">. </w:t>
      </w:r>
    </w:p>
    <w:p w:rsidR="00F20E3F" w:rsidRPr="00B84650" w:rsidP="00C44928" w14:paraId="62316711" w14:textId="77777777">
      <w:pPr>
        <w:pStyle w:val="734"/>
        <w:numPr>
          <w:ilvl w:val="0"/>
          <w:numId w:val="75"/>
        </w:numPr>
        <w:rPr>
          <w:rtl/>
        </w:rPr>
      </w:pPr>
      <w:r w:rsidRPr="00B84650">
        <w:rPr>
          <w:rFonts w:hint="cs"/>
          <w:rtl/>
        </w:rPr>
        <w:t xml:space="preserve">להלן נתונים על תמחור פחמן בדולר </w:t>
      </w:r>
      <w:r>
        <w:rPr>
          <w:rFonts w:hint="cs"/>
          <w:rtl/>
        </w:rPr>
        <w:t xml:space="preserve">ארה"ב </w:t>
      </w:r>
      <w:r w:rsidRPr="00B84650">
        <w:rPr>
          <w:rFonts w:hint="cs"/>
          <w:rtl/>
        </w:rPr>
        <w:t xml:space="preserve">במתווה מס פחמן שבהחלטת </w:t>
      </w:r>
      <w:r>
        <w:rPr>
          <w:rFonts w:hint="cs"/>
          <w:rtl/>
        </w:rPr>
        <w:t>ה</w:t>
      </w:r>
      <w:r w:rsidRPr="00B84650">
        <w:rPr>
          <w:rFonts w:hint="cs"/>
          <w:rtl/>
        </w:rPr>
        <w:t>ממשלה 286</w:t>
      </w:r>
      <w:r>
        <w:rPr>
          <w:rFonts w:hint="cs"/>
          <w:rtl/>
        </w:rPr>
        <w:t xml:space="preserve">, המבוססים על המלצת המשרד </w:t>
      </w:r>
      <w:r>
        <w:rPr>
          <w:rFonts w:hint="cs"/>
          <w:rtl/>
        </w:rPr>
        <w:t>להג"ס</w:t>
      </w:r>
      <w:r>
        <w:rPr>
          <w:rFonts w:hint="cs"/>
          <w:rtl/>
        </w:rPr>
        <w:t xml:space="preserve"> למחיר טונה</w:t>
      </w:r>
      <w:r w:rsidRPr="00B84650">
        <w:rPr>
          <w:rFonts w:hint="cs"/>
          <w:rtl/>
        </w:rPr>
        <w:t xml:space="preserve"> </w:t>
      </w:r>
      <w:r w:rsidRPr="00E33B91">
        <w:t>CO</w:t>
      </w:r>
      <w:r w:rsidRPr="00E33B91">
        <w:rPr>
          <w:vertAlign w:val="subscript"/>
        </w:rPr>
        <w:t>2</w:t>
      </w:r>
      <w:r w:rsidRPr="00B84650">
        <w:rPr>
          <w:rFonts w:hint="cs"/>
          <w:rtl/>
        </w:rPr>
        <w:t>:</w:t>
      </w:r>
    </w:p>
    <w:p w:rsidR="00F20E3F" w:rsidP="00E33B91" w14:paraId="1C4BE612" w14:textId="4849086A">
      <w:pPr>
        <w:pStyle w:val="733"/>
        <w:ind w:left="397"/>
      </w:pPr>
      <w:r w:rsidRPr="00E33B91">
        <w:rPr>
          <w:rFonts w:hint="eastAsia"/>
          <w:b w:val="0"/>
          <w:bCs w:val="0"/>
          <w:rtl/>
        </w:rPr>
        <w:t>לוח</w:t>
      </w:r>
      <w:r w:rsidRPr="00E33B91">
        <w:rPr>
          <w:rFonts w:hint="cs"/>
          <w:b w:val="0"/>
          <w:bCs w:val="0"/>
          <w:rtl/>
        </w:rPr>
        <w:t xml:space="preserve"> 21</w:t>
      </w:r>
      <w:r w:rsidRPr="00E33B91">
        <w:rPr>
          <w:b w:val="0"/>
          <w:bCs w:val="0"/>
          <w:rtl/>
        </w:rPr>
        <w:t>:</w:t>
      </w:r>
      <w:r w:rsidRPr="00010747">
        <w:rPr>
          <w:rtl/>
        </w:rPr>
        <w:t xml:space="preserve"> </w:t>
      </w:r>
      <w:r w:rsidRPr="00010747">
        <w:rPr>
          <w:rFonts w:hint="cs"/>
          <w:rtl/>
        </w:rPr>
        <w:t>מחיר</w:t>
      </w:r>
      <w:r w:rsidRPr="002D34F8">
        <w:rPr>
          <w:rFonts w:hint="cs"/>
          <w:rtl/>
        </w:rPr>
        <w:t xml:space="preserve"> </w:t>
      </w:r>
      <w:r>
        <w:rPr>
          <w:rFonts w:hint="cs"/>
          <w:rtl/>
        </w:rPr>
        <w:t>ה</w:t>
      </w:r>
      <w:r w:rsidRPr="002D34F8">
        <w:rPr>
          <w:rtl/>
        </w:rPr>
        <w:t xml:space="preserve">פחמן </w:t>
      </w:r>
      <w:r>
        <w:rPr>
          <w:rFonts w:hint="cs"/>
          <w:rtl/>
        </w:rPr>
        <w:t>בש"ח</w:t>
      </w:r>
      <w:r w:rsidRPr="002D34F8">
        <w:rPr>
          <w:rFonts w:hint="cs"/>
          <w:rtl/>
        </w:rPr>
        <w:t xml:space="preserve"> </w:t>
      </w:r>
      <w:r w:rsidRPr="00B84650">
        <w:rPr>
          <w:rtl/>
        </w:rPr>
        <w:t>לטו</w:t>
      </w:r>
      <w:r>
        <w:rPr>
          <w:rFonts w:hint="cs"/>
          <w:rtl/>
        </w:rPr>
        <w:t>נה</w:t>
      </w:r>
      <w:r w:rsidRPr="00B84650">
        <w:rPr>
          <w:rtl/>
        </w:rPr>
        <w:t xml:space="preserve"> </w:t>
      </w:r>
      <w:r w:rsidR="00F7401E">
        <w:rPr>
          <w:sz w:val="22"/>
          <w:szCs w:val="22"/>
        </w:rPr>
        <w:t>*</w:t>
      </w:r>
      <w:r w:rsidRPr="000D2CB9">
        <w:rPr>
          <w:sz w:val="22"/>
          <w:szCs w:val="22"/>
        </w:rPr>
        <w:t>CO</w:t>
      </w:r>
      <w:r w:rsidRPr="000D2CB9">
        <w:rPr>
          <w:sz w:val="22"/>
          <w:szCs w:val="22"/>
          <w:vertAlign w:val="subscript"/>
        </w:rPr>
        <w:t>2</w:t>
      </w:r>
      <w:r w:rsidRPr="00B84650">
        <w:rPr>
          <w:rFonts w:hint="cs"/>
          <w:rtl/>
        </w:rPr>
        <w:t xml:space="preserve">, </w:t>
      </w:r>
      <w:r>
        <w:rPr>
          <w:rFonts w:hint="cs"/>
          <w:rtl/>
        </w:rPr>
        <w:t xml:space="preserve">לפי </w:t>
      </w:r>
      <w:r w:rsidRPr="00B84650">
        <w:rPr>
          <w:rFonts w:hint="cs"/>
          <w:rtl/>
        </w:rPr>
        <w:t>מתווה</w:t>
      </w:r>
      <w:r>
        <w:rPr>
          <w:rFonts w:hint="cs"/>
          <w:rtl/>
        </w:rPr>
        <w:t xml:space="preserve"> </w:t>
      </w:r>
      <w:r w:rsidR="00E33B91">
        <w:br/>
      </w:r>
      <w:r>
        <w:rPr>
          <w:rFonts w:hint="cs"/>
          <w:rtl/>
        </w:rPr>
        <w:t>החלטת הממשלה 286</w:t>
      </w:r>
    </w:p>
    <w:tbl>
      <w:tblPr>
        <w:tblStyle w:val="TableGrid"/>
        <w:bidiVisual/>
        <w:tblW w:w="0" w:type="auto"/>
        <w:tblInd w:w="567" w:type="dxa"/>
        <w:tblBorders>
          <w:top w:val="none" w:sz="0" w:space="0" w:color="auto"/>
          <w:bottom w:val="none" w:sz="0" w:space="0" w:color="auto"/>
          <w:insideH w:val="none" w:sz="0" w:space="0" w:color="auto"/>
        </w:tblBorders>
        <w:shd w:val="clear" w:color="auto" w:fill="F0F8F9"/>
        <w:tblLook w:val="04A0"/>
      </w:tblPr>
      <w:tblGrid>
        <w:gridCol w:w="1417"/>
        <w:gridCol w:w="709"/>
        <w:gridCol w:w="850"/>
        <w:gridCol w:w="709"/>
        <w:gridCol w:w="851"/>
        <w:gridCol w:w="708"/>
        <w:gridCol w:w="851"/>
        <w:gridCol w:w="698"/>
      </w:tblGrid>
      <w:tr w14:paraId="4426CB85" w14:textId="77777777" w:rsidTr="001B7764">
        <w:tblPrEx>
          <w:tblW w:w="0" w:type="auto"/>
          <w:tblInd w:w="567" w:type="dxa"/>
          <w:tblBorders>
            <w:top w:val="none" w:sz="0" w:space="0" w:color="auto"/>
            <w:bottom w:val="none" w:sz="0" w:space="0" w:color="auto"/>
            <w:insideH w:val="none" w:sz="0" w:space="0" w:color="auto"/>
          </w:tblBorders>
          <w:shd w:val="clear" w:color="auto" w:fill="F0F8F9"/>
          <w:tblLook w:val="04A0"/>
        </w:tblPrEx>
        <w:tc>
          <w:tcPr>
            <w:tcW w:w="1417" w:type="dxa"/>
            <w:shd w:val="clear" w:color="auto" w:fill="C8DCE4"/>
          </w:tcPr>
          <w:p w:rsidR="001B7764" w:rsidRPr="00FA052F" w:rsidP="00711A1D" w14:paraId="25713231" w14:textId="77777777">
            <w:pPr>
              <w:pStyle w:val="73R"/>
              <w:rPr>
                <w:rtl/>
              </w:rPr>
            </w:pPr>
          </w:p>
        </w:tc>
        <w:tc>
          <w:tcPr>
            <w:tcW w:w="709" w:type="dxa"/>
            <w:shd w:val="clear" w:color="auto" w:fill="C8DCE4"/>
          </w:tcPr>
          <w:p w:rsidR="001B7764" w:rsidRPr="0039724C" w:rsidP="00711A1D" w14:paraId="029F46D0" w14:textId="77777777">
            <w:pPr>
              <w:pStyle w:val="73R"/>
              <w:rPr>
                <w:b/>
                <w:bCs/>
                <w:rtl/>
              </w:rPr>
            </w:pPr>
            <w:r w:rsidRPr="0039724C">
              <w:rPr>
                <w:rFonts w:hint="cs"/>
                <w:b/>
                <w:bCs/>
                <w:rtl/>
              </w:rPr>
              <w:t>2022</w:t>
            </w:r>
          </w:p>
        </w:tc>
        <w:tc>
          <w:tcPr>
            <w:tcW w:w="850" w:type="dxa"/>
            <w:shd w:val="clear" w:color="auto" w:fill="C8DCE4"/>
          </w:tcPr>
          <w:p w:rsidR="001B7764" w:rsidRPr="0039724C" w:rsidP="00711A1D" w14:paraId="336C5834" w14:textId="77777777">
            <w:pPr>
              <w:pStyle w:val="73R"/>
              <w:rPr>
                <w:b/>
                <w:bCs/>
                <w:rtl/>
              </w:rPr>
            </w:pPr>
            <w:r w:rsidRPr="0039724C">
              <w:rPr>
                <w:rFonts w:hint="cs"/>
                <w:b/>
                <w:bCs/>
                <w:rtl/>
              </w:rPr>
              <w:t>2023</w:t>
            </w:r>
          </w:p>
        </w:tc>
        <w:tc>
          <w:tcPr>
            <w:tcW w:w="709" w:type="dxa"/>
            <w:shd w:val="clear" w:color="auto" w:fill="C8DCE4"/>
          </w:tcPr>
          <w:p w:rsidR="001B7764" w:rsidRPr="0039724C" w:rsidP="00711A1D" w14:paraId="5E809709" w14:textId="77777777">
            <w:pPr>
              <w:pStyle w:val="73R"/>
              <w:rPr>
                <w:b/>
                <w:bCs/>
                <w:rtl/>
              </w:rPr>
            </w:pPr>
            <w:r w:rsidRPr="0039724C">
              <w:rPr>
                <w:rFonts w:hint="cs"/>
                <w:b/>
                <w:bCs/>
                <w:rtl/>
              </w:rPr>
              <w:t>2024</w:t>
            </w:r>
          </w:p>
        </w:tc>
        <w:tc>
          <w:tcPr>
            <w:tcW w:w="851" w:type="dxa"/>
            <w:shd w:val="clear" w:color="auto" w:fill="C8DCE4"/>
          </w:tcPr>
          <w:p w:rsidR="001B7764" w:rsidRPr="0039724C" w:rsidP="00711A1D" w14:paraId="062F2471" w14:textId="77777777">
            <w:pPr>
              <w:pStyle w:val="73R"/>
              <w:rPr>
                <w:b/>
                <w:bCs/>
                <w:rtl/>
              </w:rPr>
            </w:pPr>
            <w:r w:rsidRPr="0039724C">
              <w:rPr>
                <w:rFonts w:hint="cs"/>
                <w:b/>
                <w:bCs/>
                <w:rtl/>
              </w:rPr>
              <w:t>2025</w:t>
            </w:r>
          </w:p>
        </w:tc>
        <w:tc>
          <w:tcPr>
            <w:tcW w:w="708" w:type="dxa"/>
            <w:shd w:val="clear" w:color="auto" w:fill="C8DCE4"/>
          </w:tcPr>
          <w:p w:rsidR="001B7764" w:rsidRPr="0039724C" w:rsidP="00711A1D" w14:paraId="5995B34E" w14:textId="77777777">
            <w:pPr>
              <w:pStyle w:val="73R"/>
              <w:rPr>
                <w:b/>
                <w:bCs/>
                <w:rtl/>
              </w:rPr>
            </w:pPr>
            <w:r w:rsidRPr="0039724C">
              <w:rPr>
                <w:rFonts w:hint="cs"/>
                <w:b/>
                <w:bCs/>
                <w:rtl/>
              </w:rPr>
              <w:t>2026</w:t>
            </w:r>
          </w:p>
        </w:tc>
        <w:tc>
          <w:tcPr>
            <w:tcW w:w="851" w:type="dxa"/>
            <w:shd w:val="clear" w:color="auto" w:fill="C8DCE4"/>
          </w:tcPr>
          <w:p w:rsidR="001B7764" w:rsidRPr="0039724C" w:rsidP="00711A1D" w14:paraId="5F0C9046" w14:textId="77777777">
            <w:pPr>
              <w:pStyle w:val="73R"/>
              <w:rPr>
                <w:b/>
                <w:bCs/>
                <w:rtl/>
              </w:rPr>
            </w:pPr>
            <w:r w:rsidRPr="0039724C">
              <w:rPr>
                <w:rFonts w:hint="cs"/>
                <w:b/>
                <w:bCs/>
                <w:rtl/>
              </w:rPr>
              <w:t>2027</w:t>
            </w:r>
          </w:p>
        </w:tc>
        <w:tc>
          <w:tcPr>
            <w:tcW w:w="698" w:type="dxa"/>
            <w:shd w:val="clear" w:color="auto" w:fill="C8DCE4"/>
          </w:tcPr>
          <w:p w:rsidR="001B7764" w:rsidRPr="0039724C" w:rsidP="00711A1D" w14:paraId="0007BE93" w14:textId="77777777">
            <w:pPr>
              <w:pStyle w:val="73R"/>
              <w:rPr>
                <w:b/>
                <w:bCs/>
                <w:rtl/>
              </w:rPr>
            </w:pPr>
            <w:r w:rsidRPr="0039724C">
              <w:rPr>
                <w:rFonts w:hint="cs"/>
                <w:b/>
                <w:bCs/>
                <w:rtl/>
              </w:rPr>
              <w:t>2028</w:t>
            </w:r>
          </w:p>
        </w:tc>
      </w:tr>
      <w:tr w14:paraId="440B7621" w14:textId="77777777" w:rsidTr="001B7764">
        <w:tblPrEx>
          <w:tblW w:w="0" w:type="auto"/>
          <w:tblInd w:w="567" w:type="dxa"/>
          <w:shd w:val="clear" w:color="auto" w:fill="F0F8F9"/>
          <w:tblLook w:val="04A0"/>
        </w:tblPrEx>
        <w:tc>
          <w:tcPr>
            <w:tcW w:w="1417" w:type="dxa"/>
            <w:shd w:val="clear" w:color="auto" w:fill="DFECEF"/>
          </w:tcPr>
          <w:p w:rsidR="001B7764" w:rsidRPr="00FA052F" w:rsidP="00711A1D" w14:paraId="1F5A770D" w14:textId="77777777">
            <w:pPr>
              <w:pStyle w:val="73R"/>
              <w:rPr>
                <w:rtl/>
              </w:rPr>
            </w:pPr>
            <w:r w:rsidRPr="00FA052F">
              <w:rPr>
                <w:rtl/>
              </w:rPr>
              <w:t>פחם</w:t>
            </w:r>
          </w:p>
        </w:tc>
        <w:tc>
          <w:tcPr>
            <w:tcW w:w="709" w:type="dxa"/>
            <w:shd w:val="clear" w:color="auto" w:fill="DFECEF"/>
          </w:tcPr>
          <w:p w:rsidR="001B7764" w:rsidRPr="00FA052F" w:rsidP="00711A1D" w14:paraId="6C95E4A5" w14:textId="77777777">
            <w:pPr>
              <w:pStyle w:val="73R"/>
              <w:rPr>
                <w:rtl/>
              </w:rPr>
            </w:pPr>
            <w:r w:rsidRPr="00FA052F">
              <w:t>45</w:t>
            </w:r>
          </w:p>
        </w:tc>
        <w:tc>
          <w:tcPr>
            <w:tcW w:w="850" w:type="dxa"/>
            <w:shd w:val="clear" w:color="auto" w:fill="DFECEF"/>
          </w:tcPr>
          <w:p w:rsidR="001B7764" w:rsidRPr="00FA052F" w:rsidP="00711A1D" w14:paraId="4D716D40" w14:textId="77777777">
            <w:pPr>
              <w:pStyle w:val="73R"/>
              <w:rPr>
                <w:rtl/>
              </w:rPr>
            </w:pPr>
            <w:r w:rsidRPr="00FA052F">
              <w:t>57</w:t>
            </w:r>
          </w:p>
        </w:tc>
        <w:tc>
          <w:tcPr>
            <w:tcW w:w="709" w:type="dxa"/>
            <w:shd w:val="clear" w:color="auto" w:fill="DFECEF"/>
          </w:tcPr>
          <w:p w:rsidR="001B7764" w:rsidRPr="00FA052F" w:rsidP="00711A1D" w14:paraId="13790BE4" w14:textId="77777777">
            <w:pPr>
              <w:pStyle w:val="73R"/>
              <w:rPr>
                <w:rtl/>
              </w:rPr>
            </w:pPr>
            <w:r w:rsidRPr="00FA052F">
              <w:t>72</w:t>
            </w:r>
          </w:p>
        </w:tc>
        <w:tc>
          <w:tcPr>
            <w:tcW w:w="851" w:type="dxa"/>
            <w:shd w:val="clear" w:color="auto" w:fill="DFECEF"/>
          </w:tcPr>
          <w:p w:rsidR="001B7764" w:rsidRPr="00FA052F" w:rsidP="00711A1D" w14:paraId="25C9E2ED" w14:textId="77777777">
            <w:pPr>
              <w:pStyle w:val="73R"/>
              <w:rPr>
                <w:rtl/>
              </w:rPr>
            </w:pPr>
            <w:r w:rsidRPr="00FA052F">
              <w:t>93</w:t>
            </w:r>
          </w:p>
        </w:tc>
        <w:tc>
          <w:tcPr>
            <w:tcW w:w="708" w:type="dxa"/>
            <w:shd w:val="clear" w:color="auto" w:fill="DFECEF"/>
          </w:tcPr>
          <w:p w:rsidR="001B7764" w:rsidRPr="00FA052F" w:rsidP="00711A1D" w14:paraId="4D13614F" w14:textId="77777777">
            <w:pPr>
              <w:pStyle w:val="73R"/>
              <w:rPr>
                <w:rtl/>
              </w:rPr>
            </w:pPr>
            <w:r w:rsidRPr="00FA052F">
              <w:t>119</w:t>
            </w:r>
          </w:p>
        </w:tc>
        <w:tc>
          <w:tcPr>
            <w:tcW w:w="851" w:type="dxa"/>
            <w:shd w:val="clear" w:color="auto" w:fill="DFECEF"/>
          </w:tcPr>
          <w:p w:rsidR="001B7764" w:rsidRPr="00FA052F" w:rsidP="00711A1D" w14:paraId="7B88EAEA" w14:textId="77777777">
            <w:pPr>
              <w:pStyle w:val="73R"/>
              <w:rPr>
                <w:rtl/>
              </w:rPr>
            </w:pPr>
            <w:r w:rsidRPr="00FA052F">
              <w:t>153</w:t>
            </w:r>
          </w:p>
        </w:tc>
        <w:tc>
          <w:tcPr>
            <w:tcW w:w="698" w:type="dxa"/>
            <w:shd w:val="clear" w:color="auto" w:fill="DFECEF"/>
          </w:tcPr>
          <w:p w:rsidR="001B7764" w:rsidRPr="00FA052F" w:rsidP="00711A1D" w14:paraId="4EA8FD55" w14:textId="77777777">
            <w:pPr>
              <w:pStyle w:val="73R"/>
              <w:rPr>
                <w:rtl/>
              </w:rPr>
            </w:pPr>
            <w:r w:rsidRPr="00FA052F">
              <w:t>197</w:t>
            </w:r>
          </w:p>
        </w:tc>
      </w:tr>
      <w:tr w14:paraId="0C92B4AC" w14:textId="77777777" w:rsidTr="001B7764">
        <w:tblPrEx>
          <w:tblW w:w="0" w:type="auto"/>
          <w:tblInd w:w="567" w:type="dxa"/>
          <w:shd w:val="clear" w:color="auto" w:fill="F0F8F9"/>
          <w:tblLook w:val="04A0"/>
        </w:tblPrEx>
        <w:tc>
          <w:tcPr>
            <w:tcW w:w="1417" w:type="dxa"/>
            <w:shd w:val="clear" w:color="auto" w:fill="F0F8F9"/>
          </w:tcPr>
          <w:p w:rsidR="001B7764" w:rsidRPr="00FA052F" w:rsidP="00711A1D" w14:paraId="06BF9813" w14:textId="77777777">
            <w:pPr>
              <w:pStyle w:val="73R"/>
              <w:rPr>
                <w:rtl/>
              </w:rPr>
            </w:pPr>
            <w:r w:rsidRPr="00FA052F">
              <w:rPr>
                <w:rtl/>
              </w:rPr>
              <w:t>גז טבעי</w:t>
            </w:r>
          </w:p>
        </w:tc>
        <w:tc>
          <w:tcPr>
            <w:tcW w:w="709" w:type="dxa"/>
            <w:shd w:val="clear" w:color="auto" w:fill="F0F8F9"/>
          </w:tcPr>
          <w:p w:rsidR="001B7764" w:rsidRPr="00FA052F" w:rsidP="00711A1D" w14:paraId="7F39BA56" w14:textId="77777777">
            <w:pPr>
              <w:pStyle w:val="73R"/>
              <w:rPr>
                <w:rtl/>
              </w:rPr>
            </w:pPr>
            <w:r w:rsidRPr="00FA052F">
              <w:t>6</w:t>
            </w:r>
          </w:p>
        </w:tc>
        <w:tc>
          <w:tcPr>
            <w:tcW w:w="850" w:type="dxa"/>
            <w:shd w:val="clear" w:color="auto" w:fill="F0F8F9"/>
          </w:tcPr>
          <w:p w:rsidR="001B7764" w:rsidRPr="00FA052F" w:rsidP="00711A1D" w14:paraId="64AE603D" w14:textId="77777777">
            <w:pPr>
              <w:pStyle w:val="73R"/>
              <w:rPr>
                <w:rtl/>
              </w:rPr>
            </w:pPr>
            <w:r w:rsidRPr="00FA052F">
              <w:t>10</w:t>
            </w:r>
          </w:p>
        </w:tc>
        <w:tc>
          <w:tcPr>
            <w:tcW w:w="709" w:type="dxa"/>
            <w:shd w:val="clear" w:color="auto" w:fill="F0F8F9"/>
          </w:tcPr>
          <w:p w:rsidR="001B7764" w:rsidRPr="00FA052F" w:rsidP="00711A1D" w14:paraId="10AEECB0" w14:textId="77777777">
            <w:pPr>
              <w:pStyle w:val="73R"/>
              <w:rPr>
                <w:rtl/>
              </w:rPr>
            </w:pPr>
            <w:r w:rsidRPr="00FA052F">
              <w:t>16</w:t>
            </w:r>
          </w:p>
        </w:tc>
        <w:tc>
          <w:tcPr>
            <w:tcW w:w="851" w:type="dxa"/>
            <w:shd w:val="clear" w:color="auto" w:fill="F0F8F9"/>
          </w:tcPr>
          <w:p w:rsidR="001B7764" w:rsidRPr="00FA052F" w:rsidP="00711A1D" w14:paraId="21BADE53" w14:textId="77777777">
            <w:pPr>
              <w:pStyle w:val="73R"/>
              <w:rPr>
                <w:rtl/>
              </w:rPr>
            </w:pPr>
            <w:r w:rsidRPr="00FA052F">
              <w:t>23</w:t>
            </w:r>
          </w:p>
        </w:tc>
        <w:tc>
          <w:tcPr>
            <w:tcW w:w="708" w:type="dxa"/>
            <w:shd w:val="clear" w:color="auto" w:fill="F0F8F9"/>
          </w:tcPr>
          <w:p w:rsidR="001B7764" w:rsidRPr="00FA052F" w:rsidP="00711A1D" w14:paraId="18EFED72" w14:textId="77777777">
            <w:pPr>
              <w:pStyle w:val="73R"/>
              <w:rPr>
                <w:rtl/>
              </w:rPr>
            </w:pPr>
            <w:r w:rsidRPr="00FA052F">
              <w:t>33</w:t>
            </w:r>
          </w:p>
        </w:tc>
        <w:tc>
          <w:tcPr>
            <w:tcW w:w="851" w:type="dxa"/>
            <w:shd w:val="clear" w:color="auto" w:fill="F0F8F9"/>
          </w:tcPr>
          <w:p w:rsidR="001B7764" w:rsidRPr="00FA052F" w:rsidP="00711A1D" w14:paraId="4774F958" w14:textId="77777777">
            <w:pPr>
              <w:pStyle w:val="73R"/>
              <w:rPr>
                <w:rtl/>
              </w:rPr>
            </w:pPr>
            <w:r w:rsidRPr="00FA052F">
              <w:t>45</w:t>
            </w:r>
          </w:p>
        </w:tc>
        <w:tc>
          <w:tcPr>
            <w:tcW w:w="698" w:type="dxa"/>
            <w:shd w:val="clear" w:color="auto" w:fill="F0F8F9"/>
          </w:tcPr>
          <w:p w:rsidR="001B7764" w:rsidRPr="00FA052F" w:rsidP="00711A1D" w14:paraId="6D8E7105" w14:textId="77777777">
            <w:pPr>
              <w:pStyle w:val="73R"/>
              <w:rPr>
                <w:rtl/>
              </w:rPr>
            </w:pPr>
            <w:r w:rsidRPr="00FA052F">
              <w:t>61</w:t>
            </w:r>
          </w:p>
        </w:tc>
      </w:tr>
      <w:tr w14:paraId="4C573484" w14:textId="77777777" w:rsidTr="001B7764">
        <w:tblPrEx>
          <w:tblW w:w="0" w:type="auto"/>
          <w:tblInd w:w="567" w:type="dxa"/>
          <w:shd w:val="clear" w:color="auto" w:fill="F0F8F9"/>
          <w:tblLook w:val="04A0"/>
        </w:tblPrEx>
        <w:tc>
          <w:tcPr>
            <w:tcW w:w="1417" w:type="dxa"/>
            <w:shd w:val="clear" w:color="auto" w:fill="DFECEF"/>
          </w:tcPr>
          <w:p w:rsidR="001B7764" w:rsidRPr="00FA052F" w:rsidP="00711A1D" w14:paraId="7329D4AB" w14:textId="77777777">
            <w:pPr>
              <w:pStyle w:val="73R"/>
              <w:rPr>
                <w:rtl/>
              </w:rPr>
            </w:pPr>
            <w:r w:rsidRPr="00FA052F">
              <w:rPr>
                <w:rtl/>
              </w:rPr>
              <w:t>גפ"מ</w:t>
            </w:r>
          </w:p>
        </w:tc>
        <w:tc>
          <w:tcPr>
            <w:tcW w:w="709" w:type="dxa"/>
            <w:shd w:val="clear" w:color="auto" w:fill="DFECEF"/>
          </w:tcPr>
          <w:p w:rsidR="001B7764" w:rsidRPr="00FA052F" w:rsidP="00711A1D" w14:paraId="26D08814" w14:textId="77777777">
            <w:pPr>
              <w:pStyle w:val="73R"/>
              <w:rPr>
                <w:rtl/>
              </w:rPr>
            </w:pPr>
            <w:r w:rsidRPr="00FA052F">
              <w:t>41</w:t>
            </w:r>
          </w:p>
        </w:tc>
        <w:tc>
          <w:tcPr>
            <w:tcW w:w="850" w:type="dxa"/>
            <w:shd w:val="clear" w:color="auto" w:fill="DFECEF"/>
          </w:tcPr>
          <w:p w:rsidR="001B7764" w:rsidRPr="00FA052F" w:rsidP="00711A1D" w14:paraId="290126BB" w14:textId="77777777">
            <w:pPr>
              <w:pStyle w:val="73R"/>
              <w:rPr>
                <w:rtl/>
              </w:rPr>
            </w:pPr>
            <w:r w:rsidRPr="00FA052F">
              <w:t>54</w:t>
            </w:r>
          </w:p>
        </w:tc>
        <w:tc>
          <w:tcPr>
            <w:tcW w:w="709" w:type="dxa"/>
            <w:shd w:val="clear" w:color="auto" w:fill="DFECEF"/>
          </w:tcPr>
          <w:p w:rsidR="001B7764" w:rsidRPr="00FA052F" w:rsidP="00711A1D" w14:paraId="2C37A801" w14:textId="77777777">
            <w:pPr>
              <w:pStyle w:val="73R"/>
              <w:rPr>
                <w:rtl/>
              </w:rPr>
            </w:pPr>
            <w:r w:rsidRPr="00FA052F">
              <w:t>69</w:t>
            </w:r>
          </w:p>
        </w:tc>
        <w:tc>
          <w:tcPr>
            <w:tcW w:w="851" w:type="dxa"/>
            <w:shd w:val="clear" w:color="auto" w:fill="DFECEF"/>
          </w:tcPr>
          <w:p w:rsidR="001B7764" w:rsidRPr="00FA052F" w:rsidP="00711A1D" w14:paraId="6E35008F" w14:textId="77777777">
            <w:pPr>
              <w:pStyle w:val="73R"/>
              <w:rPr>
                <w:rtl/>
              </w:rPr>
            </w:pPr>
            <w:r w:rsidRPr="00FA052F">
              <w:t>90</w:t>
            </w:r>
          </w:p>
        </w:tc>
        <w:tc>
          <w:tcPr>
            <w:tcW w:w="708" w:type="dxa"/>
            <w:shd w:val="clear" w:color="auto" w:fill="DFECEF"/>
          </w:tcPr>
          <w:p w:rsidR="001B7764" w:rsidRPr="00FA052F" w:rsidP="00711A1D" w14:paraId="026351C2" w14:textId="77777777">
            <w:pPr>
              <w:pStyle w:val="73R"/>
              <w:rPr>
                <w:rtl/>
              </w:rPr>
            </w:pPr>
            <w:r w:rsidRPr="00FA052F">
              <w:t>117</w:t>
            </w:r>
          </w:p>
        </w:tc>
        <w:tc>
          <w:tcPr>
            <w:tcW w:w="851" w:type="dxa"/>
            <w:shd w:val="clear" w:color="auto" w:fill="DFECEF"/>
          </w:tcPr>
          <w:p w:rsidR="001B7764" w:rsidRPr="00FA052F" w:rsidP="00711A1D" w14:paraId="374430DB" w14:textId="77777777">
            <w:pPr>
              <w:pStyle w:val="73R"/>
              <w:rPr>
                <w:rtl/>
              </w:rPr>
            </w:pPr>
            <w:r w:rsidRPr="00FA052F">
              <w:t>152</w:t>
            </w:r>
          </w:p>
        </w:tc>
        <w:tc>
          <w:tcPr>
            <w:tcW w:w="698" w:type="dxa"/>
            <w:shd w:val="clear" w:color="auto" w:fill="DFECEF"/>
          </w:tcPr>
          <w:p w:rsidR="001B7764" w:rsidRPr="00FA052F" w:rsidP="00711A1D" w14:paraId="4E130FEF" w14:textId="77777777">
            <w:pPr>
              <w:pStyle w:val="73R"/>
              <w:rPr>
                <w:rtl/>
              </w:rPr>
            </w:pPr>
            <w:r w:rsidRPr="00FA052F">
              <w:t>197</w:t>
            </w:r>
          </w:p>
        </w:tc>
      </w:tr>
      <w:tr w14:paraId="0F57A0AB" w14:textId="77777777" w:rsidTr="001B7764">
        <w:tblPrEx>
          <w:tblW w:w="0" w:type="auto"/>
          <w:tblInd w:w="567" w:type="dxa"/>
          <w:shd w:val="clear" w:color="auto" w:fill="F0F8F9"/>
          <w:tblLook w:val="04A0"/>
        </w:tblPrEx>
        <w:tc>
          <w:tcPr>
            <w:tcW w:w="1417" w:type="dxa"/>
            <w:shd w:val="clear" w:color="auto" w:fill="F0F8F9"/>
          </w:tcPr>
          <w:p w:rsidR="001B7764" w:rsidRPr="00FA052F" w:rsidP="00711A1D" w14:paraId="48868CFC" w14:textId="77777777">
            <w:pPr>
              <w:pStyle w:val="73R"/>
              <w:rPr>
                <w:rtl/>
              </w:rPr>
            </w:pPr>
            <w:r w:rsidRPr="00FA052F">
              <w:rPr>
                <w:rtl/>
              </w:rPr>
              <w:t xml:space="preserve">מזוט 0.5% </w:t>
            </w:r>
          </w:p>
        </w:tc>
        <w:tc>
          <w:tcPr>
            <w:tcW w:w="709" w:type="dxa"/>
            <w:shd w:val="clear" w:color="auto" w:fill="F0F8F9"/>
          </w:tcPr>
          <w:p w:rsidR="001B7764" w:rsidRPr="00FA052F" w:rsidP="00711A1D" w14:paraId="6CDB8200" w14:textId="77777777">
            <w:pPr>
              <w:pStyle w:val="73R"/>
              <w:rPr>
                <w:rtl/>
              </w:rPr>
            </w:pPr>
            <w:r w:rsidRPr="00FA052F">
              <w:t>5</w:t>
            </w:r>
          </w:p>
        </w:tc>
        <w:tc>
          <w:tcPr>
            <w:tcW w:w="850" w:type="dxa"/>
            <w:shd w:val="clear" w:color="auto" w:fill="F0F8F9"/>
          </w:tcPr>
          <w:p w:rsidR="001B7764" w:rsidRPr="00FA052F" w:rsidP="00711A1D" w14:paraId="3C172DC4" w14:textId="77777777">
            <w:pPr>
              <w:pStyle w:val="73R"/>
              <w:rPr>
                <w:rtl/>
              </w:rPr>
            </w:pPr>
            <w:r w:rsidRPr="00FA052F">
              <w:t>25</w:t>
            </w:r>
          </w:p>
        </w:tc>
        <w:tc>
          <w:tcPr>
            <w:tcW w:w="709" w:type="dxa"/>
            <w:shd w:val="clear" w:color="auto" w:fill="F0F8F9"/>
          </w:tcPr>
          <w:p w:rsidR="001B7764" w:rsidRPr="00FA052F" w:rsidP="00711A1D" w14:paraId="6043841B" w14:textId="77777777">
            <w:pPr>
              <w:pStyle w:val="73R"/>
              <w:rPr>
                <w:rtl/>
              </w:rPr>
            </w:pPr>
            <w:r w:rsidRPr="00FA052F">
              <w:t>52</w:t>
            </w:r>
          </w:p>
        </w:tc>
        <w:tc>
          <w:tcPr>
            <w:tcW w:w="851" w:type="dxa"/>
            <w:shd w:val="clear" w:color="auto" w:fill="F0F8F9"/>
          </w:tcPr>
          <w:p w:rsidR="001B7764" w:rsidRPr="00FA052F" w:rsidP="00711A1D" w14:paraId="192FD9BA" w14:textId="77777777">
            <w:pPr>
              <w:pStyle w:val="73R"/>
              <w:rPr>
                <w:rtl/>
              </w:rPr>
            </w:pPr>
            <w:r w:rsidRPr="00FA052F">
              <w:t>86</w:t>
            </w:r>
          </w:p>
        </w:tc>
        <w:tc>
          <w:tcPr>
            <w:tcW w:w="708" w:type="dxa"/>
            <w:shd w:val="clear" w:color="auto" w:fill="F0F8F9"/>
          </w:tcPr>
          <w:p w:rsidR="001B7764" w:rsidRPr="00FA052F" w:rsidP="00711A1D" w14:paraId="5BC066D9" w14:textId="77777777">
            <w:pPr>
              <w:pStyle w:val="73R"/>
              <w:rPr>
                <w:rtl/>
              </w:rPr>
            </w:pPr>
            <w:r w:rsidRPr="00FA052F">
              <w:t>131</w:t>
            </w:r>
          </w:p>
        </w:tc>
        <w:tc>
          <w:tcPr>
            <w:tcW w:w="851" w:type="dxa"/>
            <w:shd w:val="clear" w:color="auto" w:fill="F0F8F9"/>
          </w:tcPr>
          <w:p w:rsidR="001B7764" w:rsidRPr="00FA052F" w:rsidP="00711A1D" w14:paraId="7F366819" w14:textId="77777777">
            <w:pPr>
              <w:pStyle w:val="73R"/>
              <w:rPr>
                <w:rtl/>
              </w:rPr>
            </w:pPr>
            <w:r w:rsidRPr="00FA052F">
              <w:t>189</w:t>
            </w:r>
          </w:p>
        </w:tc>
        <w:tc>
          <w:tcPr>
            <w:tcW w:w="698" w:type="dxa"/>
            <w:shd w:val="clear" w:color="auto" w:fill="F0F8F9"/>
          </w:tcPr>
          <w:p w:rsidR="001B7764" w:rsidRPr="00FA052F" w:rsidP="00711A1D" w14:paraId="65447C0B" w14:textId="77777777">
            <w:pPr>
              <w:pStyle w:val="73R"/>
              <w:rPr>
                <w:rtl/>
              </w:rPr>
            </w:pPr>
            <w:r w:rsidRPr="00FA052F">
              <w:t>264</w:t>
            </w:r>
          </w:p>
        </w:tc>
      </w:tr>
      <w:tr w14:paraId="2046B856" w14:textId="77777777" w:rsidTr="001B7764">
        <w:tblPrEx>
          <w:tblW w:w="0" w:type="auto"/>
          <w:tblInd w:w="567" w:type="dxa"/>
          <w:shd w:val="clear" w:color="auto" w:fill="F0F8F9"/>
          <w:tblLook w:val="04A0"/>
        </w:tblPrEx>
        <w:tc>
          <w:tcPr>
            <w:tcW w:w="1417" w:type="dxa"/>
            <w:shd w:val="clear" w:color="auto" w:fill="DFECEF"/>
          </w:tcPr>
          <w:p w:rsidR="001B7764" w:rsidRPr="00FA052F" w:rsidP="00711A1D" w14:paraId="2FBB7E76" w14:textId="1722D0DA">
            <w:pPr>
              <w:pStyle w:val="73R"/>
              <w:rPr>
                <w:rtl/>
              </w:rPr>
            </w:pPr>
            <w:r w:rsidRPr="00FA052F">
              <w:rPr>
                <w:rtl/>
              </w:rPr>
              <w:t>מזוט 1%</w:t>
            </w:r>
            <w:r w:rsidR="000C327F">
              <w:rPr>
                <w:rFonts w:hint="cs"/>
                <w:rtl/>
              </w:rPr>
              <w:t>**</w:t>
            </w:r>
            <w:r w:rsidRPr="00FA052F">
              <w:rPr>
                <w:rtl/>
              </w:rPr>
              <w:t xml:space="preserve"> </w:t>
            </w:r>
          </w:p>
        </w:tc>
        <w:tc>
          <w:tcPr>
            <w:tcW w:w="709" w:type="dxa"/>
            <w:shd w:val="clear" w:color="auto" w:fill="DFECEF"/>
          </w:tcPr>
          <w:p w:rsidR="001B7764" w:rsidRPr="00FA052F" w:rsidP="00711A1D" w14:paraId="46EF5380" w14:textId="77777777">
            <w:pPr>
              <w:pStyle w:val="73R"/>
              <w:rPr>
                <w:rtl/>
              </w:rPr>
            </w:pPr>
            <w:r w:rsidRPr="00FA052F">
              <w:t>5</w:t>
            </w:r>
          </w:p>
        </w:tc>
        <w:tc>
          <w:tcPr>
            <w:tcW w:w="850" w:type="dxa"/>
            <w:shd w:val="clear" w:color="auto" w:fill="DFECEF"/>
          </w:tcPr>
          <w:p w:rsidR="001B7764" w:rsidRPr="00FA052F" w:rsidP="00711A1D" w14:paraId="66633F26" w14:textId="77777777">
            <w:pPr>
              <w:pStyle w:val="73R"/>
              <w:rPr>
                <w:rtl/>
              </w:rPr>
            </w:pPr>
            <w:r w:rsidRPr="00FA052F">
              <w:t>275</w:t>
            </w:r>
          </w:p>
        </w:tc>
        <w:tc>
          <w:tcPr>
            <w:tcW w:w="709" w:type="dxa"/>
            <w:shd w:val="clear" w:color="auto" w:fill="DFECEF"/>
          </w:tcPr>
          <w:p w:rsidR="001B7764" w:rsidRPr="00FA052F" w:rsidP="00711A1D" w14:paraId="087A72FE" w14:textId="77777777">
            <w:pPr>
              <w:pStyle w:val="73R"/>
              <w:rPr>
                <w:rtl/>
              </w:rPr>
            </w:pPr>
            <w:r w:rsidRPr="00FA052F">
              <w:t>302</w:t>
            </w:r>
          </w:p>
        </w:tc>
        <w:tc>
          <w:tcPr>
            <w:tcW w:w="851" w:type="dxa"/>
            <w:shd w:val="clear" w:color="auto" w:fill="DFECEF"/>
          </w:tcPr>
          <w:p w:rsidR="001B7764" w:rsidRPr="00FA052F" w:rsidP="00711A1D" w14:paraId="5C9A3A1C" w14:textId="77777777">
            <w:pPr>
              <w:pStyle w:val="73R"/>
              <w:rPr>
                <w:rtl/>
              </w:rPr>
            </w:pPr>
            <w:r w:rsidRPr="00FA052F">
              <w:t>336</w:t>
            </w:r>
          </w:p>
        </w:tc>
        <w:tc>
          <w:tcPr>
            <w:tcW w:w="708" w:type="dxa"/>
            <w:shd w:val="clear" w:color="auto" w:fill="DFECEF"/>
          </w:tcPr>
          <w:p w:rsidR="001B7764" w:rsidRPr="00FA052F" w:rsidP="00711A1D" w14:paraId="23B43B16" w14:textId="77777777">
            <w:pPr>
              <w:pStyle w:val="73R"/>
              <w:rPr>
                <w:rtl/>
              </w:rPr>
            </w:pPr>
            <w:r w:rsidRPr="00FA052F">
              <w:t>380</w:t>
            </w:r>
          </w:p>
        </w:tc>
        <w:tc>
          <w:tcPr>
            <w:tcW w:w="851" w:type="dxa"/>
            <w:shd w:val="clear" w:color="auto" w:fill="DFECEF"/>
          </w:tcPr>
          <w:p w:rsidR="001B7764" w:rsidRPr="00FA052F" w:rsidP="00711A1D" w14:paraId="544B7895" w14:textId="77777777">
            <w:pPr>
              <w:pStyle w:val="73R"/>
              <w:rPr>
                <w:rtl/>
              </w:rPr>
            </w:pPr>
            <w:r w:rsidRPr="00FA052F">
              <w:t>438</w:t>
            </w:r>
          </w:p>
        </w:tc>
        <w:tc>
          <w:tcPr>
            <w:tcW w:w="698" w:type="dxa"/>
            <w:shd w:val="clear" w:color="auto" w:fill="DFECEF"/>
          </w:tcPr>
          <w:p w:rsidR="001B7764" w:rsidRPr="00FA052F" w:rsidP="00711A1D" w14:paraId="6E5DD1CE" w14:textId="77777777">
            <w:pPr>
              <w:pStyle w:val="73R"/>
              <w:rPr>
                <w:rtl/>
              </w:rPr>
            </w:pPr>
            <w:r w:rsidRPr="00FA052F">
              <w:t>514</w:t>
            </w:r>
          </w:p>
        </w:tc>
      </w:tr>
      <w:tr w14:paraId="28F4D487" w14:textId="77777777" w:rsidTr="001B7764">
        <w:tblPrEx>
          <w:tblW w:w="0" w:type="auto"/>
          <w:tblInd w:w="567" w:type="dxa"/>
          <w:shd w:val="clear" w:color="auto" w:fill="F0F8F9"/>
          <w:tblLook w:val="04A0"/>
        </w:tblPrEx>
        <w:tc>
          <w:tcPr>
            <w:tcW w:w="1417" w:type="dxa"/>
            <w:shd w:val="clear" w:color="auto" w:fill="F0F8F9"/>
          </w:tcPr>
          <w:p w:rsidR="001B7764" w:rsidRPr="00FA052F" w:rsidP="00711A1D" w14:paraId="541A6F51" w14:textId="77777777">
            <w:pPr>
              <w:pStyle w:val="73R"/>
              <w:rPr>
                <w:rtl/>
              </w:rPr>
            </w:pPr>
            <w:r w:rsidRPr="00FA052F">
              <w:rPr>
                <w:rtl/>
              </w:rPr>
              <w:t>פטקוק</w:t>
            </w:r>
          </w:p>
        </w:tc>
        <w:tc>
          <w:tcPr>
            <w:tcW w:w="709" w:type="dxa"/>
            <w:shd w:val="clear" w:color="auto" w:fill="F0F8F9"/>
          </w:tcPr>
          <w:p w:rsidR="001B7764" w:rsidRPr="00FA052F" w:rsidP="00711A1D" w14:paraId="152D597C" w14:textId="77777777">
            <w:pPr>
              <w:pStyle w:val="73R"/>
              <w:rPr>
                <w:rtl/>
              </w:rPr>
            </w:pPr>
            <w:r w:rsidRPr="00FA052F">
              <w:t>15</w:t>
            </w:r>
          </w:p>
        </w:tc>
        <w:tc>
          <w:tcPr>
            <w:tcW w:w="850" w:type="dxa"/>
            <w:shd w:val="clear" w:color="auto" w:fill="F0F8F9"/>
          </w:tcPr>
          <w:p w:rsidR="001B7764" w:rsidRPr="00FA052F" w:rsidP="00711A1D" w14:paraId="07CEA279" w14:textId="77777777">
            <w:pPr>
              <w:pStyle w:val="73R"/>
              <w:rPr>
                <w:rtl/>
              </w:rPr>
            </w:pPr>
            <w:r w:rsidRPr="00FA052F">
              <w:t>29</w:t>
            </w:r>
          </w:p>
        </w:tc>
        <w:tc>
          <w:tcPr>
            <w:tcW w:w="709" w:type="dxa"/>
            <w:shd w:val="clear" w:color="auto" w:fill="F0F8F9"/>
          </w:tcPr>
          <w:p w:rsidR="001B7764" w:rsidRPr="00FA052F" w:rsidP="00711A1D" w14:paraId="1D3BA6D2" w14:textId="77777777">
            <w:pPr>
              <w:pStyle w:val="73R"/>
              <w:rPr>
                <w:rtl/>
              </w:rPr>
            </w:pPr>
            <w:r w:rsidRPr="00FA052F">
              <w:t>48</w:t>
            </w:r>
          </w:p>
        </w:tc>
        <w:tc>
          <w:tcPr>
            <w:tcW w:w="851" w:type="dxa"/>
            <w:shd w:val="clear" w:color="auto" w:fill="F0F8F9"/>
          </w:tcPr>
          <w:p w:rsidR="001B7764" w:rsidRPr="00FA052F" w:rsidP="00711A1D" w14:paraId="147B75DF" w14:textId="77777777">
            <w:pPr>
              <w:pStyle w:val="73R"/>
              <w:rPr>
                <w:rtl/>
              </w:rPr>
            </w:pPr>
            <w:r w:rsidRPr="00FA052F">
              <w:t>72</w:t>
            </w:r>
          </w:p>
        </w:tc>
        <w:tc>
          <w:tcPr>
            <w:tcW w:w="708" w:type="dxa"/>
            <w:shd w:val="clear" w:color="auto" w:fill="F0F8F9"/>
          </w:tcPr>
          <w:p w:rsidR="001B7764" w:rsidRPr="00FA052F" w:rsidP="00711A1D" w14:paraId="5F65AC99" w14:textId="77777777">
            <w:pPr>
              <w:pStyle w:val="73R"/>
              <w:rPr>
                <w:rtl/>
              </w:rPr>
            </w:pPr>
            <w:r w:rsidRPr="00FA052F">
              <w:t>103</w:t>
            </w:r>
          </w:p>
        </w:tc>
        <w:tc>
          <w:tcPr>
            <w:tcW w:w="851" w:type="dxa"/>
            <w:shd w:val="clear" w:color="auto" w:fill="F0F8F9"/>
          </w:tcPr>
          <w:p w:rsidR="001B7764" w:rsidRPr="00FA052F" w:rsidP="00711A1D" w14:paraId="5A9B5973" w14:textId="77777777">
            <w:pPr>
              <w:pStyle w:val="73R"/>
              <w:rPr>
                <w:rtl/>
              </w:rPr>
            </w:pPr>
            <w:r w:rsidRPr="00FA052F">
              <w:t>144</w:t>
            </w:r>
          </w:p>
        </w:tc>
        <w:tc>
          <w:tcPr>
            <w:tcW w:w="698" w:type="dxa"/>
            <w:shd w:val="clear" w:color="auto" w:fill="F0F8F9"/>
          </w:tcPr>
          <w:p w:rsidR="001B7764" w:rsidRPr="00FA052F" w:rsidP="00711A1D" w14:paraId="14C371E3" w14:textId="77777777">
            <w:pPr>
              <w:pStyle w:val="73R"/>
              <w:rPr>
                <w:rtl/>
              </w:rPr>
            </w:pPr>
            <w:r w:rsidRPr="00FA052F">
              <w:t>197</w:t>
            </w:r>
          </w:p>
        </w:tc>
      </w:tr>
    </w:tbl>
    <w:p w:rsidR="00F20E3F" w:rsidRPr="00E33B91" w:rsidP="00E33B91" w14:paraId="1D82D904" w14:textId="77777777">
      <w:pPr>
        <w:pStyle w:val="737"/>
        <w:spacing w:after="0"/>
        <w:ind w:left="397"/>
        <w:rPr>
          <w:rtl/>
        </w:rPr>
      </w:pPr>
      <w:r w:rsidRPr="00E33B91">
        <w:rPr>
          <w:rFonts w:hint="cs"/>
          <w:rtl/>
        </w:rPr>
        <w:t>המקור: נתוני אגף הכלכלנית הראשית, משרד האוצר.</w:t>
      </w:r>
    </w:p>
    <w:p w:rsidR="00F20E3F" w:rsidRPr="00E33B91" w:rsidP="00E33B91" w14:paraId="3FCC376F" w14:textId="3AE8CE8D">
      <w:pPr>
        <w:pStyle w:val="737"/>
        <w:spacing w:before="0" w:after="0"/>
        <w:ind w:left="707" w:hanging="310"/>
        <w:rPr>
          <w:rtl/>
        </w:rPr>
      </w:pPr>
      <w:r w:rsidRPr="00E33B91">
        <w:rPr>
          <w:rFonts w:hint="cs"/>
          <w:rtl/>
        </w:rPr>
        <w:t xml:space="preserve">* </w:t>
      </w:r>
      <w:r w:rsidR="00E33B91">
        <w:tab/>
      </w:r>
      <w:r w:rsidRPr="00E33B91">
        <w:rPr>
          <w:rtl/>
        </w:rPr>
        <w:t xml:space="preserve">שער </w:t>
      </w:r>
      <w:r w:rsidRPr="00E33B91">
        <w:rPr>
          <w:rFonts w:hint="cs"/>
          <w:rtl/>
        </w:rPr>
        <w:t>ה</w:t>
      </w:r>
      <w:r w:rsidRPr="00E33B91">
        <w:rPr>
          <w:rtl/>
        </w:rPr>
        <w:t>חליפין בשנת 2021: 3.28 ש"ח /</w:t>
      </w:r>
      <w:r w:rsidRPr="00E33B91">
        <w:rPr>
          <w:rFonts w:hint="cs"/>
          <w:rtl/>
        </w:rPr>
        <w:t xml:space="preserve"> </w:t>
      </w:r>
      <w:r w:rsidRPr="00E33B91">
        <w:rPr>
          <w:rtl/>
        </w:rPr>
        <w:t>דולר ארה"ב</w:t>
      </w:r>
      <w:r w:rsidRPr="00E33B91">
        <w:rPr>
          <w:rFonts w:hint="cs"/>
          <w:rtl/>
        </w:rPr>
        <w:t xml:space="preserve"> אחד.</w:t>
      </w:r>
    </w:p>
    <w:p w:rsidR="00F20E3F" w:rsidRPr="00E33B91" w:rsidP="00E33B91" w14:paraId="18777405" w14:textId="1048CD65">
      <w:pPr>
        <w:pStyle w:val="737"/>
        <w:spacing w:before="0"/>
        <w:ind w:left="707" w:hanging="310"/>
        <w:rPr>
          <w:rtl/>
        </w:rPr>
      </w:pPr>
      <w:r w:rsidRPr="00E33B91">
        <w:rPr>
          <w:rFonts w:hint="cs"/>
          <w:rtl/>
        </w:rPr>
        <w:t xml:space="preserve">** </w:t>
      </w:r>
      <w:r w:rsidR="00E33B91">
        <w:tab/>
      </w:r>
      <w:r w:rsidRPr="00E33B91">
        <w:rPr>
          <w:rtl/>
        </w:rPr>
        <w:t>המס על מזוט 1% כולל תוספת המגל</w:t>
      </w:r>
      <w:r w:rsidRPr="00E33B91">
        <w:rPr>
          <w:rFonts w:hint="cs"/>
          <w:rtl/>
        </w:rPr>
        <w:t>מת</w:t>
      </w:r>
      <w:r w:rsidRPr="00E33B91">
        <w:rPr>
          <w:rtl/>
        </w:rPr>
        <w:t xml:space="preserve"> עלות </w:t>
      </w:r>
      <w:r w:rsidRPr="00E33B91">
        <w:rPr>
          <w:rFonts w:hint="cs"/>
          <w:rtl/>
        </w:rPr>
        <w:t xml:space="preserve">של </w:t>
      </w:r>
      <w:r w:rsidRPr="00E33B91">
        <w:rPr>
          <w:rtl/>
        </w:rPr>
        <w:t>פליטות תחמוצות ג</w:t>
      </w:r>
      <w:r w:rsidRPr="00E33B91">
        <w:rPr>
          <w:rFonts w:hint="cs"/>
          <w:rtl/>
        </w:rPr>
        <w:t>ו</w:t>
      </w:r>
      <w:r w:rsidRPr="00E33B91">
        <w:rPr>
          <w:rtl/>
        </w:rPr>
        <w:t>פרית</w:t>
      </w:r>
      <w:r w:rsidRPr="00E33B91">
        <w:rPr>
          <w:rFonts w:hint="cs"/>
          <w:rtl/>
        </w:rPr>
        <w:t>.</w:t>
      </w:r>
    </w:p>
    <w:p w:rsidR="00F20E3F" w:rsidRPr="00E33B91" w:rsidP="00E33B91" w14:paraId="39AA9D5D" w14:textId="77777777">
      <w:pPr>
        <w:pStyle w:val="7316"/>
        <w:rPr>
          <w:rtl/>
        </w:rPr>
      </w:pPr>
      <w:r w:rsidRPr="00E33B91">
        <w:rPr>
          <w:rFonts w:hint="cs"/>
          <w:rtl/>
        </w:rPr>
        <w:t xml:space="preserve">מנתוני הלוח ניתן ללמוד כי בשנת 2028, השנה שבה אמור מס הפחמן להגיע לשיאו ולשקף את התמחור המלא לפי המלצת המשרד </w:t>
      </w:r>
      <w:r w:rsidRPr="00E33B91">
        <w:rPr>
          <w:rFonts w:hint="cs"/>
          <w:rtl/>
        </w:rPr>
        <w:t>להג"ס</w:t>
      </w:r>
      <w:r w:rsidRPr="00E33B91">
        <w:rPr>
          <w:rFonts w:hint="cs"/>
          <w:rtl/>
        </w:rPr>
        <w:t xml:space="preserve">, מס הפחמן צפוי להגיע </w:t>
      </w:r>
      <w:r w:rsidRPr="00E33B91">
        <w:rPr>
          <w:rFonts w:hint="cs"/>
          <w:rtl/>
        </w:rPr>
        <w:t>להגיע</w:t>
      </w:r>
      <w:r w:rsidRPr="00E33B91">
        <w:rPr>
          <w:rFonts w:hint="cs"/>
          <w:rtl/>
        </w:rPr>
        <w:t xml:space="preserve"> ל-197 ש"ח, לאחר עדכון שנתי של 2.1%, זאת למעט מחיר המזוט הכולל גם הפנמת חלק מהעלויות החיצוניות של מזהמים מקומיים ועל כן מס הפחמן עליו גבוה יותר.</w:t>
      </w:r>
    </w:p>
    <w:p w:rsidR="00F20E3F" w:rsidRPr="00E33B91" w:rsidP="00E33B91" w14:paraId="6163BF71" w14:textId="77777777">
      <w:pPr>
        <w:pStyle w:val="718"/>
        <w:rPr>
          <w:rtl/>
        </w:rPr>
      </w:pPr>
      <w:r w:rsidRPr="00E33B91">
        <w:rPr>
          <w:rFonts w:hint="cs"/>
          <w:rtl/>
        </w:rPr>
        <w:t xml:space="preserve">ביקורת המעקב העלתה כי מתווה מס הפחמן שנקבע בהחלטת הממשלה 286 נעצר בשנת 2028, ללא מנגנון עדכון מחיר שנתי של 2.1% וללא הצמדה להמלצות תמחור בין-לאומיות שצפויות לעלות, ומהן נגזרה המלצת התמחור הישראלית. במצב זה, גם לו היה מיושם המתווה, הוא היה מתחיל להישחק בשנת 2029, ואף קודם לכן. </w:t>
      </w:r>
    </w:p>
    <w:p w:rsidR="00F20E3F" w:rsidRPr="00E33B91" w:rsidP="00E33B91" w14:paraId="4AB436E7" w14:textId="77777777">
      <w:pPr>
        <w:pStyle w:val="718"/>
        <w:rPr>
          <w:rtl/>
        </w:rPr>
      </w:pPr>
      <w:r w:rsidRPr="00E33B91">
        <w:rPr>
          <w:rFonts w:hint="cs"/>
          <w:rtl/>
        </w:rPr>
        <w:t xml:space="preserve">מוצע כי משרד האוצר יבחן, בהתייעצות עם המשרד </w:t>
      </w:r>
      <w:r w:rsidRPr="00E33B91">
        <w:rPr>
          <w:rFonts w:hint="cs"/>
          <w:rtl/>
        </w:rPr>
        <w:t>להג"ס</w:t>
      </w:r>
      <w:r w:rsidRPr="00E33B91">
        <w:rPr>
          <w:rFonts w:hint="cs"/>
          <w:rtl/>
        </w:rPr>
        <w:t xml:space="preserve">, משרד </w:t>
      </w:r>
      <w:r w:rsidRPr="00E33B91">
        <w:rPr>
          <w:rFonts w:hint="cs"/>
          <w:rtl/>
        </w:rPr>
        <w:t>האנרגייה</w:t>
      </w:r>
      <w:r w:rsidRPr="00E33B91">
        <w:rPr>
          <w:rFonts w:hint="cs"/>
          <w:rtl/>
        </w:rPr>
        <w:t xml:space="preserve"> ובנק ישראל, עדכון מתווה מס הפחמן כך שיכלול מנגנון עדכון עלות בהתאם להמלצות התמחור הבין-לאומי.</w:t>
      </w:r>
    </w:p>
    <w:p w:rsidR="00F20E3F" w:rsidP="00C44928" w14:paraId="7EAB287C" w14:textId="77777777">
      <w:pPr>
        <w:pStyle w:val="734"/>
        <w:numPr>
          <w:ilvl w:val="0"/>
          <w:numId w:val="76"/>
        </w:numPr>
      </w:pPr>
      <w:r>
        <w:rPr>
          <w:rFonts w:hint="cs"/>
          <w:rtl/>
        </w:rPr>
        <w:t xml:space="preserve">מנתוני משרד האוצר עולה כי תמחור מס הפחמן על גז טבעי במתווה החלטת הממשלה 286 משקף הפנמה חלקית </w:t>
      </w:r>
      <w:r w:rsidRPr="0040464F">
        <w:rPr>
          <w:rtl/>
        </w:rPr>
        <w:t xml:space="preserve">של 31% </w:t>
      </w:r>
      <w:r>
        <w:rPr>
          <w:rFonts w:hint="cs"/>
          <w:rtl/>
        </w:rPr>
        <w:t xml:space="preserve">מפליטות </w:t>
      </w:r>
      <w:r>
        <w:rPr>
          <w:rFonts w:hint="cs"/>
          <w:rtl/>
        </w:rPr>
        <w:t>גז"ח</w:t>
      </w:r>
      <w:r>
        <w:rPr>
          <w:rFonts w:hint="cs"/>
          <w:rtl/>
        </w:rPr>
        <w:t xml:space="preserve"> שמקורן בשריפת </w:t>
      </w:r>
      <w:r w:rsidRPr="0040464F">
        <w:rPr>
          <w:rtl/>
        </w:rPr>
        <w:t>גז טבעי</w:t>
      </w:r>
      <w:r>
        <w:rPr>
          <w:rFonts w:hint="cs"/>
          <w:rtl/>
        </w:rPr>
        <w:t xml:space="preserve">. כאמור, שיעור פליטות </w:t>
      </w:r>
      <w:r>
        <w:rPr>
          <w:rFonts w:hint="cs"/>
          <w:rtl/>
        </w:rPr>
        <w:t>גז"ח</w:t>
      </w:r>
      <w:r>
        <w:rPr>
          <w:rFonts w:hint="cs"/>
          <w:rtl/>
        </w:rPr>
        <w:t xml:space="preserve"> של גז טבעי מסך פליטות </w:t>
      </w:r>
      <w:r>
        <w:rPr>
          <w:rFonts w:hint="cs"/>
          <w:rtl/>
        </w:rPr>
        <w:t>הגז"ח</w:t>
      </w:r>
      <w:r>
        <w:rPr>
          <w:rFonts w:hint="cs"/>
          <w:rtl/>
        </w:rPr>
        <w:t xml:space="preserve"> של הדלקים הוא הגבוה ביותר - 31%. הסיבה להפנמה של פחות משליש מהעלויות החיצוניות מגז טבעי נובעת מהתנגדותו של משרד </w:t>
      </w:r>
      <w:r>
        <w:rPr>
          <w:rFonts w:hint="cs"/>
          <w:rtl/>
        </w:rPr>
        <w:t>האנרגייה</w:t>
      </w:r>
      <w:r>
        <w:rPr>
          <w:rFonts w:hint="cs"/>
          <w:rtl/>
        </w:rPr>
        <w:t xml:space="preserve"> לעלייה במחירי החשמל ומדרישתו להגביל את העלייה בשיעור של</w:t>
      </w:r>
      <w:r w:rsidRPr="00687664">
        <w:rPr>
          <w:rtl/>
        </w:rPr>
        <w:t xml:space="preserve"> עד 5%</w:t>
      </w:r>
      <w:r>
        <w:rPr>
          <w:rFonts w:hint="cs"/>
          <w:rtl/>
        </w:rPr>
        <w:t xml:space="preserve">. הטלת מס פחמן מלא הייתה צפויה להעלות את מחיר החשמל בהדרגה ב-28%. לעמדת משרד האוצר, חשש זה של משרד </w:t>
      </w:r>
      <w:r>
        <w:rPr>
          <w:rFonts w:hint="cs"/>
          <w:rtl/>
        </w:rPr>
        <w:t>האנרגייה</w:t>
      </w:r>
      <w:r>
        <w:rPr>
          <w:rFonts w:hint="cs"/>
          <w:rtl/>
        </w:rPr>
        <w:t xml:space="preserve"> "</w:t>
      </w:r>
      <w:r w:rsidRPr="00687664">
        <w:rPr>
          <w:rtl/>
        </w:rPr>
        <w:t>בדיעבד התברר שלא רלוונטי כי החשמל עלה יותר בשל בין היתר מלחמת רוסיה אוקראינה</w:t>
      </w:r>
      <w:r>
        <w:rPr>
          <w:rFonts w:hint="cs"/>
          <w:rtl/>
        </w:rPr>
        <w:t>"</w:t>
      </w:r>
      <w:r w:rsidRPr="00687664">
        <w:rPr>
          <w:rtl/>
        </w:rPr>
        <w:t>.</w:t>
      </w:r>
      <w:r>
        <w:rPr>
          <w:rFonts w:hint="cs"/>
          <w:rtl/>
        </w:rPr>
        <w:t xml:space="preserve"> גם ארגון ה-</w:t>
      </w:r>
      <w:r>
        <w:rPr>
          <w:rFonts w:hint="cs"/>
        </w:rPr>
        <w:t>OECD</w:t>
      </w:r>
      <w:r>
        <w:rPr>
          <w:rFonts w:hint="cs"/>
          <w:rtl/>
        </w:rPr>
        <w:t xml:space="preserve"> התייחס בסקירת הביצועים הסביבתיים לשנת 2022 על ישראל שפרסם ב-2023 לאי-יישום מס פחמן ולעניין התמחור הנמוך של הגז הטבעי בציינו כי מחירו יהיה בשיאו כ-20 דולר ארה</w:t>
      </w:r>
      <w:r>
        <w:rPr>
          <w:rtl/>
        </w:rPr>
        <w:t>"</w:t>
      </w:r>
      <w:r>
        <w:rPr>
          <w:rFonts w:hint="cs"/>
          <w:rtl/>
        </w:rPr>
        <w:t>ב לטונה פחמן, נמוך בהרבה מהעלויות החיצוניות בפועל ומהמיסוי על דלקים אחרים</w:t>
      </w:r>
      <w:r>
        <w:rPr>
          <w:rStyle w:val="FootnoteReference2"/>
          <w:rtl/>
        </w:rPr>
        <w:footnoteReference w:id="83"/>
      </w:r>
      <w:r>
        <w:rPr>
          <w:rFonts w:hint="cs"/>
          <w:rtl/>
        </w:rPr>
        <w:t xml:space="preserve">. </w:t>
      </w:r>
    </w:p>
    <w:p w:rsidR="00F20E3F" w:rsidRPr="00E33B91" w:rsidP="00E33B91" w14:paraId="073D24D2" w14:textId="06AEBF33">
      <w:pPr>
        <w:pStyle w:val="718"/>
        <w:rPr>
          <w:rtl/>
        </w:rPr>
      </w:pPr>
      <w:r w:rsidRPr="00E33B91">
        <w:rPr>
          <w:rFonts w:hint="cs"/>
          <w:rtl/>
        </w:rPr>
        <w:t xml:space="preserve">נכון לשנת 2021 </w:t>
      </w:r>
      <w:r w:rsidRPr="00E33B91">
        <w:rPr>
          <w:rtl/>
        </w:rPr>
        <w:t>גז טבעי</w:t>
      </w:r>
      <w:r w:rsidRPr="00E33B91">
        <w:rPr>
          <w:rFonts w:hint="cs"/>
          <w:rtl/>
        </w:rPr>
        <w:t xml:space="preserve"> אחראי</w:t>
      </w:r>
      <w:r w:rsidRPr="00E33B91">
        <w:rPr>
          <w:rtl/>
        </w:rPr>
        <w:t xml:space="preserve"> </w:t>
      </w:r>
      <w:r w:rsidRPr="00E33B91">
        <w:rPr>
          <w:rFonts w:hint="cs"/>
          <w:rtl/>
        </w:rPr>
        <w:t>לבדו ל-41% מפליטות ה-</w:t>
      </w:r>
      <w:r w:rsidRPr="00E33B91">
        <w:t>CO</w:t>
      </w:r>
      <w:r w:rsidRPr="008B26C0">
        <w:rPr>
          <w:vertAlign w:val="subscript"/>
        </w:rPr>
        <w:t>2</w:t>
      </w:r>
      <w:r w:rsidRPr="00E33B91">
        <w:rPr>
          <w:rFonts w:hint="cs"/>
          <w:rtl/>
        </w:rPr>
        <w:t xml:space="preserve">, ושיעור זה צפוי לעלות </w:t>
      </w:r>
      <w:r w:rsidRPr="00E33B91" w:rsidR="00E33B91">
        <w:t xml:space="preserve"> </w:t>
      </w:r>
      <w:r w:rsidRPr="00E33B91">
        <w:rPr>
          <w:rFonts w:hint="cs"/>
          <w:rtl/>
        </w:rPr>
        <w:t>ל-60% מהפליטות עד שנת 2030. גם לו הייתה מיושמת החלטת הממשלה 286, ההפנמה של העלויות החיצוניות הנגרמות משריפת ה</w:t>
      </w:r>
      <w:r w:rsidRPr="00E33B91">
        <w:rPr>
          <w:rtl/>
        </w:rPr>
        <w:t>גז הטבעי</w:t>
      </w:r>
      <w:r w:rsidRPr="00E33B91">
        <w:rPr>
          <w:rFonts w:hint="cs"/>
          <w:rtl/>
        </w:rPr>
        <w:t xml:space="preserve">, הדלק המרכזי בפליטות </w:t>
      </w:r>
      <w:r w:rsidRPr="00E33B91">
        <w:rPr>
          <w:rFonts w:hint="cs"/>
          <w:rtl/>
        </w:rPr>
        <w:t>גז"ח</w:t>
      </w:r>
      <w:r w:rsidRPr="00E33B91">
        <w:rPr>
          <w:rFonts w:hint="cs"/>
          <w:rtl/>
        </w:rPr>
        <w:t xml:space="preserve"> בישראל והדומיננטי בסקטור </w:t>
      </w:r>
      <w:r w:rsidRPr="00E33B91">
        <w:rPr>
          <w:rFonts w:hint="cs"/>
          <w:rtl/>
        </w:rPr>
        <w:t>האנרגייה</w:t>
      </w:r>
      <w:r w:rsidRPr="00E33B91">
        <w:rPr>
          <w:rFonts w:hint="cs"/>
          <w:rtl/>
        </w:rPr>
        <w:t xml:space="preserve"> שבו פליטות </w:t>
      </w:r>
      <w:r w:rsidRPr="00E33B91">
        <w:rPr>
          <w:rFonts w:hint="cs"/>
          <w:rtl/>
        </w:rPr>
        <w:t>גז"ח</w:t>
      </w:r>
      <w:r w:rsidRPr="00E33B91">
        <w:rPr>
          <w:rFonts w:hint="cs"/>
          <w:rtl/>
        </w:rPr>
        <w:t xml:space="preserve"> לנפש הן הגבוהות ביותר, הייתה מגיעה לשיעור מרבי </w:t>
      </w:r>
      <w:r w:rsidRPr="00E33B91">
        <w:rPr>
          <w:rtl/>
        </w:rPr>
        <w:t xml:space="preserve">של </w:t>
      </w:r>
      <w:r w:rsidRPr="00E33B91">
        <w:rPr>
          <w:rFonts w:hint="cs"/>
          <w:rtl/>
        </w:rPr>
        <w:t xml:space="preserve">31% בלבד, ורק מהעלויות החיצוניות של פליטות </w:t>
      </w:r>
      <w:r w:rsidRPr="00E33B91">
        <w:t>CO</w:t>
      </w:r>
      <w:r w:rsidRPr="008B26C0">
        <w:rPr>
          <w:vertAlign w:val="subscript"/>
        </w:rPr>
        <w:t>2</w:t>
      </w:r>
      <w:r w:rsidRPr="00E33B91">
        <w:rPr>
          <w:rtl/>
        </w:rPr>
        <w:t xml:space="preserve"> </w:t>
      </w:r>
      <w:r w:rsidRPr="00E33B91">
        <w:rPr>
          <w:rFonts w:hint="cs"/>
          <w:rtl/>
        </w:rPr>
        <w:t xml:space="preserve">(ורק החל בשנת 2028). לעומת זאת, </w:t>
      </w:r>
      <w:r w:rsidRPr="00E33B91">
        <w:rPr>
          <w:rtl/>
        </w:rPr>
        <w:t>בהפנמה מלאה</w:t>
      </w:r>
      <w:r w:rsidRPr="00E33B91">
        <w:rPr>
          <w:rFonts w:hint="cs"/>
          <w:rtl/>
        </w:rPr>
        <w:t xml:space="preserve"> של העלויות, מחיר ה-</w:t>
      </w:r>
      <w:r w:rsidRPr="00E33B91">
        <w:t xml:space="preserve"> CO</w:t>
      </w:r>
      <w:r w:rsidRPr="008B26C0">
        <w:rPr>
          <w:vertAlign w:val="subscript"/>
        </w:rPr>
        <w:t>2</w:t>
      </w:r>
      <w:r w:rsidRPr="00E33B91">
        <w:rPr>
          <w:rtl/>
        </w:rPr>
        <w:t>היה אמור להיות פי</w:t>
      </w:r>
      <w:r w:rsidRPr="00E33B91">
        <w:rPr>
          <w:rFonts w:hint="cs"/>
          <w:rtl/>
        </w:rPr>
        <w:t xml:space="preserve"> שלושה, ונדרש היה לתמחר גם את העלויות החיצוניות של יתר </w:t>
      </w:r>
      <w:r w:rsidRPr="00E33B91">
        <w:rPr>
          <w:rFonts w:hint="cs"/>
          <w:rtl/>
        </w:rPr>
        <w:t>הגז"ח</w:t>
      </w:r>
      <w:r>
        <w:rPr>
          <w:rStyle w:val="FootnoteReference2"/>
          <w:rtl/>
        </w:rPr>
        <w:footnoteReference w:id="84"/>
      </w:r>
      <w:r w:rsidRPr="00E33B91">
        <w:rPr>
          <w:rtl/>
        </w:rPr>
        <w:t>.</w:t>
      </w:r>
      <w:r w:rsidRPr="00E33B91">
        <w:rPr>
          <w:rFonts w:hint="cs"/>
          <w:rtl/>
        </w:rPr>
        <w:t xml:space="preserve"> משמעות הדבר היא שככל שמשק החשמל יצמצם את שריפת הפחם עד להפסקתה, כפי שקבעה הממשלה, וככל שיעלה שיעור הרכבים החשמליים - כך יגדל חלקו של הגז הטבעי בתמהיל הדלקים, ושיעור הפנמת העלויות החיצוניות באמצעות מס הפחמן יפחת בהתאם.</w:t>
      </w:r>
    </w:p>
    <w:p w:rsidR="00F20E3F" w:rsidRPr="00E33B91" w:rsidP="00E33B91" w14:paraId="4FBA44DC" w14:textId="4FA575F1">
      <w:pPr>
        <w:pStyle w:val="718"/>
        <w:rPr>
          <w:rtl/>
        </w:rPr>
      </w:pPr>
      <w:r w:rsidRPr="00E33B91">
        <w:rPr>
          <w:rFonts w:hint="cs"/>
          <w:rtl/>
        </w:rPr>
        <w:t>ההחלטה להגביל את עליית מחירי החשמל ב-5% הביאה לכרסום ניכר ביכולת של מתווה מס הפחמן שנקבע בהחלטת הממשלה 286, ולפיה יש להפנים את העלויות החיצוניות מהגז הטבעי - הדלק בעל שיעור</w:t>
      </w:r>
      <w:r w:rsidR="00482892">
        <w:rPr>
          <w:rFonts w:hint="cs"/>
          <w:rtl/>
        </w:rPr>
        <w:t xml:space="preserve"> הפליטות</w:t>
      </w:r>
      <w:r w:rsidRPr="00E33B91">
        <w:rPr>
          <w:rFonts w:hint="cs"/>
          <w:rtl/>
        </w:rPr>
        <w:t xml:space="preserve"> הגדול ביותר בישראל. התייקרות זו והעלייה הקלה ביוקר המחיה למשקי הבית - לו היה מיושם המתווה שלא צלח את מבחן היישום, משקפ</w:t>
      </w:r>
      <w:r w:rsidR="00D81375">
        <w:rPr>
          <w:rFonts w:hint="cs"/>
          <w:rtl/>
        </w:rPr>
        <w:t>ות</w:t>
      </w:r>
      <w:r w:rsidRPr="00E33B91">
        <w:rPr>
          <w:rFonts w:hint="cs"/>
          <w:rtl/>
        </w:rPr>
        <w:t xml:space="preserve"> את העובדה כי הגורמים הממשלתיים הנוגעים בדבר, ובראשם משרדי האוצר </w:t>
      </w:r>
      <w:r w:rsidRPr="00E33B91">
        <w:rPr>
          <w:rFonts w:hint="cs"/>
          <w:rtl/>
        </w:rPr>
        <w:t>והאנרגייה</w:t>
      </w:r>
      <w:r w:rsidRPr="00E33B91">
        <w:rPr>
          <w:rFonts w:hint="cs"/>
          <w:rtl/>
        </w:rPr>
        <w:t xml:space="preserve">, לא הטמיעו דייה את ההכרה בכך שאיפוס פחמני </w:t>
      </w:r>
      <w:r w:rsidRPr="00E33B91">
        <w:rPr>
          <w:rFonts w:hint="eastAsia"/>
          <w:rtl/>
        </w:rPr>
        <w:t>כרוך</w:t>
      </w:r>
      <w:r w:rsidRPr="00E33B91">
        <w:rPr>
          <w:rtl/>
        </w:rPr>
        <w:t xml:space="preserve"> </w:t>
      </w:r>
      <w:r w:rsidRPr="00E33B91">
        <w:rPr>
          <w:rFonts w:hint="cs"/>
          <w:rtl/>
        </w:rPr>
        <w:t xml:space="preserve">בדרך כלל </w:t>
      </w:r>
      <w:r w:rsidRPr="00E33B91">
        <w:rPr>
          <w:rFonts w:hint="eastAsia"/>
          <w:rtl/>
        </w:rPr>
        <w:t>בהתייקרות</w:t>
      </w:r>
      <w:r w:rsidRPr="00E33B91">
        <w:rPr>
          <w:rtl/>
        </w:rPr>
        <w:t xml:space="preserve"> </w:t>
      </w:r>
      <w:r w:rsidRPr="00E33B91">
        <w:rPr>
          <w:rFonts w:hint="eastAsia"/>
          <w:rtl/>
        </w:rPr>
        <w:t>החשמל</w:t>
      </w:r>
      <w:r w:rsidRPr="00E33B91">
        <w:rPr>
          <w:rtl/>
        </w:rPr>
        <w:t xml:space="preserve"> </w:t>
      </w:r>
      <w:r w:rsidRPr="00E33B91">
        <w:rPr>
          <w:rFonts w:hint="eastAsia"/>
          <w:rtl/>
        </w:rPr>
        <w:t>ובעלי</w:t>
      </w:r>
      <w:r w:rsidRPr="00E33B91">
        <w:rPr>
          <w:rFonts w:hint="cs"/>
          <w:rtl/>
        </w:rPr>
        <w:t>י</w:t>
      </w:r>
      <w:r w:rsidRPr="00E33B91">
        <w:rPr>
          <w:rFonts w:hint="eastAsia"/>
          <w:rtl/>
        </w:rPr>
        <w:t>ה</w:t>
      </w:r>
      <w:r w:rsidRPr="00E33B91">
        <w:rPr>
          <w:rtl/>
        </w:rPr>
        <w:t xml:space="preserve"> </w:t>
      </w:r>
      <w:r w:rsidRPr="00E33B91">
        <w:rPr>
          <w:rFonts w:hint="eastAsia"/>
          <w:rtl/>
        </w:rPr>
        <w:t>ביוקר</w:t>
      </w:r>
      <w:r w:rsidRPr="00E33B91">
        <w:rPr>
          <w:rtl/>
        </w:rPr>
        <w:t xml:space="preserve"> </w:t>
      </w:r>
      <w:r w:rsidRPr="00E33B91">
        <w:rPr>
          <w:rFonts w:hint="eastAsia"/>
          <w:rtl/>
        </w:rPr>
        <w:t>המחיה</w:t>
      </w:r>
      <w:r w:rsidRPr="00E33B91">
        <w:rPr>
          <w:rFonts w:hint="cs"/>
          <w:rtl/>
        </w:rPr>
        <w:t xml:space="preserve"> בסקטור </w:t>
      </w:r>
      <w:r w:rsidRPr="00E33B91">
        <w:rPr>
          <w:rFonts w:hint="cs"/>
          <w:rtl/>
        </w:rPr>
        <w:t>האנרגייה</w:t>
      </w:r>
      <w:r w:rsidRPr="00E33B91">
        <w:rPr>
          <w:rFonts w:hint="cs"/>
          <w:rtl/>
        </w:rPr>
        <w:t xml:space="preserve"> ובסקטור התחבורה המונעת בדלק</w:t>
      </w:r>
      <w:r w:rsidRPr="00E33B91">
        <w:rPr>
          <w:rtl/>
        </w:rPr>
        <w:t xml:space="preserve">, </w:t>
      </w:r>
      <w:r w:rsidRPr="00E33B91">
        <w:rPr>
          <w:rFonts w:hint="eastAsia"/>
          <w:rtl/>
        </w:rPr>
        <w:t>וכי</w:t>
      </w:r>
      <w:r w:rsidRPr="00E33B91">
        <w:rPr>
          <w:rtl/>
        </w:rPr>
        <w:t xml:space="preserve"> </w:t>
      </w:r>
      <w:r w:rsidRPr="00E33B91">
        <w:rPr>
          <w:rFonts w:hint="eastAsia"/>
          <w:rtl/>
        </w:rPr>
        <w:t>הדבר</w:t>
      </w:r>
      <w:r w:rsidRPr="00E33B91">
        <w:rPr>
          <w:rtl/>
        </w:rPr>
        <w:t xml:space="preserve"> בל</w:t>
      </w:r>
      <w:r w:rsidRPr="00E33B91">
        <w:rPr>
          <w:rFonts w:hint="eastAsia"/>
          <w:rtl/>
        </w:rPr>
        <w:t>תי</w:t>
      </w:r>
      <w:r w:rsidRPr="00E33B91">
        <w:rPr>
          <w:rtl/>
        </w:rPr>
        <w:t xml:space="preserve"> </w:t>
      </w:r>
      <w:r w:rsidRPr="00E33B91">
        <w:rPr>
          <w:rFonts w:hint="eastAsia"/>
          <w:rtl/>
        </w:rPr>
        <w:t>נמנע</w:t>
      </w:r>
      <w:r w:rsidRPr="00E33B91">
        <w:rPr>
          <w:rtl/>
        </w:rPr>
        <w:t xml:space="preserve">. </w:t>
      </w:r>
      <w:r w:rsidRPr="00E33B91">
        <w:rPr>
          <w:rFonts w:hint="eastAsia"/>
          <w:rtl/>
        </w:rPr>
        <w:t>נוכח</w:t>
      </w:r>
      <w:r w:rsidRPr="00E33B91">
        <w:rPr>
          <w:rtl/>
        </w:rPr>
        <w:t xml:space="preserve"> </w:t>
      </w:r>
      <w:r w:rsidRPr="00E33B91">
        <w:rPr>
          <w:rFonts w:hint="eastAsia"/>
          <w:rtl/>
        </w:rPr>
        <w:t>העובדה</w:t>
      </w:r>
      <w:r w:rsidRPr="00E33B91">
        <w:rPr>
          <w:rtl/>
        </w:rPr>
        <w:t xml:space="preserve"> </w:t>
      </w:r>
      <w:r w:rsidRPr="00E33B91">
        <w:rPr>
          <w:rFonts w:hint="eastAsia"/>
          <w:rtl/>
        </w:rPr>
        <w:t>כי</w:t>
      </w:r>
      <w:r w:rsidRPr="00E33B91">
        <w:rPr>
          <w:rtl/>
        </w:rPr>
        <w:t xml:space="preserve"> </w:t>
      </w:r>
      <w:r w:rsidRPr="00E33B91">
        <w:rPr>
          <w:rFonts w:hint="eastAsia"/>
          <w:rtl/>
        </w:rPr>
        <w:t>מ</w:t>
      </w:r>
      <w:r w:rsidRPr="00E33B91">
        <w:rPr>
          <w:rtl/>
        </w:rPr>
        <w:t xml:space="preserve">תווה </w:t>
      </w:r>
      <w:r w:rsidRPr="00E33B91">
        <w:rPr>
          <w:rFonts w:hint="eastAsia"/>
          <w:rtl/>
        </w:rPr>
        <w:t>מס</w:t>
      </w:r>
      <w:r w:rsidRPr="00E33B91">
        <w:rPr>
          <w:rtl/>
        </w:rPr>
        <w:t xml:space="preserve"> הפחמן שבהחלטת </w:t>
      </w:r>
      <w:r w:rsidRPr="00E33B91">
        <w:rPr>
          <w:rFonts w:hint="cs"/>
          <w:rtl/>
        </w:rPr>
        <w:t>ה</w:t>
      </w:r>
      <w:r w:rsidRPr="00E33B91">
        <w:rPr>
          <w:rtl/>
        </w:rPr>
        <w:t xml:space="preserve">ממשלה 286 לא יושם, מוצע </w:t>
      </w:r>
      <w:r w:rsidRPr="00E33B91">
        <w:rPr>
          <w:rFonts w:hint="eastAsia"/>
          <w:rtl/>
        </w:rPr>
        <w:t>כי</w:t>
      </w:r>
      <w:r w:rsidRPr="00E33B91">
        <w:rPr>
          <w:rtl/>
        </w:rPr>
        <w:t xml:space="preserve"> </w:t>
      </w:r>
      <w:r w:rsidRPr="00E33B91">
        <w:rPr>
          <w:rFonts w:hint="cs"/>
          <w:rtl/>
        </w:rPr>
        <w:t>קודם</w:t>
      </w:r>
      <w:r w:rsidRPr="00E33B91">
        <w:rPr>
          <w:rtl/>
        </w:rPr>
        <w:t xml:space="preserve"> אימוץ מתווה חדש תתבצע בדיקה מחודשת ומעמיקה </w:t>
      </w:r>
      <w:r w:rsidRPr="00E33B91">
        <w:rPr>
          <w:rFonts w:hint="eastAsia"/>
          <w:rtl/>
        </w:rPr>
        <w:t>אשר</w:t>
      </w:r>
      <w:r w:rsidRPr="00E33B91">
        <w:rPr>
          <w:rtl/>
        </w:rPr>
        <w:t xml:space="preserve"> תיתן את הדעת </w:t>
      </w:r>
      <w:r w:rsidRPr="00E33B91">
        <w:rPr>
          <w:rFonts w:hint="eastAsia"/>
          <w:rtl/>
        </w:rPr>
        <w:t>לא</w:t>
      </w:r>
      <w:r w:rsidRPr="00E33B91">
        <w:rPr>
          <w:rtl/>
        </w:rPr>
        <w:t xml:space="preserve"> </w:t>
      </w:r>
      <w:r w:rsidRPr="00E33B91">
        <w:rPr>
          <w:rFonts w:hint="eastAsia"/>
          <w:rtl/>
        </w:rPr>
        <w:t>רק</w:t>
      </w:r>
      <w:r w:rsidRPr="00E33B91">
        <w:rPr>
          <w:rtl/>
        </w:rPr>
        <w:t xml:space="preserve"> </w:t>
      </w:r>
      <w:r w:rsidRPr="00E33B91">
        <w:rPr>
          <w:rFonts w:hint="cs"/>
          <w:rtl/>
        </w:rPr>
        <w:t>ע</w:t>
      </w:r>
      <w:r w:rsidRPr="00E33B91">
        <w:rPr>
          <w:rFonts w:hint="eastAsia"/>
          <w:rtl/>
        </w:rPr>
        <w:t>ל</w:t>
      </w:r>
      <w:r w:rsidRPr="00E33B91">
        <w:rPr>
          <w:rFonts w:hint="cs"/>
          <w:rtl/>
        </w:rPr>
        <w:t xml:space="preserve"> ה</w:t>
      </w:r>
      <w:r w:rsidRPr="00E33B91">
        <w:rPr>
          <w:rFonts w:hint="eastAsia"/>
          <w:rtl/>
        </w:rPr>
        <w:t>שאלה</w:t>
      </w:r>
      <w:r w:rsidRPr="00E33B91">
        <w:rPr>
          <w:rtl/>
        </w:rPr>
        <w:t xml:space="preserve"> </w:t>
      </w:r>
      <w:r w:rsidRPr="00E33B91">
        <w:rPr>
          <w:rFonts w:hint="eastAsia"/>
          <w:rtl/>
        </w:rPr>
        <w:t>כיצד</w:t>
      </w:r>
      <w:r w:rsidRPr="00E33B91">
        <w:rPr>
          <w:rtl/>
        </w:rPr>
        <w:t xml:space="preserve"> מצמצמים את ההתייקרות, </w:t>
      </w:r>
      <w:r w:rsidRPr="00E33B91">
        <w:rPr>
          <w:rFonts w:hint="eastAsia"/>
          <w:rtl/>
        </w:rPr>
        <w:t>אלא</w:t>
      </w:r>
      <w:r w:rsidRPr="00E33B91">
        <w:rPr>
          <w:rtl/>
        </w:rPr>
        <w:t xml:space="preserve"> </w:t>
      </w:r>
      <w:r w:rsidRPr="00E33B91">
        <w:rPr>
          <w:rFonts w:hint="eastAsia"/>
          <w:rtl/>
        </w:rPr>
        <w:t>גם</w:t>
      </w:r>
      <w:r w:rsidRPr="00E33B91">
        <w:rPr>
          <w:rtl/>
        </w:rPr>
        <w:t xml:space="preserve"> </w:t>
      </w:r>
      <w:r w:rsidRPr="00E33B91">
        <w:rPr>
          <w:rFonts w:hint="cs"/>
          <w:rtl/>
        </w:rPr>
        <w:t>ע</w:t>
      </w:r>
      <w:r w:rsidRPr="00E33B91">
        <w:rPr>
          <w:rFonts w:hint="eastAsia"/>
          <w:rtl/>
        </w:rPr>
        <w:t>ל</w:t>
      </w:r>
      <w:r w:rsidRPr="00E33B91">
        <w:rPr>
          <w:rFonts w:hint="cs"/>
          <w:rtl/>
        </w:rPr>
        <w:t xml:space="preserve"> </w:t>
      </w:r>
      <w:r w:rsidRPr="00E33B91">
        <w:rPr>
          <w:rFonts w:hint="eastAsia"/>
          <w:rtl/>
        </w:rPr>
        <w:t>יצירת</w:t>
      </w:r>
      <w:r w:rsidRPr="00E33B91">
        <w:rPr>
          <w:rtl/>
        </w:rPr>
        <w:t xml:space="preserve"> מנגנונים </w:t>
      </w:r>
      <w:r w:rsidRPr="00E33B91">
        <w:rPr>
          <w:rFonts w:hint="eastAsia"/>
          <w:rtl/>
        </w:rPr>
        <w:t>שיפצו</w:t>
      </w:r>
      <w:r w:rsidRPr="00E33B91">
        <w:rPr>
          <w:rtl/>
        </w:rPr>
        <w:t xml:space="preserve"> </w:t>
      </w:r>
      <w:r w:rsidRPr="00E33B91">
        <w:rPr>
          <w:rFonts w:hint="eastAsia"/>
          <w:rtl/>
        </w:rPr>
        <w:t>על</w:t>
      </w:r>
      <w:r w:rsidRPr="00E33B91">
        <w:rPr>
          <w:rtl/>
        </w:rPr>
        <w:t xml:space="preserve"> </w:t>
      </w:r>
      <w:r w:rsidRPr="00E33B91">
        <w:rPr>
          <w:rFonts w:hint="eastAsia"/>
          <w:rtl/>
        </w:rPr>
        <w:t>ההתייקרות</w:t>
      </w:r>
      <w:r w:rsidRPr="00E33B91">
        <w:rPr>
          <w:rtl/>
        </w:rPr>
        <w:t xml:space="preserve"> </w:t>
      </w:r>
      <w:r w:rsidRPr="00E33B91">
        <w:rPr>
          <w:rFonts w:hint="eastAsia"/>
          <w:rtl/>
        </w:rPr>
        <w:t>הצפויה</w:t>
      </w:r>
      <w:r w:rsidRPr="00E33B91">
        <w:rPr>
          <w:rtl/>
        </w:rPr>
        <w:t xml:space="preserve">, בין היתר באמצעות </w:t>
      </w:r>
      <w:r w:rsidRPr="00E33B91">
        <w:rPr>
          <w:rFonts w:hint="eastAsia"/>
          <w:rtl/>
        </w:rPr>
        <w:t>תקבולים</w:t>
      </w:r>
      <w:r w:rsidRPr="00E33B91">
        <w:rPr>
          <w:rtl/>
        </w:rPr>
        <w:t xml:space="preserve"> </w:t>
      </w:r>
      <w:r w:rsidRPr="00E33B91">
        <w:rPr>
          <w:rFonts w:hint="eastAsia"/>
          <w:rtl/>
        </w:rPr>
        <w:t>ממס</w:t>
      </w:r>
      <w:r w:rsidRPr="00E33B91">
        <w:rPr>
          <w:rtl/>
        </w:rPr>
        <w:t xml:space="preserve"> </w:t>
      </w:r>
      <w:r w:rsidRPr="00E33B91">
        <w:rPr>
          <w:rFonts w:hint="eastAsia"/>
          <w:rtl/>
        </w:rPr>
        <w:t>פחמן</w:t>
      </w:r>
      <w:r w:rsidR="00482892">
        <w:rPr>
          <w:rFonts w:hint="cs"/>
          <w:rtl/>
        </w:rPr>
        <w:t>.</w:t>
      </w:r>
      <w:r w:rsidRPr="00E33B91">
        <w:rPr>
          <w:rtl/>
        </w:rPr>
        <w:t xml:space="preserve"> </w:t>
      </w:r>
      <w:r w:rsidRPr="00E33B91">
        <w:rPr>
          <w:rFonts w:hint="eastAsia"/>
          <w:rtl/>
        </w:rPr>
        <w:t>באופן</w:t>
      </w:r>
      <w:r w:rsidRPr="00E33B91">
        <w:rPr>
          <w:rtl/>
        </w:rPr>
        <w:t xml:space="preserve"> זה </w:t>
      </w:r>
      <w:r w:rsidR="00482892">
        <w:rPr>
          <w:rFonts w:hint="cs"/>
          <w:rtl/>
        </w:rPr>
        <w:t>ניתן יהיה</w:t>
      </w:r>
      <w:r w:rsidRPr="00E33B91">
        <w:rPr>
          <w:rtl/>
        </w:rPr>
        <w:t xml:space="preserve"> לבחון מחדש </w:t>
      </w:r>
      <w:r w:rsidRPr="00E33B91">
        <w:rPr>
          <w:rFonts w:hint="cs"/>
          <w:rtl/>
        </w:rPr>
        <w:t xml:space="preserve">את </w:t>
      </w:r>
      <w:r w:rsidRPr="00E33B91">
        <w:rPr>
          <w:rtl/>
        </w:rPr>
        <w:t>ההחלטה להגביל את עליית מחירי החשמל</w:t>
      </w:r>
      <w:r w:rsidRPr="00E33B91">
        <w:rPr>
          <w:rFonts w:hint="cs"/>
          <w:rtl/>
        </w:rPr>
        <w:t xml:space="preserve"> וכן דרכים </w:t>
      </w:r>
      <w:r w:rsidRPr="00E33B91">
        <w:rPr>
          <w:rFonts w:hint="eastAsia"/>
          <w:rtl/>
        </w:rPr>
        <w:t>להפחתת</w:t>
      </w:r>
      <w:r w:rsidRPr="00E33B91">
        <w:rPr>
          <w:rtl/>
        </w:rPr>
        <w:t xml:space="preserve"> </w:t>
      </w:r>
      <w:r w:rsidRPr="00E33B91">
        <w:rPr>
          <w:rFonts w:hint="eastAsia"/>
          <w:rtl/>
        </w:rPr>
        <w:t>מ</w:t>
      </w:r>
      <w:r w:rsidRPr="00E33B91">
        <w:rPr>
          <w:rFonts w:hint="cs"/>
          <w:rtl/>
        </w:rPr>
        <w:t>יסים ולהורדת יוקר המחיה בתחומים אחרים, כפי שהציעה ועדת מיסוי ירוק 3 בראשות משרד האוצר עצמו, אשר יקזזו את השפעות מס הפחמן על יוקר המחיה</w:t>
      </w:r>
      <w:r w:rsidRPr="00E33B91">
        <w:rPr>
          <w:rtl/>
        </w:rPr>
        <w:t>.</w:t>
      </w:r>
    </w:p>
    <w:p w:rsidR="003824AD" w:rsidRPr="006C304E" w:rsidP="003824AD" w14:paraId="0DFAB39F" w14:textId="77777777">
      <w:pPr>
        <w:pStyle w:val="0-"/>
        <w:rPr>
          <w:rtl/>
        </w:rPr>
      </w:pPr>
      <w:r w:rsidRPr="006C304E">
        <w:rPr>
          <w:rFonts w:hint="cs"/>
          <w:rtl/>
        </w:rPr>
        <w:t>מידת תיקון הליקוי</w:t>
      </w:r>
    </w:p>
    <w:p w:rsidR="003824AD" w:rsidRPr="006C304E" w:rsidP="00FB13B2" w14:paraId="65C98159" w14:textId="77777777">
      <w:pPr>
        <w:spacing w:before="240" w:after="360"/>
        <w:jc w:val="center"/>
        <w:rPr>
          <w:rtl/>
        </w:rPr>
      </w:pPr>
      <w:r w:rsidRPr="006C304E">
        <w:rPr>
          <w:noProof/>
        </w:rPr>
        <w:drawing>
          <wp:inline distT="0" distB="0" distL="0" distR="0">
            <wp:extent cx="3960935" cy="740593"/>
            <wp:effectExtent l="0" t="0" r="0" b="0"/>
            <wp:docPr id="1465877468" name="תמונה 1465877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663956" name="תמונה 1986381801"/>
                    <pic:cNvPicPr/>
                  </pic:nvPicPr>
                  <pic:blipFill>
                    <a:blip xmlns:r="http://schemas.openxmlformats.org/officeDocument/2006/relationships" r:embed="rId37">
                      <a:extLst>
                        <a:ext xmlns:a="http://schemas.openxmlformats.org/drawingml/2006/main" uri="{28A0092B-C50C-407E-A947-70E740481C1C}">
                          <a14:useLocalDpi xmlns:a14="http://schemas.microsoft.com/office/drawing/2010/main" val="0"/>
                        </a:ext>
                      </a:extLst>
                    </a:blip>
                    <a:stretch>
                      <a:fillRect/>
                    </a:stretch>
                  </pic:blipFill>
                  <pic:spPr>
                    <a:xfrm>
                      <a:off x="0" y="0"/>
                      <a:ext cx="4045187" cy="756346"/>
                    </a:xfrm>
                    <a:prstGeom prst="rect">
                      <a:avLst/>
                    </a:prstGeom>
                  </pic:spPr>
                </pic:pic>
              </a:graphicData>
            </a:graphic>
          </wp:inline>
        </w:drawing>
      </w:r>
    </w:p>
    <w:p w:rsidR="00F20E3F" w:rsidP="007B7A97" w14:paraId="17CB48F2" w14:textId="09D6E0A6">
      <w:pPr>
        <w:pStyle w:val="73414"/>
        <w:rPr>
          <w:rtl/>
        </w:rPr>
      </w:pPr>
      <w:r>
        <w:rPr>
          <w:rFonts w:hint="cs"/>
          <w:rtl/>
        </w:rPr>
        <w:t xml:space="preserve">היקף ה"כיסוי" של מס הפחמן לפי החלטת </w:t>
      </w:r>
      <w:r w:rsidR="00AE058C">
        <w:br/>
      </w:r>
      <w:r>
        <w:rPr>
          <w:rFonts w:hint="cs"/>
          <w:rtl/>
        </w:rPr>
        <w:t>הממשלה 286</w:t>
      </w:r>
    </w:p>
    <w:p w:rsidR="00F20E3F" w:rsidP="00AE058C" w14:paraId="6CBA27B4" w14:textId="77777777">
      <w:pPr>
        <w:pStyle w:val="719"/>
        <w:rPr>
          <w:rtl/>
        </w:rPr>
      </w:pPr>
      <w:r>
        <w:rPr>
          <w:rFonts w:hint="cs"/>
          <w:rtl/>
        </w:rPr>
        <w:t xml:space="preserve">כדי להעריך את היקף תמחור פליטות </w:t>
      </w:r>
      <w:r>
        <w:rPr>
          <w:rFonts w:hint="cs"/>
          <w:rtl/>
        </w:rPr>
        <w:t>הגז"ח</w:t>
      </w:r>
      <w:r>
        <w:rPr>
          <w:rFonts w:hint="cs"/>
          <w:rtl/>
        </w:rPr>
        <w:t xml:space="preserve">, ניתן לדבר על שיעור פליטות </w:t>
      </w:r>
      <w:r>
        <w:rPr>
          <w:rFonts w:hint="cs"/>
          <w:rtl/>
        </w:rPr>
        <w:t>הגז"ח</w:t>
      </w:r>
      <w:r>
        <w:rPr>
          <w:rFonts w:hint="cs"/>
          <w:rtl/>
        </w:rPr>
        <w:t xml:space="preserve"> שעליהן חל אמצעי תמחור פחמן. מנתון זה ניתן לגזור איזה חלק מהעלויות החיצוניות שפליטות אלו גורמות, "מופנם" באמצעות תמחור פחמן. לצורך כך יש לבחון על אילו </w:t>
      </w:r>
      <w:r>
        <w:rPr>
          <w:rFonts w:hint="cs"/>
          <w:rtl/>
        </w:rPr>
        <w:t>גז"ח</w:t>
      </w:r>
      <w:r>
        <w:rPr>
          <w:rFonts w:hint="cs"/>
          <w:rtl/>
        </w:rPr>
        <w:t xml:space="preserve"> חל מס פחמן ועל אילו לא, וכן על אילו מקורות פליטה חל מס הפחמן, כמתואר בתרשים הזה:</w:t>
      </w:r>
    </w:p>
    <w:p w:rsidR="00F20E3F" w:rsidRPr="00AE058C" w:rsidP="00AE058C" w14:paraId="3C9222A5" w14:textId="264143FB">
      <w:pPr>
        <w:pStyle w:val="7113"/>
        <w:rPr>
          <w:rtl/>
        </w:rPr>
      </w:pPr>
      <w:r w:rsidRPr="00AE058C">
        <w:rPr>
          <w:rFonts w:hint="cs"/>
          <w:b w:val="0"/>
          <w:bCs w:val="0"/>
          <w:rtl/>
        </w:rPr>
        <w:t>תרשים</w:t>
      </w:r>
      <w:r w:rsidRPr="00AE058C">
        <w:rPr>
          <w:b w:val="0"/>
          <w:bCs w:val="0"/>
          <w:rtl/>
        </w:rPr>
        <w:t xml:space="preserve"> </w:t>
      </w:r>
      <w:r w:rsidRPr="00AE058C">
        <w:rPr>
          <w:rFonts w:hint="cs"/>
          <w:b w:val="0"/>
          <w:bCs w:val="0"/>
          <w:rtl/>
        </w:rPr>
        <w:t>38</w:t>
      </w:r>
      <w:r w:rsidRPr="00AE058C">
        <w:rPr>
          <w:b w:val="0"/>
          <w:bCs w:val="0"/>
          <w:rtl/>
        </w:rPr>
        <w:t>:</w:t>
      </w:r>
      <w:r w:rsidRPr="00AE058C">
        <w:rPr>
          <w:rtl/>
        </w:rPr>
        <w:t xml:space="preserve"> </w:t>
      </w:r>
      <w:r w:rsidRPr="006B4883" w:rsidR="006B4883">
        <w:rPr>
          <w:rtl/>
        </w:rPr>
        <w:t>סוגי גזי החממה, מקורות הפליטה והדלקים שעליהם ניתן להחיל מס פחמן</w:t>
      </w:r>
    </w:p>
    <w:p w:rsidR="00F20E3F" w:rsidRPr="00AE058C" w:rsidP="00AE058C" w14:paraId="4D47F054" w14:textId="3014A75A">
      <w:pPr>
        <w:jc w:val="center"/>
        <w:rPr>
          <w:rtl/>
        </w:rPr>
      </w:pPr>
      <w:r>
        <w:rPr>
          <w:noProof/>
          <w:rtl/>
          <w:lang w:val="he-IL"/>
        </w:rPr>
        <w:drawing>
          <wp:inline distT="0" distB="0" distL="0" distR="0">
            <wp:extent cx="4593980" cy="4352749"/>
            <wp:effectExtent l="0" t="0" r="3810" b="3810"/>
            <wp:docPr id="1313782771" name="תמונה 21" descr="תמונה שמכילה טקסט, צילום מסך, גופן, לוגו&#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9230651" name="תמונה 21" descr="תמונה שמכילה טקסט, צילום מסך, גופן, לוגו&#10;&#10;התיאור נוצר באופן אוטומטי"/>
                    <pic:cNvPicPr/>
                  </pic:nvPicPr>
                  <pic:blipFill>
                    <a:blip xmlns:r="http://schemas.openxmlformats.org/officeDocument/2006/relationships" r:embed="rId42" cstate="print">
                      <a:extLst>
                        <a:ext xmlns:a="http://schemas.openxmlformats.org/drawingml/2006/main" uri="{28A0092B-C50C-407E-A947-70E740481C1C}">
                          <a14:useLocalDpi xmlns:a14="http://schemas.microsoft.com/office/drawing/2010/main" val="0"/>
                        </a:ext>
                      </a:extLst>
                    </a:blip>
                    <a:stretch>
                      <a:fillRect/>
                    </a:stretch>
                  </pic:blipFill>
                  <pic:spPr>
                    <a:xfrm>
                      <a:off x="0" y="0"/>
                      <a:ext cx="4598690" cy="4357211"/>
                    </a:xfrm>
                    <a:prstGeom prst="rect">
                      <a:avLst/>
                    </a:prstGeom>
                  </pic:spPr>
                </pic:pic>
              </a:graphicData>
            </a:graphic>
          </wp:inline>
        </w:drawing>
      </w:r>
    </w:p>
    <w:p w:rsidR="006B4883" w14:paraId="2AED59F4" w14:textId="77777777">
      <w:pPr>
        <w:bidi w:val="0"/>
        <w:spacing w:after="200" w:line="276" w:lineRule="auto"/>
        <w:rPr>
          <w:rFonts w:ascii="Tahoma" w:hAnsi="Tahoma" w:cs="Tahoma"/>
          <w:color w:val="0D0D0D" w:themeColor="text1" w:themeTint="F2"/>
          <w:sz w:val="18"/>
          <w:szCs w:val="18"/>
          <w:rtl/>
        </w:rPr>
      </w:pPr>
      <w:r>
        <w:rPr>
          <w:rtl/>
        </w:rPr>
        <w:br w:type="page"/>
      </w:r>
    </w:p>
    <w:p w:rsidR="00F20E3F" w:rsidRPr="00AE058C" w:rsidP="00AE058C" w14:paraId="5BDB9EEE" w14:textId="30D9B479">
      <w:pPr>
        <w:pStyle w:val="719"/>
        <w:spacing w:before="240"/>
      </w:pPr>
      <w:r w:rsidRPr="00AE058C">
        <w:rPr>
          <w:rFonts w:hint="cs"/>
          <w:rtl/>
        </w:rPr>
        <w:t xml:space="preserve">להלן נתוני הבנק העולמי על השיעור העולמי של </w:t>
      </w:r>
      <w:r w:rsidRPr="00AE058C">
        <w:rPr>
          <w:rFonts w:hint="cs"/>
          <w:rtl/>
        </w:rPr>
        <w:t>גז"ח</w:t>
      </w:r>
      <w:r w:rsidRPr="00AE058C">
        <w:rPr>
          <w:rFonts w:hint="cs"/>
          <w:rtl/>
        </w:rPr>
        <w:t xml:space="preserve"> שעליהם חל אמצעי תמחור פחמן כלשהו, מתוך כלל פליטות </w:t>
      </w:r>
      <w:r w:rsidRPr="00AE058C">
        <w:rPr>
          <w:rFonts w:hint="cs"/>
          <w:rtl/>
        </w:rPr>
        <w:t>הגז"ח</w:t>
      </w:r>
      <w:r w:rsidRPr="00AE058C">
        <w:rPr>
          <w:rFonts w:hint="cs"/>
          <w:rtl/>
        </w:rPr>
        <w:t xml:space="preserve">: </w:t>
      </w:r>
    </w:p>
    <w:p w:rsidR="00F20E3F" w:rsidRPr="00AE058C" w:rsidP="00AE058C" w14:paraId="136CF731" w14:textId="77777777">
      <w:pPr>
        <w:pStyle w:val="7113"/>
        <w:rPr>
          <w:rtl/>
        </w:rPr>
      </w:pPr>
      <w:r w:rsidRPr="00AE058C">
        <w:rPr>
          <w:rFonts w:hint="eastAsia"/>
          <w:b w:val="0"/>
          <w:bCs w:val="0"/>
          <w:rtl/>
        </w:rPr>
        <w:t>תרשים</w:t>
      </w:r>
      <w:r w:rsidRPr="00AE058C">
        <w:rPr>
          <w:b w:val="0"/>
          <w:bCs w:val="0"/>
          <w:rtl/>
        </w:rPr>
        <w:t xml:space="preserve"> </w:t>
      </w:r>
      <w:r w:rsidRPr="00AE058C">
        <w:rPr>
          <w:rFonts w:hint="cs"/>
          <w:b w:val="0"/>
          <w:bCs w:val="0"/>
          <w:rtl/>
        </w:rPr>
        <w:t>39</w:t>
      </w:r>
      <w:r w:rsidRPr="00AE058C">
        <w:rPr>
          <w:b w:val="0"/>
          <w:bCs w:val="0"/>
          <w:rtl/>
        </w:rPr>
        <w:t>:</w:t>
      </w:r>
      <w:r w:rsidRPr="00AE058C">
        <w:rPr>
          <w:rFonts w:hint="cs"/>
          <w:rtl/>
        </w:rPr>
        <w:t xml:space="preserve"> שיעור פליטות </w:t>
      </w:r>
      <w:r w:rsidRPr="00AE058C">
        <w:rPr>
          <w:rFonts w:hint="cs"/>
          <w:rtl/>
        </w:rPr>
        <w:t>הגז"ח</w:t>
      </w:r>
      <w:r w:rsidRPr="00AE058C">
        <w:rPr>
          <w:rFonts w:hint="cs"/>
          <w:rtl/>
        </w:rPr>
        <w:t xml:space="preserve"> העולמי ה"מכוסה" באמצעי תמחור פחמן, 1990 - 2022</w:t>
      </w:r>
    </w:p>
    <w:p w:rsidR="00F20E3F" w:rsidRPr="00AE058C" w:rsidP="00AE058C" w14:paraId="5653C766" w14:textId="4CBC7572">
      <w:pPr>
        <w:rPr>
          <w:rtl/>
        </w:rPr>
      </w:pPr>
      <w:r>
        <w:rPr>
          <w:noProof/>
          <w:rtl/>
          <w:lang w:val="he-IL"/>
        </w:rPr>
        <w:drawing>
          <wp:inline distT="0" distB="0" distL="0" distR="0">
            <wp:extent cx="4668985" cy="2918116"/>
            <wp:effectExtent l="0" t="0" r="5080" b="3175"/>
            <wp:docPr id="2146619270" name="תמונה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0492183" name="תמונה 22"/>
                    <pic:cNvPicPr/>
                  </pic:nvPicPr>
                  <pic:blipFill>
                    <a:blip xmlns:r="http://schemas.openxmlformats.org/officeDocument/2006/relationships" r:embed="rId43" cstate="print">
                      <a:extLst>
                        <a:ext xmlns:a="http://schemas.openxmlformats.org/drawingml/2006/main" uri="{28A0092B-C50C-407E-A947-70E740481C1C}">
                          <a14:useLocalDpi xmlns:a14="http://schemas.microsoft.com/office/drawing/2010/main" val="0"/>
                        </a:ext>
                      </a:extLst>
                    </a:blip>
                    <a:stretch>
                      <a:fillRect/>
                    </a:stretch>
                  </pic:blipFill>
                  <pic:spPr>
                    <a:xfrm>
                      <a:off x="0" y="0"/>
                      <a:ext cx="4668985" cy="2918116"/>
                    </a:xfrm>
                    <a:prstGeom prst="rect">
                      <a:avLst/>
                    </a:prstGeom>
                  </pic:spPr>
                </pic:pic>
              </a:graphicData>
            </a:graphic>
          </wp:inline>
        </w:drawing>
      </w:r>
    </w:p>
    <w:p w:rsidR="00F20E3F" w:rsidRPr="00AE058C" w:rsidP="00AE058C" w14:paraId="67158186" w14:textId="77777777">
      <w:pPr>
        <w:pStyle w:val="737"/>
        <w:rPr>
          <w:rtl/>
        </w:rPr>
      </w:pPr>
      <w:r w:rsidRPr="00AE058C">
        <w:rPr>
          <w:rFonts w:hint="cs"/>
          <w:rtl/>
        </w:rPr>
        <w:t>המקור: הבנק העולמי, בעיבוד משרד מבקר המדינה.</w:t>
      </w:r>
    </w:p>
    <w:p w:rsidR="006B4883" w:rsidP="00AE058C" w14:paraId="3F16D9FB" w14:textId="238B0AD9">
      <w:pPr>
        <w:pStyle w:val="7392"/>
      </w:pPr>
      <w:r w:rsidRPr="00AE058C">
        <w:rPr>
          <w:rFonts w:hint="cs"/>
          <w:rtl/>
        </w:rPr>
        <w:t xml:space="preserve">נתוני התרשים מלמדים על זינוק בשיעור פליטות </w:t>
      </w:r>
      <w:r w:rsidRPr="00AE058C">
        <w:rPr>
          <w:rFonts w:hint="cs"/>
          <w:rtl/>
        </w:rPr>
        <w:t>הגז"ח</w:t>
      </w:r>
      <w:r w:rsidRPr="00AE058C">
        <w:rPr>
          <w:rFonts w:hint="cs"/>
          <w:rtl/>
        </w:rPr>
        <w:t xml:space="preserve"> שעליהם חלים אמצעי תמחור פחמן כלשהם, בפרט בעשור האחרון שבו עלה שיעור זה מ-23 מנגנונים ש"כיסו" כ-6% מהפליטות בשנת 2012 ל-68 מנגנונים ש"כיסו" כ-25% מהפליטות בשנת 2022. כאמור, יש להבדיל את הנתון הזה משאלת גובה התמחור שחל באמצעי תמחור אלו. </w:t>
      </w:r>
    </w:p>
    <w:p w:rsidR="006B4883" w14:paraId="282BD956" w14:textId="77777777">
      <w:pPr>
        <w:bidi w:val="0"/>
        <w:spacing w:after="200" w:line="276" w:lineRule="auto"/>
        <w:rPr>
          <w:rFonts w:ascii="Tahoma" w:hAnsi="Tahoma" w:cs="Tahoma"/>
          <w:color w:val="0D0D0D" w:themeColor="text1" w:themeTint="F2"/>
          <w:sz w:val="18"/>
          <w:szCs w:val="18"/>
        </w:rPr>
      </w:pPr>
      <w:r>
        <w:br w:type="page"/>
      </w:r>
    </w:p>
    <w:p w:rsidR="00F20E3F" w:rsidRPr="00AE058C" w:rsidP="00C44928" w14:paraId="6AB54607" w14:textId="77777777">
      <w:pPr>
        <w:pStyle w:val="7114"/>
        <w:numPr>
          <w:ilvl w:val="0"/>
          <w:numId w:val="35"/>
        </w:numPr>
      </w:pPr>
      <w:r w:rsidRPr="00AE058C">
        <w:rPr>
          <w:rFonts w:hint="cs"/>
          <w:rtl/>
        </w:rPr>
        <w:t xml:space="preserve">להלן נתונים על פליטות </w:t>
      </w:r>
      <w:r w:rsidRPr="00AE058C">
        <w:rPr>
          <w:rFonts w:hint="cs"/>
          <w:rtl/>
        </w:rPr>
        <w:t>גז"ח</w:t>
      </w:r>
      <w:r w:rsidRPr="00AE058C">
        <w:rPr>
          <w:rFonts w:hint="cs"/>
          <w:rtl/>
        </w:rPr>
        <w:t xml:space="preserve"> לנפש בכל אחד מהסקטורים בישראל וב-27 מדינות באיחוד האירופי:</w:t>
      </w:r>
    </w:p>
    <w:p w:rsidR="00F20E3F" w:rsidRPr="00AE058C" w:rsidP="00AE058C" w14:paraId="474C5E33" w14:textId="77777777">
      <w:pPr>
        <w:pStyle w:val="7113"/>
        <w:ind w:left="397"/>
        <w:rPr>
          <w:rtl/>
        </w:rPr>
      </w:pPr>
      <w:r w:rsidRPr="00AE058C">
        <w:rPr>
          <w:rFonts w:hint="eastAsia"/>
          <w:b w:val="0"/>
          <w:bCs w:val="0"/>
          <w:rtl/>
        </w:rPr>
        <w:t>תרשים</w:t>
      </w:r>
      <w:r w:rsidRPr="00AE058C">
        <w:rPr>
          <w:rFonts w:hint="cs"/>
          <w:b w:val="0"/>
          <w:bCs w:val="0"/>
          <w:rtl/>
        </w:rPr>
        <w:t xml:space="preserve"> 40</w:t>
      </w:r>
      <w:r w:rsidRPr="00AE058C">
        <w:rPr>
          <w:b w:val="0"/>
          <w:bCs w:val="0"/>
          <w:rtl/>
        </w:rPr>
        <w:t>:</w:t>
      </w:r>
      <w:r w:rsidRPr="00AE058C">
        <w:rPr>
          <w:rFonts w:hint="cs"/>
          <w:rtl/>
        </w:rPr>
        <w:t xml:space="preserve"> </w:t>
      </w:r>
      <w:r w:rsidRPr="00AE058C">
        <w:rPr>
          <w:rtl/>
        </w:rPr>
        <w:t xml:space="preserve">פליטות </w:t>
      </w:r>
      <w:r w:rsidRPr="00AE058C">
        <w:rPr>
          <w:rtl/>
        </w:rPr>
        <w:t>גז</w:t>
      </w:r>
      <w:r w:rsidRPr="00AE058C">
        <w:rPr>
          <w:rFonts w:hint="cs"/>
          <w:rtl/>
        </w:rPr>
        <w:t>"ח</w:t>
      </w:r>
      <w:r w:rsidRPr="00AE058C">
        <w:rPr>
          <w:rFonts w:hint="cs"/>
          <w:rtl/>
        </w:rPr>
        <w:t xml:space="preserve"> (בטונה)</w:t>
      </w:r>
      <w:r w:rsidRPr="00AE058C">
        <w:rPr>
          <w:rtl/>
        </w:rPr>
        <w:t xml:space="preserve"> לנפש </w:t>
      </w:r>
      <w:r w:rsidRPr="00AE058C">
        <w:rPr>
          <w:rFonts w:hint="cs"/>
          <w:rtl/>
        </w:rPr>
        <w:t>בישראל ובאיחוד האירופי (</w:t>
      </w:r>
      <w:r w:rsidRPr="00AE058C">
        <w:rPr>
          <w:rFonts w:hint="cs"/>
        </w:rPr>
        <w:t>EU</w:t>
      </w:r>
      <w:r w:rsidRPr="00AE058C">
        <w:rPr>
          <w:rFonts w:hint="cs"/>
          <w:rtl/>
        </w:rPr>
        <w:t xml:space="preserve">), </w:t>
      </w:r>
      <w:r w:rsidRPr="00AE058C">
        <w:rPr>
          <w:rtl/>
        </w:rPr>
        <w:t>לפי סקטור, 2019</w:t>
      </w:r>
    </w:p>
    <w:p w:rsidR="00F20E3F" w:rsidRPr="00AE058C" w:rsidP="00AE058C" w14:paraId="57C69455" w14:textId="5A3231B9">
      <w:pPr>
        <w:ind w:left="397"/>
        <w:rPr>
          <w:rtl/>
        </w:rPr>
      </w:pPr>
      <w:r>
        <w:rPr>
          <w:noProof/>
          <w:rtl/>
          <w:lang w:val="he-IL"/>
        </w:rPr>
        <w:drawing>
          <wp:inline distT="0" distB="0" distL="0" distR="0">
            <wp:extent cx="4430219" cy="2404241"/>
            <wp:effectExtent l="0" t="0" r="2540" b="0"/>
            <wp:docPr id="1808948567" name="תמונה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374285" name="תמונה 23"/>
                    <pic:cNvPicPr/>
                  </pic:nvPicPr>
                  <pic:blipFill>
                    <a:blip xmlns:r="http://schemas.openxmlformats.org/officeDocument/2006/relationships" r:embed="rId44">
                      <a:extLst>
                        <a:ext xmlns:a="http://schemas.openxmlformats.org/drawingml/2006/main" uri="{28A0092B-C50C-407E-A947-70E740481C1C}">
                          <a14:useLocalDpi xmlns:a14="http://schemas.microsoft.com/office/drawing/2010/main" val="0"/>
                        </a:ext>
                      </a:extLst>
                    </a:blip>
                    <a:stretch>
                      <a:fillRect/>
                    </a:stretch>
                  </pic:blipFill>
                  <pic:spPr>
                    <a:xfrm>
                      <a:off x="0" y="0"/>
                      <a:ext cx="4444140" cy="2411796"/>
                    </a:xfrm>
                    <a:prstGeom prst="rect">
                      <a:avLst/>
                    </a:prstGeom>
                  </pic:spPr>
                </pic:pic>
              </a:graphicData>
            </a:graphic>
          </wp:inline>
        </w:drawing>
      </w:r>
    </w:p>
    <w:p w:rsidR="00F20E3F" w:rsidRPr="00AE058C" w:rsidP="00AE058C" w14:paraId="7835577E" w14:textId="77777777">
      <w:pPr>
        <w:pStyle w:val="737"/>
        <w:ind w:left="397"/>
        <w:rPr>
          <w:rtl/>
        </w:rPr>
      </w:pPr>
      <w:r w:rsidRPr="00AE058C">
        <w:rPr>
          <w:rFonts w:hint="cs"/>
          <w:rtl/>
        </w:rPr>
        <w:t>על פי נתוני משרד האוצר, בעיבוד משרד מבקר המדינה.</w:t>
      </w:r>
    </w:p>
    <w:p w:rsidR="00F20E3F" w:rsidRPr="00AE058C" w:rsidP="00AE058C" w14:paraId="316A7C14" w14:textId="77777777">
      <w:pPr>
        <w:pStyle w:val="739"/>
        <w:rPr>
          <w:rtl/>
        </w:rPr>
      </w:pPr>
      <w:r w:rsidRPr="00AE058C">
        <w:rPr>
          <w:rFonts w:hint="cs"/>
          <w:rtl/>
        </w:rPr>
        <w:t xml:space="preserve">מהנתונים עולה כי כמות פליטות </w:t>
      </w:r>
      <w:r w:rsidRPr="00AE058C">
        <w:rPr>
          <w:rFonts w:hint="cs"/>
          <w:rtl/>
        </w:rPr>
        <w:t>הגז"ח</w:t>
      </w:r>
      <w:r w:rsidRPr="00AE058C">
        <w:rPr>
          <w:rFonts w:hint="cs"/>
          <w:rtl/>
        </w:rPr>
        <w:t xml:space="preserve"> לנפש בסקטור </w:t>
      </w:r>
      <w:r w:rsidRPr="00AE058C">
        <w:rPr>
          <w:rFonts w:hint="cs"/>
          <w:rtl/>
        </w:rPr>
        <w:t>האנרגייה</w:t>
      </w:r>
      <w:r w:rsidRPr="00AE058C">
        <w:rPr>
          <w:rFonts w:hint="cs"/>
          <w:rtl/>
        </w:rPr>
        <w:t xml:space="preserve"> (הכולל ייצור חשמל), שהגז הטבעי והפחם הם הדלקים העיקריים בו - היא הגבוהה ביותר מבין כל הסקטורים בישראל (4.2 טונה לנפש), ויותר מכפולה מכמות פליטות </w:t>
      </w:r>
      <w:r w:rsidRPr="00AE058C">
        <w:rPr>
          <w:rFonts w:hint="cs"/>
          <w:rtl/>
        </w:rPr>
        <w:t>הגז"ח</w:t>
      </w:r>
      <w:r w:rsidRPr="00AE058C">
        <w:rPr>
          <w:rFonts w:hint="cs"/>
          <w:rtl/>
        </w:rPr>
        <w:t xml:space="preserve"> באיחוד האירופי בסקטור זה (2 טונה לנפש). </w:t>
      </w:r>
      <w:r w:rsidRPr="00AE058C">
        <w:rPr>
          <w:rFonts w:hint="eastAsia"/>
          <w:rtl/>
        </w:rPr>
        <w:t>כמות</w:t>
      </w:r>
      <w:r w:rsidRPr="00AE058C">
        <w:rPr>
          <w:rtl/>
        </w:rPr>
        <w:t xml:space="preserve"> </w:t>
      </w:r>
      <w:r w:rsidRPr="00AE058C">
        <w:rPr>
          <w:rFonts w:hint="eastAsia"/>
          <w:rtl/>
        </w:rPr>
        <w:t>הפליטות</w:t>
      </w:r>
      <w:r w:rsidRPr="00AE058C">
        <w:rPr>
          <w:rtl/>
        </w:rPr>
        <w:t xml:space="preserve"> </w:t>
      </w:r>
      <w:r w:rsidRPr="00AE058C">
        <w:rPr>
          <w:rFonts w:hint="eastAsia"/>
          <w:rtl/>
        </w:rPr>
        <w:t>לנפש</w:t>
      </w:r>
      <w:r w:rsidRPr="00AE058C">
        <w:rPr>
          <w:rtl/>
        </w:rPr>
        <w:t xml:space="preserve"> </w:t>
      </w:r>
      <w:r w:rsidRPr="00AE058C">
        <w:rPr>
          <w:rFonts w:hint="eastAsia"/>
          <w:rtl/>
        </w:rPr>
        <w:t>הגבוה</w:t>
      </w:r>
      <w:r w:rsidRPr="00AE058C">
        <w:rPr>
          <w:rFonts w:hint="cs"/>
          <w:rtl/>
        </w:rPr>
        <w:t>ה</w:t>
      </w:r>
      <w:r w:rsidRPr="00AE058C">
        <w:rPr>
          <w:rtl/>
        </w:rPr>
        <w:t xml:space="preserve"> </w:t>
      </w:r>
      <w:r w:rsidRPr="00AE058C">
        <w:rPr>
          <w:rFonts w:hint="eastAsia"/>
          <w:rtl/>
        </w:rPr>
        <w:t>ביותר</w:t>
      </w:r>
      <w:r w:rsidRPr="00AE058C">
        <w:rPr>
          <w:rtl/>
        </w:rPr>
        <w:t xml:space="preserve"> </w:t>
      </w:r>
      <w:r w:rsidRPr="00AE058C">
        <w:rPr>
          <w:rFonts w:hint="eastAsia"/>
          <w:rtl/>
        </w:rPr>
        <w:t>אחריו</w:t>
      </w:r>
      <w:r w:rsidRPr="00AE058C">
        <w:rPr>
          <w:rtl/>
        </w:rPr>
        <w:t xml:space="preserve"> </w:t>
      </w:r>
      <w:r w:rsidRPr="00AE058C">
        <w:rPr>
          <w:rFonts w:hint="eastAsia"/>
          <w:rtl/>
        </w:rPr>
        <w:t>ה</w:t>
      </w:r>
      <w:r w:rsidRPr="00AE058C">
        <w:rPr>
          <w:rFonts w:hint="cs"/>
          <w:rtl/>
        </w:rPr>
        <w:t>י</w:t>
      </w:r>
      <w:r w:rsidRPr="00AE058C">
        <w:rPr>
          <w:rFonts w:hint="eastAsia"/>
          <w:rtl/>
        </w:rPr>
        <w:t>א</w:t>
      </w:r>
      <w:r w:rsidRPr="00AE058C">
        <w:rPr>
          <w:rtl/>
        </w:rPr>
        <w:t xml:space="preserve"> </w:t>
      </w:r>
      <w:r w:rsidRPr="00AE058C">
        <w:rPr>
          <w:rFonts w:hint="eastAsia"/>
          <w:rtl/>
        </w:rPr>
        <w:t>בסקטור</w:t>
      </w:r>
      <w:r w:rsidRPr="00AE058C">
        <w:rPr>
          <w:rtl/>
        </w:rPr>
        <w:t xml:space="preserve"> </w:t>
      </w:r>
      <w:r w:rsidRPr="00AE058C">
        <w:rPr>
          <w:rFonts w:hint="cs"/>
          <w:rtl/>
        </w:rPr>
        <w:t>ה</w:t>
      </w:r>
      <w:r w:rsidRPr="00AE058C">
        <w:rPr>
          <w:rFonts w:hint="eastAsia"/>
          <w:rtl/>
        </w:rPr>
        <w:t>תחבורה</w:t>
      </w:r>
      <w:r w:rsidRPr="00AE058C">
        <w:rPr>
          <w:rtl/>
        </w:rPr>
        <w:t xml:space="preserve"> (2.1 </w:t>
      </w:r>
      <w:r w:rsidRPr="00AE058C">
        <w:rPr>
          <w:rFonts w:hint="eastAsia"/>
          <w:rtl/>
        </w:rPr>
        <w:t>טו</w:t>
      </w:r>
      <w:r w:rsidRPr="00AE058C">
        <w:rPr>
          <w:rFonts w:hint="cs"/>
          <w:rtl/>
        </w:rPr>
        <w:t>נה</w:t>
      </w:r>
      <w:r w:rsidRPr="00AE058C">
        <w:rPr>
          <w:rtl/>
        </w:rPr>
        <w:t xml:space="preserve"> </w:t>
      </w:r>
      <w:r w:rsidRPr="00AE058C">
        <w:rPr>
          <w:rFonts w:hint="eastAsia"/>
          <w:rtl/>
        </w:rPr>
        <w:t>לנפש</w:t>
      </w:r>
      <w:r w:rsidRPr="00AE058C">
        <w:rPr>
          <w:rtl/>
        </w:rPr>
        <w:t xml:space="preserve">), </w:t>
      </w:r>
      <w:r w:rsidRPr="00AE058C">
        <w:rPr>
          <w:rFonts w:hint="cs"/>
          <w:rtl/>
        </w:rPr>
        <w:t>ש</w:t>
      </w:r>
      <w:r w:rsidRPr="00AE058C">
        <w:rPr>
          <w:rFonts w:hint="eastAsia"/>
          <w:rtl/>
        </w:rPr>
        <w:t>בו</w:t>
      </w:r>
      <w:r w:rsidRPr="00AE058C">
        <w:rPr>
          <w:rtl/>
        </w:rPr>
        <w:t xml:space="preserve"> </w:t>
      </w:r>
      <w:r w:rsidRPr="00AE058C">
        <w:rPr>
          <w:rFonts w:hint="eastAsia"/>
          <w:rtl/>
        </w:rPr>
        <w:t>עיקר</w:t>
      </w:r>
      <w:r w:rsidRPr="00AE058C">
        <w:rPr>
          <w:rtl/>
        </w:rPr>
        <w:t xml:space="preserve"> </w:t>
      </w:r>
      <w:r w:rsidRPr="00AE058C">
        <w:rPr>
          <w:rFonts w:hint="eastAsia"/>
          <w:rtl/>
        </w:rPr>
        <w:t>הדלקים</w:t>
      </w:r>
      <w:r w:rsidRPr="00AE058C">
        <w:rPr>
          <w:rtl/>
        </w:rPr>
        <w:t xml:space="preserve"> </w:t>
      </w:r>
      <w:r w:rsidRPr="00AE058C">
        <w:rPr>
          <w:rFonts w:hint="eastAsia"/>
          <w:rtl/>
        </w:rPr>
        <w:t>הם</w:t>
      </w:r>
      <w:r w:rsidRPr="00AE058C">
        <w:rPr>
          <w:rtl/>
        </w:rPr>
        <w:t xml:space="preserve"> </w:t>
      </w:r>
      <w:r w:rsidRPr="00AE058C">
        <w:rPr>
          <w:rFonts w:hint="eastAsia"/>
          <w:rtl/>
        </w:rPr>
        <w:t>בנזין</w:t>
      </w:r>
      <w:r w:rsidRPr="00AE058C">
        <w:rPr>
          <w:rtl/>
        </w:rPr>
        <w:t xml:space="preserve"> </w:t>
      </w:r>
      <w:r w:rsidRPr="00AE058C">
        <w:rPr>
          <w:rFonts w:hint="eastAsia"/>
          <w:rtl/>
        </w:rPr>
        <w:t>וסולר</w:t>
      </w:r>
      <w:r w:rsidRPr="00AE058C">
        <w:rPr>
          <w:rtl/>
        </w:rPr>
        <w:t xml:space="preserve"> (יחדיו 29% מהפליטות), </w:t>
      </w:r>
      <w:r w:rsidRPr="00AE058C">
        <w:rPr>
          <w:rFonts w:hint="eastAsia"/>
          <w:rtl/>
        </w:rPr>
        <w:t>ואף</w:t>
      </w:r>
      <w:r w:rsidRPr="00AE058C">
        <w:rPr>
          <w:rtl/>
        </w:rPr>
        <w:t xml:space="preserve"> </w:t>
      </w:r>
      <w:r w:rsidRPr="00AE058C">
        <w:rPr>
          <w:rFonts w:hint="eastAsia"/>
          <w:rtl/>
        </w:rPr>
        <w:t>ה</w:t>
      </w:r>
      <w:r w:rsidRPr="00AE058C">
        <w:rPr>
          <w:rFonts w:hint="cs"/>
          <w:rtl/>
        </w:rPr>
        <w:t>י</w:t>
      </w:r>
      <w:r w:rsidRPr="00AE058C">
        <w:rPr>
          <w:rFonts w:hint="eastAsia"/>
          <w:rtl/>
        </w:rPr>
        <w:t>א</w:t>
      </w:r>
      <w:r w:rsidRPr="00AE058C">
        <w:rPr>
          <w:rtl/>
        </w:rPr>
        <w:t xml:space="preserve"> </w:t>
      </w:r>
      <w:r w:rsidRPr="00AE058C">
        <w:rPr>
          <w:rFonts w:hint="eastAsia"/>
          <w:rtl/>
        </w:rPr>
        <w:t>גבוה</w:t>
      </w:r>
      <w:r w:rsidRPr="00AE058C">
        <w:rPr>
          <w:rFonts w:hint="cs"/>
          <w:rtl/>
        </w:rPr>
        <w:t>ה</w:t>
      </w:r>
      <w:r w:rsidRPr="00AE058C">
        <w:rPr>
          <w:rtl/>
        </w:rPr>
        <w:t xml:space="preserve"> </w:t>
      </w:r>
      <w:r w:rsidRPr="00AE058C">
        <w:rPr>
          <w:rFonts w:hint="eastAsia"/>
          <w:rtl/>
        </w:rPr>
        <w:t>יותר</w:t>
      </w:r>
      <w:r w:rsidRPr="00AE058C">
        <w:rPr>
          <w:rtl/>
        </w:rPr>
        <w:t xml:space="preserve"> </w:t>
      </w:r>
      <w:r w:rsidRPr="00AE058C">
        <w:rPr>
          <w:rFonts w:hint="eastAsia"/>
          <w:rtl/>
        </w:rPr>
        <w:t>מבאיחוד</w:t>
      </w:r>
      <w:r w:rsidRPr="00AE058C">
        <w:rPr>
          <w:rtl/>
        </w:rPr>
        <w:t xml:space="preserve"> </w:t>
      </w:r>
      <w:r w:rsidRPr="00AE058C">
        <w:rPr>
          <w:rFonts w:hint="eastAsia"/>
          <w:rtl/>
        </w:rPr>
        <w:t>האירופי</w:t>
      </w:r>
      <w:r w:rsidRPr="00AE058C">
        <w:rPr>
          <w:rtl/>
        </w:rPr>
        <w:t xml:space="preserve"> (1.9 </w:t>
      </w:r>
      <w:r w:rsidRPr="00AE058C">
        <w:rPr>
          <w:rFonts w:hint="eastAsia"/>
          <w:rtl/>
        </w:rPr>
        <w:t>טו</w:t>
      </w:r>
      <w:r w:rsidRPr="00AE058C">
        <w:rPr>
          <w:rFonts w:hint="cs"/>
          <w:rtl/>
        </w:rPr>
        <w:t>נה</w:t>
      </w:r>
      <w:r w:rsidRPr="00AE058C">
        <w:rPr>
          <w:rtl/>
        </w:rPr>
        <w:t xml:space="preserve"> </w:t>
      </w:r>
      <w:r w:rsidRPr="00AE058C">
        <w:rPr>
          <w:rFonts w:hint="eastAsia"/>
          <w:rtl/>
        </w:rPr>
        <w:t>לנפש</w:t>
      </w:r>
      <w:r w:rsidRPr="00AE058C">
        <w:rPr>
          <w:rtl/>
        </w:rPr>
        <w:t>).</w:t>
      </w:r>
      <w:r w:rsidRPr="00AE058C">
        <w:rPr>
          <w:rFonts w:hint="cs"/>
          <w:rtl/>
        </w:rPr>
        <w:t xml:space="preserve"> </w:t>
      </w:r>
    </w:p>
    <w:p w:rsidR="00F20E3F" w:rsidRPr="00AE058C" w:rsidP="00AE058C" w14:paraId="5D26D61E" w14:textId="77777777">
      <w:pPr>
        <w:pStyle w:val="7316"/>
      </w:pPr>
      <w:r w:rsidRPr="00AE058C">
        <w:rPr>
          <w:rFonts w:hint="cs"/>
          <w:rtl/>
        </w:rPr>
        <w:t>החלטת הממשלה 286 עסקה בהפנמת העלויות החיצוניות ההדרגתיות של שריפת הדלקים האלה</w:t>
      </w:r>
      <w:r>
        <w:rPr>
          <w:vertAlign w:val="superscript"/>
          <w:rtl/>
        </w:rPr>
        <w:footnoteReference w:id="85"/>
      </w:r>
      <w:r w:rsidRPr="00AE058C">
        <w:rPr>
          <w:rFonts w:hint="cs"/>
          <w:rtl/>
        </w:rPr>
        <w:t>:</w:t>
      </w:r>
    </w:p>
    <w:p w:rsidR="00C566A0" w14:paraId="49F15D6A" w14:textId="77777777">
      <w:pPr>
        <w:bidi w:val="0"/>
        <w:spacing w:after="200" w:line="276" w:lineRule="auto"/>
        <w:rPr>
          <w:rFonts w:ascii="Tahoma" w:hAnsi="Tahoma" w:eastAsiaTheme="minorEastAsia" w:cs="Tahoma"/>
          <w:color w:val="0D0D0D" w:themeColor="text1" w:themeTint="F2"/>
          <w:szCs w:val="20"/>
          <w:rtl/>
        </w:rPr>
      </w:pPr>
      <w:r>
        <w:rPr>
          <w:b/>
          <w:bCs/>
          <w:rtl/>
        </w:rPr>
        <w:br w:type="page"/>
      </w:r>
    </w:p>
    <w:p w:rsidR="00F20E3F" w:rsidP="00AE058C" w14:paraId="35F12859" w14:textId="0B8CF3DF">
      <w:pPr>
        <w:pStyle w:val="7113"/>
        <w:ind w:left="397"/>
      </w:pPr>
      <w:r w:rsidRPr="00AE058C">
        <w:rPr>
          <w:rFonts w:hint="eastAsia"/>
          <w:b w:val="0"/>
          <w:bCs w:val="0"/>
          <w:rtl/>
        </w:rPr>
        <w:t>לוח</w:t>
      </w:r>
      <w:r w:rsidRPr="00AE058C">
        <w:rPr>
          <w:b w:val="0"/>
          <w:bCs w:val="0"/>
          <w:rtl/>
        </w:rPr>
        <w:t xml:space="preserve"> </w:t>
      </w:r>
      <w:r w:rsidRPr="00AE058C">
        <w:rPr>
          <w:rFonts w:hint="cs"/>
          <w:b w:val="0"/>
          <w:bCs w:val="0"/>
          <w:rtl/>
        </w:rPr>
        <w:t>22</w:t>
      </w:r>
      <w:r w:rsidRPr="00AE058C">
        <w:rPr>
          <w:b w:val="0"/>
          <w:bCs w:val="0"/>
          <w:rtl/>
        </w:rPr>
        <w:t>:</w:t>
      </w:r>
      <w:r w:rsidRPr="00E45661">
        <w:rPr>
          <w:rtl/>
        </w:rPr>
        <w:t xml:space="preserve"> </w:t>
      </w:r>
      <w:r>
        <w:rPr>
          <w:rFonts w:hint="cs"/>
          <w:rtl/>
        </w:rPr>
        <w:t>סכום</w:t>
      </w:r>
      <w:r w:rsidRPr="00E45661">
        <w:rPr>
          <w:rtl/>
        </w:rPr>
        <w:t xml:space="preserve"> הבלו </w:t>
      </w:r>
      <w:r>
        <w:rPr>
          <w:rFonts w:hint="cs"/>
          <w:rtl/>
        </w:rPr>
        <w:t>ו</w:t>
      </w:r>
      <w:r w:rsidRPr="00E45661">
        <w:rPr>
          <w:rtl/>
        </w:rPr>
        <w:t xml:space="preserve">מס קנייה עם מס פחמן </w:t>
      </w:r>
      <w:r>
        <w:rPr>
          <w:rFonts w:hint="cs"/>
          <w:rtl/>
        </w:rPr>
        <w:t>לשנים 2023 - 2028, לפי החלטת הממשלה 286</w:t>
      </w:r>
      <w:r w:rsidR="006B4883">
        <w:rPr>
          <w:rFonts w:hint="cs"/>
          <w:rtl/>
        </w:rPr>
        <w:t xml:space="preserve"> (בש״ח לטונה)</w:t>
      </w:r>
    </w:p>
    <w:tbl>
      <w:tblPr>
        <w:tblStyle w:val="TableGrid"/>
        <w:bidiVisual/>
        <w:tblW w:w="4715" w:type="pct"/>
        <w:tblInd w:w="420" w:type="dxa"/>
        <w:tblBorders>
          <w:top w:val="none" w:sz="0" w:space="0" w:color="auto"/>
          <w:bottom w:val="none" w:sz="0" w:space="0" w:color="auto"/>
          <w:insideH w:val="none" w:sz="0" w:space="0" w:color="auto"/>
        </w:tblBorders>
        <w:shd w:val="clear" w:color="auto" w:fill="F0F8F9"/>
        <w:tblLook w:val="04A0"/>
      </w:tblPr>
      <w:tblGrid>
        <w:gridCol w:w="2002"/>
        <w:gridCol w:w="825"/>
        <w:gridCol w:w="824"/>
        <w:gridCol w:w="823"/>
        <w:gridCol w:w="824"/>
        <w:gridCol w:w="823"/>
        <w:gridCol w:w="819"/>
      </w:tblGrid>
      <w:tr w14:paraId="7C5C767B" w14:textId="77777777" w:rsidTr="006009D7">
        <w:tblPrEx>
          <w:tblW w:w="4715" w:type="pct"/>
          <w:tblInd w:w="420" w:type="dxa"/>
          <w:tblBorders>
            <w:top w:val="none" w:sz="0" w:space="0" w:color="auto"/>
            <w:bottom w:val="none" w:sz="0" w:space="0" w:color="auto"/>
            <w:insideH w:val="none" w:sz="0" w:space="0" w:color="auto"/>
          </w:tblBorders>
          <w:shd w:val="clear" w:color="auto" w:fill="F0F8F9"/>
          <w:tblLook w:val="04A0"/>
        </w:tblPrEx>
        <w:tc>
          <w:tcPr>
            <w:tcW w:w="1442" w:type="pct"/>
            <w:shd w:val="clear" w:color="auto" w:fill="C8DCE4"/>
            <w:vAlign w:val="center"/>
          </w:tcPr>
          <w:p w:rsidR="00AE058C" w:rsidRPr="00576AAA" w:rsidP="00711A1D" w14:paraId="43A6FDCB" w14:textId="77777777">
            <w:pPr>
              <w:pStyle w:val="73R"/>
              <w:rPr>
                <w:b/>
                <w:bCs/>
                <w:rtl/>
              </w:rPr>
            </w:pPr>
            <w:r w:rsidRPr="00576AAA">
              <w:rPr>
                <w:b/>
                <w:bCs/>
                <w:rtl/>
              </w:rPr>
              <w:t>סוג הדלק</w:t>
            </w:r>
          </w:p>
        </w:tc>
        <w:tc>
          <w:tcPr>
            <w:tcW w:w="594" w:type="pct"/>
            <w:shd w:val="clear" w:color="auto" w:fill="C8DCE4"/>
            <w:vAlign w:val="center"/>
          </w:tcPr>
          <w:p w:rsidR="00AE058C" w:rsidRPr="00576AAA" w:rsidP="00711A1D" w14:paraId="7863339A" w14:textId="77777777">
            <w:pPr>
              <w:pStyle w:val="73R"/>
              <w:rPr>
                <w:b/>
                <w:bCs/>
                <w:rtl/>
              </w:rPr>
            </w:pPr>
            <w:r w:rsidRPr="00576AAA">
              <w:rPr>
                <w:b/>
                <w:bCs/>
                <w:rtl/>
              </w:rPr>
              <w:t>2023</w:t>
            </w:r>
          </w:p>
        </w:tc>
        <w:tc>
          <w:tcPr>
            <w:tcW w:w="594" w:type="pct"/>
            <w:shd w:val="clear" w:color="auto" w:fill="C8DCE4"/>
            <w:vAlign w:val="center"/>
          </w:tcPr>
          <w:p w:rsidR="00AE058C" w:rsidRPr="00576AAA" w:rsidP="00711A1D" w14:paraId="10BF9981" w14:textId="77777777">
            <w:pPr>
              <w:pStyle w:val="73R"/>
              <w:rPr>
                <w:b/>
                <w:bCs/>
                <w:rtl/>
              </w:rPr>
            </w:pPr>
            <w:r w:rsidRPr="00576AAA">
              <w:rPr>
                <w:b/>
                <w:bCs/>
                <w:rtl/>
              </w:rPr>
              <w:t>2024</w:t>
            </w:r>
          </w:p>
        </w:tc>
        <w:tc>
          <w:tcPr>
            <w:tcW w:w="593" w:type="pct"/>
            <w:shd w:val="clear" w:color="auto" w:fill="C8DCE4"/>
            <w:vAlign w:val="center"/>
          </w:tcPr>
          <w:p w:rsidR="00AE058C" w:rsidRPr="00576AAA" w:rsidP="00711A1D" w14:paraId="21709566" w14:textId="77777777">
            <w:pPr>
              <w:pStyle w:val="73R"/>
              <w:rPr>
                <w:b/>
                <w:bCs/>
                <w:rtl/>
              </w:rPr>
            </w:pPr>
            <w:r w:rsidRPr="00576AAA">
              <w:rPr>
                <w:b/>
                <w:bCs/>
                <w:rtl/>
              </w:rPr>
              <w:t>2025</w:t>
            </w:r>
          </w:p>
        </w:tc>
        <w:tc>
          <w:tcPr>
            <w:tcW w:w="594" w:type="pct"/>
            <w:shd w:val="clear" w:color="auto" w:fill="C8DCE4"/>
          </w:tcPr>
          <w:p w:rsidR="00AE058C" w:rsidRPr="00576AAA" w:rsidP="00711A1D" w14:paraId="772031FC" w14:textId="77777777">
            <w:pPr>
              <w:pStyle w:val="73R"/>
              <w:rPr>
                <w:b/>
                <w:bCs/>
                <w:rtl/>
              </w:rPr>
            </w:pPr>
            <w:r w:rsidRPr="00576AAA">
              <w:rPr>
                <w:b/>
                <w:bCs/>
                <w:rtl/>
              </w:rPr>
              <w:t>2026</w:t>
            </w:r>
          </w:p>
        </w:tc>
        <w:tc>
          <w:tcPr>
            <w:tcW w:w="593" w:type="pct"/>
            <w:shd w:val="clear" w:color="auto" w:fill="C8DCE4"/>
          </w:tcPr>
          <w:p w:rsidR="00AE058C" w:rsidRPr="00576AAA" w:rsidP="00711A1D" w14:paraId="292A78C6" w14:textId="77777777">
            <w:pPr>
              <w:pStyle w:val="73R"/>
              <w:rPr>
                <w:b/>
                <w:bCs/>
                <w:rtl/>
              </w:rPr>
            </w:pPr>
            <w:r w:rsidRPr="00576AAA">
              <w:rPr>
                <w:b/>
                <w:bCs/>
                <w:rtl/>
              </w:rPr>
              <w:t>2027</w:t>
            </w:r>
          </w:p>
        </w:tc>
        <w:tc>
          <w:tcPr>
            <w:tcW w:w="591" w:type="pct"/>
            <w:shd w:val="clear" w:color="auto" w:fill="C8DCE4"/>
          </w:tcPr>
          <w:p w:rsidR="00AE058C" w:rsidRPr="00576AAA" w:rsidP="00711A1D" w14:paraId="5D6810E1" w14:textId="77777777">
            <w:pPr>
              <w:pStyle w:val="73R"/>
              <w:rPr>
                <w:b/>
                <w:bCs/>
                <w:rtl/>
              </w:rPr>
            </w:pPr>
            <w:r w:rsidRPr="00576AAA">
              <w:rPr>
                <w:b/>
                <w:bCs/>
                <w:rtl/>
              </w:rPr>
              <w:t>2028</w:t>
            </w:r>
          </w:p>
        </w:tc>
      </w:tr>
      <w:tr w14:paraId="6A227A88" w14:textId="77777777" w:rsidTr="006009D7">
        <w:tblPrEx>
          <w:tblW w:w="4715" w:type="pct"/>
          <w:tblInd w:w="420" w:type="dxa"/>
          <w:shd w:val="clear" w:color="auto" w:fill="F0F8F9"/>
          <w:tblLook w:val="04A0"/>
        </w:tblPrEx>
        <w:tc>
          <w:tcPr>
            <w:tcW w:w="1442" w:type="pct"/>
            <w:shd w:val="clear" w:color="auto" w:fill="DFECEF"/>
          </w:tcPr>
          <w:p w:rsidR="006009D7" w:rsidRPr="00576AAA" w:rsidP="006009D7" w14:paraId="023A385C" w14:textId="77777777">
            <w:pPr>
              <w:pStyle w:val="73R"/>
              <w:rPr>
                <w:b/>
                <w:bCs/>
                <w:rtl/>
              </w:rPr>
            </w:pPr>
            <w:r w:rsidRPr="00576AAA">
              <w:rPr>
                <w:b/>
                <w:bCs/>
                <w:rtl/>
              </w:rPr>
              <w:t>פחם</w:t>
            </w:r>
          </w:p>
        </w:tc>
        <w:tc>
          <w:tcPr>
            <w:tcW w:w="594" w:type="pct"/>
            <w:shd w:val="clear" w:color="auto" w:fill="DFECEF"/>
            <w:vAlign w:val="center"/>
          </w:tcPr>
          <w:p w:rsidR="006009D7" w:rsidRPr="00576AAA" w:rsidP="006009D7" w14:paraId="0E90D5A6" w14:textId="73C17664">
            <w:pPr>
              <w:pStyle w:val="73R"/>
              <w:rPr>
                <w:rtl/>
              </w:rPr>
            </w:pPr>
            <w:r w:rsidRPr="00695921">
              <w:rPr>
                <w:rFonts w:hint="cs"/>
                <w:rtl/>
              </w:rPr>
              <w:t>131</w:t>
            </w:r>
          </w:p>
        </w:tc>
        <w:tc>
          <w:tcPr>
            <w:tcW w:w="594" w:type="pct"/>
            <w:shd w:val="clear" w:color="auto" w:fill="DFECEF"/>
            <w:vAlign w:val="center"/>
          </w:tcPr>
          <w:p w:rsidR="006009D7" w:rsidRPr="00576AAA" w:rsidP="006009D7" w14:paraId="65610BEF" w14:textId="5AC33BA8">
            <w:pPr>
              <w:pStyle w:val="73R"/>
              <w:rPr>
                <w:rtl/>
              </w:rPr>
            </w:pPr>
            <w:r w:rsidRPr="00695921">
              <w:rPr>
                <w:rFonts w:hint="cs"/>
                <w:rtl/>
              </w:rPr>
              <w:t>167</w:t>
            </w:r>
          </w:p>
        </w:tc>
        <w:tc>
          <w:tcPr>
            <w:tcW w:w="593" w:type="pct"/>
            <w:shd w:val="clear" w:color="auto" w:fill="DFECEF"/>
            <w:vAlign w:val="center"/>
          </w:tcPr>
          <w:p w:rsidR="006009D7" w:rsidRPr="00576AAA" w:rsidP="006009D7" w14:paraId="5713BD5E" w14:textId="06EEA6DF">
            <w:pPr>
              <w:pStyle w:val="73R"/>
              <w:rPr>
                <w:rtl/>
              </w:rPr>
            </w:pPr>
            <w:r w:rsidRPr="00695921">
              <w:rPr>
                <w:rFonts w:hint="cs"/>
                <w:rtl/>
              </w:rPr>
              <w:t>214</w:t>
            </w:r>
          </w:p>
        </w:tc>
        <w:tc>
          <w:tcPr>
            <w:tcW w:w="594" w:type="pct"/>
            <w:shd w:val="clear" w:color="auto" w:fill="DFECEF"/>
            <w:vAlign w:val="center"/>
          </w:tcPr>
          <w:p w:rsidR="006009D7" w:rsidRPr="00576AAA" w:rsidP="006009D7" w14:paraId="2B54AE6B" w14:textId="4D0C828F">
            <w:pPr>
              <w:pStyle w:val="73R"/>
              <w:rPr>
                <w:rtl/>
              </w:rPr>
            </w:pPr>
            <w:r w:rsidRPr="00695921">
              <w:rPr>
                <w:rFonts w:hint="cs"/>
                <w:rtl/>
              </w:rPr>
              <w:t>274</w:t>
            </w:r>
          </w:p>
        </w:tc>
        <w:tc>
          <w:tcPr>
            <w:tcW w:w="593" w:type="pct"/>
            <w:shd w:val="clear" w:color="auto" w:fill="DFECEF"/>
            <w:vAlign w:val="center"/>
          </w:tcPr>
          <w:p w:rsidR="006009D7" w:rsidRPr="00576AAA" w:rsidP="006009D7" w14:paraId="6AB40E98" w14:textId="46D24A19">
            <w:pPr>
              <w:pStyle w:val="73R"/>
              <w:rPr>
                <w:rtl/>
              </w:rPr>
            </w:pPr>
            <w:r w:rsidRPr="00695921">
              <w:rPr>
                <w:rFonts w:hint="cs"/>
                <w:rtl/>
              </w:rPr>
              <w:t>353</w:t>
            </w:r>
          </w:p>
        </w:tc>
        <w:tc>
          <w:tcPr>
            <w:tcW w:w="591" w:type="pct"/>
            <w:shd w:val="clear" w:color="auto" w:fill="DFECEF"/>
            <w:vAlign w:val="center"/>
          </w:tcPr>
          <w:p w:rsidR="006009D7" w:rsidRPr="00576AAA" w:rsidP="006009D7" w14:paraId="18A0C140" w14:textId="76E79407">
            <w:pPr>
              <w:pStyle w:val="73R"/>
              <w:rPr>
                <w:rtl/>
              </w:rPr>
            </w:pPr>
            <w:r w:rsidRPr="00695921">
              <w:rPr>
                <w:rFonts w:hint="cs"/>
                <w:rtl/>
              </w:rPr>
              <w:t>456</w:t>
            </w:r>
          </w:p>
        </w:tc>
      </w:tr>
      <w:tr w14:paraId="2DF23FA8" w14:textId="77777777" w:rsidTr="006009D7">
        <w:tblPrEx>
          <w:tblW w:w="4715" w:type="pct"/>
          <w:tblInd w:w="420" w:type="dxa"/>
          <w:shd w:val="clear" w:color="auto" w:fill="F0F8F9"/>
          <w:tblLook w:val="04A0"/>
        </w:tblPrEx>
        <w:tc>
          <w:tcPr>
            <w:tcW w:w="1442" w:type="pct"/>
            <w:shd w:val="clear" w:color="auto" w:fill="F0F8F9"/>
          </w:tcPr>
          <w:p w:rsidR="006009D7" w:rsidRPr="00576AAA" w:rsidP="006009D7" w14:paraId="47C39BC8" w14:textId="77777777">
            <w:pPr>
              <w:pStyle w:val="73R"/>
              <w:rPr>
                <w:b/>
                <w:bCs/>
                <w:rtl/>
              </w:rPr>
            </w:pPr>
            <w:r w:rsidRPr="00576AAA">
              <w:rPr>
                <w:b/>
                <w:bCs/>
                <w:rtl/>
              </w:rPr>
              <w:t>גז טבעי</w:t>
            </w:r>
          </w:p>
        </w:tc>
        <w:tc>
          <w:tcPr>
            <w:tcW w:w="594" w:type="pct"/>
            <w:shd w:val="clear" w:color="auto" w:fill="F0F8F9"/>
            <w:vAlign w:val="center"/>
          </w:tcPr>
          <w:p w:rsidR="006009D7" w:rsidRPr="00576AAA" w:rsidP="006009D7" w14:paraId="363C2278" w14:textId="4203E516">
            <w:pPr>
              <w:pStyle w:val="73R"/>
              <w:rPr>
                <w:rtl/>
              </w:rPr>
            </w:pPr>
            <w:r w:rsidRPr="00695921">
              <w:rPr>
                <w:rFonts w:hint="cs"/>
                <w:rtl/>
              </w:rPr>
              <w:t>29</w:t>
            </w:r>
          </w:p>
        </w:tc>
        <w:tc>
          <w:tcPr>
            <w:tcW w:w="594" w:type="pct"/>
            <w:shd w:val="clear" w:color="auto" w:fill="F0F8F9"/>
            <w:vAlign w:val="center"/>
          </w:tcPr>
          <w:p w:rsidR="006009D7" w:rsidRPr="00576AAA" w:rsidP="006009D7" w14:paraId="3C033521" w14:textId="65D8D8DA">
            <w:pPr>
              <w:pStyle w:val="73R"/>
              <w:rPr>
                <w:rtl/>
              </w:rPr>
            </w:pPr>
            <w:r w:rsidRPr="00695921">
              <w:rPr>
                <w:rFonts w:hint="cs"/>
                <w:rtl/>
              </w:rPr>
              <w:t>45</w:t>
            </w:r>
          </w:p>
        </w:tc>
        <w:tc>
          <w:tcPr>
            <w:tcW w:w="593" w:type="pct"/>
            <w:shd w:val="clear" w:color="auto" w:fill="F0F8F9"/>
            <w:vAlign w:val="center"/>
          </w:tcPr>
          <w:p w:rsidR="006009D7" w:rsidRPr="00576AAA" w:rsidP="006009D7" w14:paraId="6219FD2A" w14:textId="73FDA934">
            <w:pPr>
              <w:pStyle w:val="73R"/>
              <w:rPr>
                <w:rtl/>
              </w:rPr>
            </w:pPr>
            <w:r w:rsidRPr="00695921">
              <w:rPr>
                <w:rFonts w:hint="cs"/>
                <w:rtl/>
              </w:rPr>
              <w:t>65</w:t>
            </w:r>
          </w:p>
        </w:tc>
        <w:tc>
          <w:tcPr>
            <w:tcW w:w="594" w:type="pct"/>
            <w:shd w:val="clear" w:color="auto" w:fill="F0F8F9"/>
            <w:vAlign w:val="center"/>
          </w:tcPr>
          <w:p w:rsidR="006009D7" w:rsidRPr="00576AAA" w:rsidP="006009D7" w14:paraId="1A122DB8" w14:textId="7719359A">
            <w:pPr>
              <w:pStyle w:val="73R"/>
              <w:rPr>
                <w:rtl/>
              </w:rPr>
            </w:pPr>
            <w:r w:rsidRPr="00695921">
              <w:rPr>
                <w:rFonts w:hint="cs"/>
                <w:rtl/>
              </w:rPr>
              <w:t>91</w:t>
            </w:r>
          </w:p>
        </w:tc>
        <w:tc>
          <w:tcPr>
            <w:tcW w:w="593" w:type="pct"/>
            <w:shd w:val="clear" w:color="auto" w:fill="F0F8F9"/>
            <w:vAlign w:val="center"/>
          </w:tcPr>
          <w:p w:rsidR="006009D7" w:rsidRPr="00576AAA" w:rsidP="006009D7" w14:paraId="4670B02E" w14:textId="7C2583B8">
            <w:pPr>
              <w:pStyle w:val="73R"/>
              <w:rPr>
                <w:rtl/>
              </w:rPr>
            </w:pPr>
            <w:r w:rsidRPr="00695921">
              <w:rPr>
                <w:rFonts w:hint="cs"/>
                <w:rtl/>
              </w:rPr>
              <w:t>126</w:t>
            </w:r>
          </w:p>
        </w:tc>
        <w:tc>
          <w:tcPr>
            <w:tcW w:w="591" w:type="pct"/>
            <w:shd w:val="clear" w:color="auto" w:fill="F0F8F9"/>
            <w:vAlign w:val="center"/>
          </w:tcPr>
          <w:p w:rsidR="006009D7" w:rsidRPr="00576AAA" w:rsidP="006009D7" w14:paraId="6C23A15C" w14:textId="647B9AB1">
            <w:pPr>
              <w:pStyle w:val="73R"/>
              <w:rPr>
                <w:rtl/>
              </w:rPr>
            </w:pPr>
            <w:r w:rsidRPr="00695921">
              <w:rPr>
                <w:rFonts w:hint="cs"/>
                <w:rtl/>
              </w:rPr>
              <w:t>170</w:t>
            </w:r>
          </w:p>
        </w:tc>
      </w:tr>
      <w:tr w14:paraId="69000DB2" w14:textId="77777777" w:rsidTr="006009D7">
        <w:tblPrEx>
          <w:tblW w:w="4715" w:type="pct"/>
          <w:tblInd w:w="420" w:type="dxa"/>
          <w:shd w:val="clear" w:color="auto" w:fill="F0F8F9"/>
          <w:tblLook w:val="04A0"/>
        </w:tblPrEx>
        <w:tc>
          <w:tcPr>
            <w:tcW w:w="1442" w:type="pct"/>
            <w:shd w:val="clear" w:color="auto" w:fill="DFECEF"/>
          </w:tcPr>
          <w:p w:rsidR="006009D7" w:rsidRPr="00576AAA" w:rsidP="006009D7" w14:paraId="4180E5F9" w14:textId="77777777">
            <w:pPr>
              <w:pStyle w:val="73R"/>
              <w:rPr>
                <w:b/>
                <w:bCs/>
                <w:rtl/>
              </w:rPr>
            </w:pPr>
            <w:r w:rsidRPr="00576AAA">
              <w:rPr>
                <w:b/>
                <w:bCs/>
                <w:rtl/>
              </w:rPr>
              <w:t>מזוט 0.5%</w:t>
            </w:r>
          </w:p>
        </w:tc>
        <w:tc>
          <w:tcPr>
            <w:tcW w:w="594" w:type="pct"/>
            <w:shd w:val="clear" w:color="auto" w:fill="DFECEF"/>
            <w:vAlign w:val="center"/>
          </w:tcPr>
          <w:p w:rsidR="006009D7" w:rsidRPr="00576AAA" w:rsidP="006009D7" w14:paraId="0903686A" w14:textId="5E83080C">
            <w:pPr>
              <w:pStyle w:val="73R"/>
              <w:rPr>
                <w:rtl/>
              </w:rPr>
            </w:pPr>
            <w:r w:rsidRPr="00695921">
              <w:rPr>
                <w:rFonts w:hint="cs"/>
                <w:rtl/>
              </w:rPr>
              <w:t>79</w:t>
            </w:r>
          </w:p>
        </w:tc>
        <w:tc>
          <w:tcPr>
            <w:tcW w:w="594" w:type="pct"/>
            <w:shd w:val="clear" w:color="auto" w:fill="DFECEF"/>
            <w:vAlign w:val="center"/>
          </w:tcPr>
          <w:p w:rsidR="006009D7" w:rsidRPr="00576AAA" w:rsidP="006009D7" w14:paraId="62C94DA6" w14:textId="088BACE8">
            <w:pPr>
              <w:pStyle w:val="73R"/>
              <w:rPr>
                <w:rtl/>
              </w:rPr>
            </w:pPr>
            <w:r w:rsidRPr="00695921">
              <w:rPr>
                <w:rFonts w:hint="cs"/>
                <w:rtl/>
              </w:rPr>
              <w:t>163</w:t>
            </w:r>
          </w:p>
        </w:tc>
        <w:tc>
          <w:tcPr>
            <w:tcW w:w="593" w:type="pct"/>
            <w:shd w:val="clear" w:color="auto" w:fill="DFECEF"/>
            <w:vAlign w:val="center"/>
          </w:tcPr>
          <w:p w:rsidR="006009D7" w:rsidRPr="00576AAA" w:rsidP="006009D7" w14:paraId="5FB4BA69" w14:textId="2EACABAB">
            <w:pPr>
              <w:pStyle w:val="73R"/>
              <w:rPr>
                <w:rtl/>
              </w:rPr>
            </w:pPr>
            <w:r w:rsidRPr="00695921">
              <w:rPr>
                <w:rFonts w:hint="cs"/>
                <w:rtl/>
              </w:rPr>
              <w:t>271</w:t>
            </w:r>
          </w:p>
        </w:tc>
        <w:tc>
          <w:tcPr>
            <w:tcW w:w="594" w:type="pct"/>
            <w:shd w:val="clear" w:color="auto" w:fill="DFECEF"/>
            <w:vAlign w:val="center"/>
          </w:tcPr>
          <w:p w:rsidR="006009D7" w:rsidRPr="00576AAA" w:rsidP="006009D7" w14:paraId="33603792" w14:textId="5FA00D51">
            <w:pPr>
              <w:pStyle w:val="73R"/>
              <w:rPr>
                <w:rtl/>
              </w:rPr>
            </w:pPr>
            <w:r w:rsidRPr="00695921">
              <w:rPr>
                <w:rFonts w:hint="cs"/>
                <w:rtl/>
              </w:rPr>
              <w:t>412</w:t>
            </w:r>
          </w:p>
        </w:tc>
        <w:tc>
          <w:tcPr>
            <w:tcW w:w="593" w:type="pct"/>
            <w:shd w:val="clear" w:color="auto" w:fill="DFECEF"/>
            <w:vAlign w:val="center"/>
          </w:tcPr>
          <w:p w:rsidR="006009D7" w:rsidRPr="00576AAA" w:rsidP="006009D7" w14:paraId="0D40A553" w14:textId="1E7FAC63">
            <w:pPr>
              <w:pStyle w:val="73R"/>
              <w:rPr>
                <w:rtl/>
              </w:rPr>
            </w:pPr>
            <w:r w:rsidRPr="00695921">
              <w:rPr>
                <w:rFonts w:hint="cs"/>
                <w:rtl/>
              </w:rPr>
              <w:t>595</w:t>
            </w:r>
          </w:p>
        </w:tc>
        <w:tc>
          <w:tcPr>
            <w:tcW w:w="591" w:type="pct"/>
            <w:shd w:val="clear" w:color="auto" w:fill="DFECEF"/>
            <w:vAlign w:val="center"/>
          </w:tcPr>
          <w:p w:rsidR="006009D7" w:rsidRPr="00576AAA" w:rsidP="006009D7" w14:paraId="041306FF" w14:textId="174EDC71">
            <w:pPr>
              <w:pStyle w:val="73R"/>
              <w:rPr>
                <w:rtl/>
              </w:rPr>
            </w:pPr>
            <w:r w:rsidRPr="00695921">
              <w:rPr>
                <w:rFonts w:hint="cs"/>
                <w:rtl/>
              </w:rPr>
              <w:t>833</w:t>
            </w:r>
          </w:p>
        </w:tc>
      </w:tr>
      <w:tr w14:paraId="3616A0C4" w14:textId="77777777" w:rsidTr="006009D7">
        <w:tblPrEx>
          <w:tblW w:w="4715" w:type="pct"/>
          <w:tblInd w:w="420" w:type="dxa"/>
          <w:shd w:val="clear" w:color="auto" w:fill="F0F8F9"/>
          <w:tblLook w:val="04A0"/>
        </w:tblPrEx>
        <w:tc>
          <w:tcPr>
            <w:tcW w:w="1442" w:type="pct"/>
            <w:shd w:val="clear" w:color="auto" w:fill="F0F8F9"/>
          </w:tcPr>
          <w:p w:rsidR="006009D7" w:rsidRPr="00576AAA" w:rsidP="006009D7" w14:paraId="421A542F" w14:textId="77777777">
            <w:pPr>
              <w:pStyle w:val="73R"/>
              <w:rPr>
                <w:b/>
                <w:bCs/>
                <w:rtl/>
              </w:rPr>
            </w:pPr>
            <w:r w:rsidRPr="00576AAA">
              <w:rPr>
                <w:b/>
                <w:bCs/>
                <w:rtl/>
              </w:rPr>
              <w:t>מזוט 1%</w:t>
            </w:r>
          </w:p>
        </w:tc>
        <w:tc>
          <w:tcPr>
            <w:tcW w:w="594" w:type="pct"/>
            <w:shd w:val="clear" w:color="auto" w:fill="F0F8F9"/>
            <w:vAlign w:val="center"/>
          </w:tcPr>
          <w:p w:rsidR="006009D7" w:rsidRPr="00576AAA" w:rsidP="006009D7" w14:paraId="071C65D8" w14:textId="087AB25A">
            <w:pPr>
              <w:pStyle w:val="73R"/>
              <w:rPr>
                <w:rtl/>
              </w:rPr>
            </w:pPr>
            <w:r w:rsidRPr="00695921">
              <w:rPr>
                <w:rFonts w:hint="cs"/>
                <w:rtl/>
              </w:rPr>
              <w:t>867</w:t>
            </w:r>
          </w:p>
        </w:tc>
        <w:tc>
          <w:tcPr>
            <w:tcW w:w="594" w:type="pct"/>
            <w:shd w:val="clear" w:color="auto" w:fill="F0F8F9"/>
            <w:vAlign w:val="center"/>
          </w:tcPr>
          <w:p w:rsidR="006009D7" w:rsidRPr="00576AAA" w:rsidP="006009D7" w14:paraId="677BCFFB" w14:textId="6162A812">
            <w:pPr>
              <w:pStyle w:val="73R"/>
              <w:rPr>
                <w:rtl/>
              </w:rPr>
            </w:pPr>
            <w:r w:rsidRPr="00695921">
              <w:rPr>
                <w:rFonts w:hint="cs"/>
                <w:rtl/>
              </w:rPr>
              <w:t>951</w:t>
            </w:r>
          </w:p>
        </w:tc>
        <w:tc>
          <w:tcPr>
            <w:tcW w:w="593" w:type="pct"/>
            <w:shd w:val="clear" w:color="auto" w:fill="F0F8F9"/>
            <w:vAlign w:val="center"/>
          </w:tcPr>
          <w:p w:rsidR="006009D7" w:rsidRPr="00576AAA" w:rsidP="006009D7" w14:paraId="13E6B916" w14:textId="75358FAA">
            <w:pPr>
              <w:pStyle w:val="73R"/>
              <w:rPr>
                <w:rtl/>
              </w:rPr>
            </w:pPr>
            <w:r w:rsidRPr="00695921">
              <w:rPr>
                <w:rFonts w:hint="cs"/>
                <w:rtl/>
              </w:rPr>
              <w:t>1</w:t>
            </w:r>
            <w:r w:rsidR="006B4883">
              <w:rPr>
                <w:rFonts w:hint="cs"/>
                <w:rtl/>
              </w:rPr>
              <w:t>,</w:t>
            </w:r>
            <w:r w:rsidRPr="00695921">
              <w:rPr>
                <w:rFonts w:hint="cs"/>
                <w:rtl/>
              </w:rPr>
              <w:t>059</w:t>
            </w:r>
          </w:p>
        </w:tc>
        <w:tc>
          <w:tcPr>
            <w:tcW w:w="594" w:type="pct"/>
            <w:shd w:val="clear" w:color="auto" w:fill="F0F8F9"/>
            <w:vAlign w:val="center"/>
          </w:tcPr>
          <w:p w:rsidR="006009D7" w:rsidRPr="00576AAA" w:rsidP="006009D7" w14:paraId="15573FDC" w14:textId="5CF6700D">
            <w:pPr>
              <w:pStyle w:val="73R"/>
              <w:rPr>
                <w:rtl/>
              </w:rPr>
            </w:pPr>
            <w:r w:rsidRPr="00695921">
              <w:rPr>
                <w:rFonts w:hint="cs"/>
                <w:rtl/>
              </w:rPr>
              <w:t>1</w:t>
            </w:r>
            <w:r w:rsidR="006B4883">
              <w:rPr>
                <w:rFonts w:hint="cs"/>
                <w:rtl/>
              </w:rPr>
              <w:t>,</w:t>
            </w:r>
            <w:r w:rsidRPr="00695921">
              <w:rPr>
                <w:rFonts w:hint="cs"/>
                <w:rtl/>
              </w:rPr>
              <w:t>200</w:t>
            </w:r>
          </w:p>
        </w:tc>
        <w:tc>
          <w:tcPr>
            <w:tcW w:w="593" w:type="pct"/>
            <w:shd w:val="clear" w:color="auto" w:fill="F0F8F9"/>
            <w:vAlign w:val="center"/>
          </w:tcPr>
          <w:p w:rsidR="006009D7" w:rsidRPr="00576AAA" w:rsidP="006009D7" w14:paraId="4F399D9C" w14:textId="4251F37A">
            <w:pPr>
              <w:pStyle w:val="73R"/>
              <w:rPr>
                <w:rtl/>
              </w:rPr>
            </w:pPr>
            <w:r w:rsidRPr="00695921">
              <w:rPr>
                <w:rFonts w:hint="cs"/>
                <w:rtl/>
              </w:rPr>
              <w:t>1</w:t>
            </w:r>
            <w:r w:rsidR="006B4883">
              <w:rPr>
                <w:rFonts w:hint="cs"/>
                <w:rtl/>
              </w:rPr>
              <w:t>,</w:t>
            </w:r>
            <w:r w:rsidRPr="00695921">
              <w:rPr>
                <w:rFonts w:hint="cs"/>
                <w:rtl/>
              </w:rPr>
              <w:t>383</w:t>
            </w:r>
          </w:p>
        </w:tc>
        <w:tc>
          <w:tcPr>
            <w:tcW w:w="591" w:type="pct"/>
            <w:shd w:val="clear" w:color="auto" w:fill="F0F8F9"/>
            <w:vAlign w:val="center"/>
          </w:tcPr>
          <w:p w:rsidR="006009D7" w:rsidRPr="00576AAA" w:rsidP="006009D7" w14:paraId="70603679" w14:textId="39746BA2">
            <w:pPr>
              <w:pStyle w:val="73R"/>
              <w:rPr>
                <w:rtl/>
              </w:rPr>
            </w:pPr>
            <w:r w:rsidRPr="00695921">
              <w:rPr>
                <w:rFonts w:hint="cs"/>
                <w:rtl/>
              </w:rPr>
              <w:t>1</w:t>
            </w:r>
            <w:r w:rsidR="006B4883">
              <w:rPr>
                <w:rFonts w:hint="cs"/>
                <w:rtl/>
              </w:rPr>
              <w:t>,</w:t>
            </w:r>
            <w:r w:rsidRPr="00695921">
              <w:rPr>
                <w:rFonts w:hint="cs"/>
                <w:rtl/>
              </w:rPr>
              <w:t>621</w:t>
            </w:r>
          </w:p>
        </w:tc>
      </w:tr>
      <w:tr w14:paraId="09B118FF" w14:textId="77777777" w:rsidTr="006009D7">
        <w:tblPrEx>
          <w:tblW w:w="4715" w:type="pct"/>
          <w:tblInd w:w="420" w:type="dxa"/>
          <w:shd w:val="clear" w:color="auto" w:fill="F0F8F9"/>
          <w:tblLook w:val="04A0"/>
        </w:tblPrEx>
        <w:tc>
          <w:tcPr>
            <w:tcW w:w="1442" w:type="pct"/>
            <w:shd w:val="clear" w:color="auto" w:fill="DFECEF"/>
          </w:tcPr>
          <w:p w:rsidR="006009D7" w:rsidRPr="00576AAA" w:rsidP="006009D7" w14:paraId="1D224CC2" w14:textId="57C4ADC2">
            <w:pPr>
              <w:pStyle w:val="73R"/>
              <w:rPr>
                <w:b/>
                <w:bCs/>
                <w:rtl/>
              </w:rPr>
            </w:pPr>
            <w:r w:rsidRPr="00576AAA">
              <w:rPr>
                <w:b/>
                <w:bCs/>
                <w:rtl/>
              </w:rPr>
              <w:t>גפ"</w:t>
            </w:r>
            <w:r>
              <w:rPr>
                <w:rFonts w:hint="cs"/>
                <w:b/>
                <w:bCs/>
                <w:rtl/>
              </w:rPr>
              <w:t>ם</w:t>
            </w:r>
            <w:r>
              <w:rPr>
                <w:rStyle w:val="FootnoteReference2"/>
                <w:b/>
                <w:bCs/>
                <w:rtl/>
              </w:rPr>
              <w:footnoteReference w:id="86"/>
            </w:r>
          </w:p>
        </w:tc>
        <w:tc>
          <w:tcPr>
            <w:tcW w:w="594" w:type="pct"/>
            <w:shd w:val="clear" w:color="auto" w:fill="DFECEF"/>
            <w:vAlign w:val="center"/>
          </w:tcPr>
          <w:p w:rsidR="006009D7" w:rsidRPr="00576AAA" w:rsidP="006009D7" w14:paraId="47E761E1" w14:textId="0A8FD571">
            <w:pPr>
              <w:pStyle w:val="73R"/>
              <w:rPr>
                <w:rtl/>
              </w:rPr>
            </w:pPr>
            <w:r w:rsidRPr="00695921">
              <w:rPr>
                <w:rFonts w:hint="cs"/>
                <w:rtl/>
              </w:rPr>
              <w:t>158</w:t>
            </w:r>
          </w:p>
        </w:tc>
        <w:tc>
          <w:tcPr>
            <w:tcW w:w="594" w:type="pct"/>
            <w:shd w:val="clear" w:color="auto" w:fill="DFECEF"/>
            <w:vAlign w:val="center"/>
          </w:tcPr>
          <w:p w:rsidR="006009D7" w:rsidRPr="00576AAA" w:rsidP="006009D7" w14:paraId="12A2BF72" w14:textId="409BE9AA">
            <w:pPr>
              <w:pStyle w:val="73R"/>
              <w:rPr>
                <w:rtl/>
              </w:rPr>
            </w:pPr>
            <w:r w:rsidRPr="00695921">
              <w:rPr>
                <w:rFonts w:hint="cs"/>
                <w:rtl/>
              </w:rPr>
              <w:t>205</w:t>
            </w:r>
          </w:p>
        </w:tc>
        <w:tc>
          <w:tcPr>
            <w:tcW w:w="593" w:type="pct"/>
            <w:shd w:val="clear" w:color="auto" w:fill="DFECEF"/>
            <w:vAlign w:val="center"/>
          </w:tcPr>
          <w:p w:rsidR="006009D7" w:rsidRPr="00576AAA" w:rsidP="006009D7" w14:paraId="08972F91" w14:textId="54695BE9">
            <w:pPr>
              <w:pStyle w:val="73R"/>
              <w:rPr>
                <w:rtl/>
              </w:rPr>
            </w:pPr>
            <w:r w:rsidRPr="00695921">
              <w:rPr>
                <w:rFonts w:hint="cs"/>
                <w:rtl/>
              </w:rPr>
              <w:t>266</w:t>
            </w:r>
          </w:p>
        </w:tc>
        <w:tc>
          <w:tcPr>
            <w:tcW w:w="594" w:type="pct"/>
            <w:shd w:val="clear" w:color="auto" w:fill="DFECEF"/>
            <w:vAlign w:val="center"/>
          </w:tcPr>
          <w:p w:rsidR="006009D7" w:rsidRPr="00576AAA" w:rsidP="006009D7" w14:paraId="2B08752A" w14:textId="05A4574B">
            <w:pPr>
              <w:pStyle w:val="73R"/>
              <w:rPr>
                <w:rtl/>
              </w:rPr>
            </w:pPr>
            <w:r w:rsidRPr="00695921">
              <w:rPr>
                <w:rFonts w:hint="cs"/>
                <w:rtl/>
              </w:rPr>
              <w:t>345</w:t>
            </w:r>
          </w:p>
        </w:tc>
        <w:tc>
          <w:tcPr>
            <w:tcW w:w="593" w:type="pct"/>
            <w:shd w:val="clear" w:color="auto" w:fill="DFECEF"/>
            <w:vAlign w:val="center"/>
          </w:tcPr>
          <w:p w:rsidR="006009D7" w:rsidRPr="00576AAA" w:rsidP="006009D7" w14:paraId="7E839B87" w14:textId="2B620E05">
            <w:pPr>
              <w:pStyle w:val="73R"/>
              <w:rPr>
                <w:rtl/>
              </w:rPr>
            </w:pPr>
            <w:r w:rsidRPr="00695921">
              <w:rPr>
                <w:rFonts w:hint="cs"/>
                <w:rtl/>
              </w:rPr>
              <w:t>448</w:t>
            </w:r>
          </w:p>
        </w:tc>
        <w:tc>
          <w:tcPr>
            <w:tcW w:w="591" w:type="pct"/>
            <w:shd w:val="clear" w:color="auto" w:fill="DFECEF"/>
            <w:vAlign w:val="center"/>
          </w:tcPr>
          <w:p w:rsidR="006009D7" w:rsidRPr="00576AAA" w:rsidP="006009D7" w14:paraId="19F290FE" w14:textId="56D277B9">
            <w:pPr>
              <w:pStyle w:val="73R"/>
              <w:rPr>
                <w:rtl/>
              </w:rPr>
            </w:pPr>
            <w:r w:rsidRPr="00695921">
              <w:rPr>
                <w:rFonts w:hint="cs"/>
                <w:rtl/>
              </w:rPr>
              <w:t>582</w:t>
            </w:r>
          </w:p>
        </w:tc>
      </w:tr>
      <w:tr w14:paraId="36390606" w14:textId="77777777" w:rsidTr="006009D7">
        <w:tblPrEx>
          <w:tblW w:w="4715" w:type="pct"/>
          <w:tblInd w:w="420" w:type="dxa"/>
          <w:shd w:val="clear" w:color="auto" w:fill="F0F8F9"/>
          <w:tblLook w:val="04A0"/>
        </w:tblPrEx>
        <w:tc>
          <w:tcPr>
            <w:tcW w:w="1442" w:type="pct"/>
            <w:shd w:val="clear" w:color="auto" w:fill="F0F8F9"/>
          </w:tcPr>
          <w:p w:rsidR="006009D7" w:rsidRPr="00576AAA" w:rsidP="006009D7" w14:paraId="6A18B55E" w14:textId="77777777">
            <w:pPr>
              <w:pStyle w:val="73R"/>
              <w:rPr>
                <w:b/>
                <w:bCs/>
                <w:rtl/>
              </w:rPr>
            </w:pPr>
            <w:r w:rsidRPr="00576AAA">
              <w:rPr>
                <w:b/>
                <w:bCs/>
                <w:rtl/>
              </w:rPr>
              <w:t>פטקוק</w:t>
            </w:r>
            <w:r>
              <w:rPr>
                <w:rStyle w:val="FootnoteReference2"/>
                <w:b/>
                <w:bCs/>
                <w:rtl/>
              </w:rPr>
              <w:footnoteReference w:id="87"/>
            </w:r>
          </w:p>
        </w:tc>
        <w:tc>
          <w:tcPr>
            <w:tcW w:w="594" w:type="pct"/>
            <w:shd w:val="clear" w:color="auto" w:fill="F0F8F9"/>
            <w:vAlign w:val="center"/>
          </w:tcPr>
          <w:p w:rsidR="006009D7" w:rsidRPr="00576AAA" w:rsidP="006009D7" w14:paraId="50F2C2F8" w14:textId="57FFCE44">
            <w:pPr>
              <w:pStyle w:val="73R"/>
              <w:rPr>
                <w:rtl/>
              </w:rPr>
            </w:pPr>
            <w:r w:rsidRPr="00695921">
              <w:rPr>
                <w:rFonts w:hint="cs"/>
                <w:rtl/>
              </w:rPr>
              <w:t>92</w:t>
            </w:r>
          </w:p>
        </w:tc>
        <w:tc>
          <w:tcPr>
            <w:tcW w:w="594" w:type="pct"/>
            <w:shd w:val="clear" w:color="auto" w:fill="F0F8F9"/>
            <w:vAlign w:val="center"/>
          </w:tcPr>
          <w:p w:rsidR="006009D7" w:rsidRPr="00576AAA" w:rsidP="006009D7" w14:paraId="0C2E8C8C" w14:textId="067D1D0C">
            <w:pPr>
              <w:pStyle w:val="73R"/>
              <w:rPr>
                <w:rtl/>
              </w:rPr>
            </w:pPr>
            <w:r w:rsidRPr="00695921">
              <w:rPr>
                <w:rFonts w:hint="cs"/>
                <w:rtl/>
              </w:rPr>
              <w:t>151</w:t>
            </w:r>
          </w:p>
        </w:tc>
        <w:tc>
          <w:tcPr>
            <w:tcW w:w="593" w:type="pct"/>
            <w:shd w:val="clear" w:color="auto" w:fill="F0F8F9"/>
            <w:vAlign w:val="center"/>
          </w:tcPr>
          <w:p w:rsidR="006009D7" w:rsidRPr="00576AAA" w:rsidP="006009D7" w14:paraId="70D29246" w14:textId="2EF2D6CC">
            <w:pPr>
              <w:pStyle w:val="73R"/>
              <w:rPr>
                <w:rtl/>
              </w:rPr>
            </w:pPr>
            <w:r w:rsidRPr="00695921">
              <w:rPr>
                <w:rFonts w:hint="cs"/>
                <w:rtl/>
              </w:rPr>
              <w:t>227</w:t>
            </w:r>
          </w:p>
        </w:tc>
        <w:tc>
          <w:tcPr>
            <w:tcW w:w="594" w:type="pct"/>
            <w:shd w:val="clear" w:color="auto" w:fill="F0F8F9"/>
            <w:vAlign w:val="center"/>
          </w:tcPr>
          <w:p w:rsidR="006009D7" w:rsidRPr="00576AAA" w:rsidP="006009D7" w14:paraId="59428934" w14:textId="374B05F0">
            <w:pPr>
              <w:pStyle w:val="73R"/>
              <w:rPr>
                <w:rtl/>
              </w:rPr>
            </w:pPr>
            <w:r w:rsidRPr="00695921">
              <w:rPr>
                <w:rFonts w:hint="cs"/>
                <w:rtl/>
              </w:rPr>
              <w:t>327</w:t>
            </w:r>
          </w:p>
        </w:tc>
        <w:tc>
          <w:tcPr>
            <w:tcW w:w="593" w:type="pct"/>
            <w:shd w:val="clear" w:color="auto" w:fill="F0F8F9"/>
            <w:vAlign w:val="center"/>
          </w:tcPr>
          <w:p w:rsidR="006009D7" w:rsidRPr="00576AAA" w:rsidP="006009D7" w14:paraId="689680CE" w14:textId="40BE4B5B">
            <w:pPr>
              <w:pStyle w:val="73R"/>
              <w:rPr>
                <w:rtl/>
              </w:rPr>
            </w:pPr>
            <w:r w:rsidRPr="00695921">
              <w:rPr>
                <w:rFonts w:hint="cs"/>
                <w:rtl/>
              </w:rPr>
              <w:t>457</w:t>
            </w:r>
          </w:p>
        </w:tc>
        <w:tc>
          <w:tcPr>
            <w:tcW w:w="591" w:type="pct"/>
            <w:shd w:val="clear" w:color="auto" w:fill="F0F8F9"/>
            <w:vAlign w:val="center"/>
          </w:tcPr>
          <w:p w:rsidR="006009D7" w:rsidRPr="00576AAA" w:rsidP="006009D7" w14:paraId="70D854C5" w14:textId="29577FBB">
            <w:pPr>
              <w:pStyle w:val="73R"/>
              <w:rPr>
                <w:rtl/>
              </w:rPr>
            </w:pPr>
            <w:r w:rsidRPr="00695921">
              <w:rPr>
                <w:rFonts w:hint="cs"/>
                <w:rtl/>
              </w:rPr>
              <w:t>625</w:t>
            </w:r>
          </w:p>
        </w:tc>
      </w:tr>
    </w:tbl>
    <w:p w:rsidR="00F20E3F" w:rsidRPr="004A7D31" w:rsidP="00AE058C" w14:paraId="658FEEE8" w14:textId="77777777">
      <w:pPr>
        <w:pStyle w:val="7116"/>
        <w:ind w:left="397"/>
        <w:rPr>
          <w:rtl/>
        </w:rPr>
      </w:pPr>
      <w:r>
        <w:rPr>
          <w:rFonts w:hint="cs"/>
          <w:rtl/>
        </w:rPr>
        <w:t>ה</w:t>
      </w:r>
      <w:r w:rsidRPr="004A7D31">
        <w:rPr>
          <w:rFonts w:hint="cs"/>
          <w:rtl/>
        </w:rPr>
        <w:t xml:space="preserve">מקור: החלטת </w:t>
      </w:r>
      <w:r>
        <w:rPr>
          <w:rFonts w:hint="cs"/>
          <w:rtl/>
        </w:rPr>
        <w:t>ה</w:t>
      </w:r>
      <w:r w:rsidRPr="004A7D31">
        <w:rPr>
          <w:rFonts w:hint="cs"/>
          <w:rtl/>
        </w:rPr>
        <w:t>ממשלה 286</w:t>
      </w:r>
      <w:r>
        <w:rPr>
          <w:rFonts w:hint="cs"/>
          <w:rtl/>
        </w:rPr>
        <w:t>.</w:t>
      </w:r>
    </w:p>
    <w:p w:rsidR="00F20E3F" w:rsidRPr="00AE058C" w:rsidP="00AE058C" w14:paraId="5DCD159E" w14:textId="77777777">
      <w:pPr>
        <w:pStyle w:val="7111"/>
        <w:rPr>
          <w:rtl/>
        </w:rPr>
      </w:pPr>
      <w:r w:rsidRPr="00AE058C">
        <w:rPr>
          <w:rFonts w:hint="cs"/>
          <w:rtl/>
        </w:rPr>
        <w:t>מהלוח עולה כי החלת מס פחמן באמצעות הבלו חלה בהדרגתיות בשיטת ה-</w:t>
      </w:r>
      <w:r w:rsidRPr="00AE058C">
        <w:t>upstream</w:t>
      </w:r>
      <w:r>
        <w:rPr>
          <w:rStyle w:val="FootnoteReference2"/>
          <w:rtl/>
        </w:rPr>
        <w:footnoteReference w:id="88"/>
      </w:r>
      <w:r w:rsidRPr="00AE058C">
        <w:rPr>
          <w:rFonts w:hint="cs"/>
          <w:rtl/>
        </w:rPr>
        <w:t xml:space="preserve"> החל בשנת 2023 עד שנת 2028 על הדלקים האלה: פחם, גז טבעי, מזוט 0.5% ו-1%, </w:t>
      </w:r>
      <w:r w:rsidRPr="00AE058C">
        <w:rPr>
          <w:rFonts w:hint="cs"/>
          <w:rtl/>
        </w:rPr>
        <w:t>גפ"ם</w:t>
      </w:r>
      <w:r w:rsidRPr="00AE058C">
        <w:rPr>
          <w:rFonts w:hint="cs"/>
          <w:rtl/>
        </w:rPr>
        <w:t xml:space="preserve"> </w:t>
      </w:r>
      <w:r w:rsidRPr="00AE058C">
        <w:rPr>
          <w:rFonts w:hint="cs"/>
          <w:rtl/>
        </w:rPr>
        <w:t>ופטקוק</w:t>
      </w:r>
      <w:r w:rsidRPr="00AE058C">
        <w:rPr>
          <w:rFonts w:hint="cs"/>
          <w:rtl/>
        </w:rPr>
        <w:t xml:space="preserve">. יצוין כי </w:t>
      </w:r>
      <w:r w:rsidRPr="00AE058C">
        <w:rPr>
          <w:rtl/>
        </w:rPr>
        <w:t xml:space="preserve">בכל הדלקים </w:t>
      </w:r>
      <w:r w:rsidRPr="00AE058C">
        <w:rPr>
          <w:rFonts w:hint="cs"/>
          <w:rtl/>
        </w:rPr>
        <w:t xml:space="preserve">הנידונים, </w:t>
      </w:r>
      <w:r w:rsidRPr="00AE058C">
        <w:rPr>
          <w:rtl/>
        </w:rPr>
        <w:t>מלבד גז טבעי</w:t>
      </w:r>
      <w:r w:rsidRPr="00AE058C">
        <w:rPr>
          <w:rFonts w:hint="cs"/>
          <w:rtl/>
        </w:rPr>
        <w:t>,</w:t>
      </w:r>
      <w:r w:rsidRPr="00AE058C">
        <w:rPr>
          <w:rtl/>
        </w:rPr>
        <w:t xml:space="preserve"> יש הפנמה מלאה</w:t>
      </w:r>
      <w:r w:rsidRPr="00AE058C">
        <w:rPr>
          <w:rFonts w:hint="cs"/>
          <w:rtl/>
        </w:rPr>
        <w:t xml:space="preserve"> (100%)</w:t>
      </w:r>
      <w:r w:rsidRPr="00AE058C">
        <w:rPr>
          <w:rtl/>
        </w:rPr>
        <w:t xml:space="preserve"> של העלות החיצונית של </w:t>
      </w:r>
      <w:r w:rsidRPr="00AE058C">
        <w:t>CO</w:t>
      </w:r>
      <w:r w:rsidRPr="006B77A8">
        <w:rPr>
          <w:vertAlign w:val="subscript"/>
        </w:rPr>
        <w:t>2</w:t>
      </w:r>
      <w:r w:rsidRPr="00AE058C">
        <w:rPr>
          <w:rtl/>
        </w:rPr>
        <w:t xml:space="preserve"> </w:t>
      </w:r>
      <w:r w:rsidRPr="00AE058C">
        <w:rPr>
          <w:rFonts w:hint="cs"/>
          <w:rtl/>
        </w:rPr>
        <w:t xml:space="preserve">(לא כולל </w:t>
      </w:r>
      <w:r w:rsidRPr="00AE058C">
        <w:rPr>
          <w:rFonts w:hint="cs"/>
          <w:rtl/>
        </w:rPr>
        <w:t>גז"ח</w:t>
      </w:r>
      <w:r w:rsidRPr="00AE058C">
        <w:rPr>
          <w:rFonts w:hint="cs"/>
          <w:rtl/>
        </w:rPr>
        <w:t xml:space="preserve">) עד </w:t>
      </w:r>
      <w:r w:rsidRPr="00AE058C">
        <w:rPr>
          <w:rtl/>
        </w:rPr>
        <w:t xml:space="preserve">שנת 2028. </w:t>
      </w:r>
    </w:p>
    <w:p w:rsidR="00F20E3F" w:rsidRPr="00AE058C" w:rsidP="00AE058C" w14:paraId="1FC33859" w14:textId="77777777">
      <w:pPr>
        <w:pStyle w:val="718"/>
        <w:rPr>
          <w:rtl/>
        </w:rPr>
      </w:pPr>
      <w:r w:rsidRPr="00AE058C">
        <w:rPr>
          <w:rFonts w:hint="cs"/>
          <w:rtl/>
        </w:rPr>
        <w:t xml:space="preserve">הביקורת העלתה כי גם לו היה מוחל מס פחמן, הוא לא היה מוחל על פליטות ממקורות אחרים שאינם דלקים (כמו גזי קירור ופסולת) אשר מהווים עוד 20% מהפליטות, ובשלב זה גם אין כוונה לתמחרם. עוד עלה כי מס פחמן הוצע רק בנוגע לחלק מהדלקים. למשל, הוא לא הוחל כלל על מזוט כבד לאוניות (שעליו כלל אין בלו) או על </w:t>
      </w:r>
      <w:r w:rsidRPr="00AE058C">
        <w:rPr>
          <w:rtl/>
        </w:rPr>
        <w:t>קרוסין לתעופה</w:t>
      </w:r>
      <w:r w:rsidRPr="00AE058C">
        <w:rPr>
          <w:rFonts w:hint="cs"/>
          <w:rtl/>
        </w:rPr>
        <w:t xml:space="preserve"> (שעליו חל בלו נמוך למדי של 29 ש"ח לטונה), ולא על בנזין ועל סולר מכל הסוגים (סולר, סולר לתחבורה, </w:t>
      </w:r>
      <w:r w:rsidRPr="00AE058C">
        <w:rPr>
          <w:rtl/>
        </w:rPr>
        <w:t>סולר לאוניות</w:t>
      </w:r>
      <w:r w:rsidRPr="00AE058C">
        <w:rPr>
          <w:rFonts w:hint="cs"/>
          <w:rtl/>
        </w:rPr>
        <w:t xml:space="preserve">, שעליהם נותר הבלו באותו המחיר). כמו כן נמצא כי </w:t>
      </w:r>
      <w:r w:rsidRPr="00AE058C">
        <w:rPr>
          <w:rFonts w:hint="cs"/>
          <w:rtl/>
        </w:rPr>
        <w:t>תמחורו</w:t>
      </w:r>
      <w:r w:rsidRPr="00AE058C">
        <w:rPr>
          <w:rFonts w:hint="cs"/>
          <w:rtl/>
        </w:rPr>
        <w:t xml:space="preserve"> של הפחמן באמצעות מנגנון הבלו היה מביא לכך שהעלויות החיצוניות אשר יועדו להפנמה היו בגין פליטות </w:t>
      </w:r>
      <w:r w:rsidRPr="00AE058C">
        <w:t>CO</w:t>
      </w:r>
      <w:r w:rsidRPr="008B26C0">
        <w:rPr>
          <w:vertAlign w:val="subscript"/>
        </w:rPr>
        <w:t>2</w:t>
      </w:r>
      <w:r w:rsidRPr="00AE058C">
        <w:rPr>
          <w:rtl/>
        </w:rPr>
        <w:t xml:space="preserve"> </w:t>
      </w:r>
      <w:r w:rsidRPr="00AE058C">
        <w:rPr>
          <w:rFonts w:hint="cs"/>
          <w:rtl/>
        </w:rPr>
        <w:t xml:space="preserve">ולא בגין יתר </w:t>
      </w:r>
      <w:r w:rsidRPr="00AE058C">
        <w:rPr>
          <w:rFonts w:hint="cs"/>
          <w:rtl/>
        </w:rPr>
        <w:t>הגז"ח</w:t>
      </w:r>
      <w:r w:rsidRPr="00AE058C">
        <w:rPr>
          <w:rFonts w:hint="cs"/>
          <w:rtl/>
        </w:rPr>
        <w:t xml:space="preserve"> (כלומר לא לפי </w:t>
      </w:r>
      <w:r w:rsidRPr="00AE058C">
        <w:t>CO</w:t>
      </w:r>
      <w:r w:rsidRPr="008B26C0">
        <w:rPr>
          <w:vertAlign w:val="subscript"/>
        </w:rPr>
        <w:t>2</w:t>
      </w:r>
      <w:r w:rsidRPr="00AE058C">
        <w:t>e</w:t>
      </w:r>
      <w:r w:rsidRPr="00AE058C">
        <w:rPr>
          <w:rFonts w:hint="cs"/>
          <w:rtl/>
        </w:rPr>
        <w:t xml:space="preserve">) - זאת בהיעדרם של כלי תמחור נוספים כמו היטלים על גורמים המחויבים על פי חוק בדיווח על פליטות (לרבות של </w:t>
      </w:r>
      <w:r w:rsidRPr="00AE058C">
        <w:rPr>
          <w:rFonts w:hint="cs"/>
          <w:rtl/>
        </w:rPr>
        <w:t>גז"ח</w:t>
      </w:r>
      <w:r w:rsidRPr="00AE058C">
        <w:rPr>
          <w:rFonts w:hint="cs"/>
          <w:rtl/>
        </w:rPr>
        <w:t>)</w:t>
      </w:r>
      <w:r>
        <w:rPr>
          <w:rStyle w:val="FootnoteReference2"/>
          <w:rtl/>
        </w:rPr>
        <w:footnoteReference w:id="89"/>
      </w:r>
      <w:r w:rsidRPr="00AE058C">
        <w:rPr>
          <w:rFonts w:hint="cs"/>
          <w:rtl/>
        </w:rPr>
        <w:t xml:space="preserve">. </w:t>
      </w:r>
    </w:p>
    <w:p w:rsidR="00F20E3F" w:rsidRPr="00AE058C" w:rsidP="00AE058C" w14:paraId="1F558207" w14:textId="77777777">
      <w:pPr>
        <w:pStyle w:val="718"/>
        <w:rPr>
          <w:rtl/>
        </w:rPr>
      </w:pPr>
      <w:r w:rsidRPr="00AE058C">
        <w:rPr>
          <w:rFonts w:hint="cs"/>
          <w:rtl/>
        </w:rPr>
        <w:t xml:space="preserve">מוצע אפוא כי משרד האוצר יבחן את תמחור מס הפחמן המוצע בהתחשב בכלל מקורות פליטות </w:t>
      </w:r>
      <w:r w:rsidRPr="00AE058C">
        <w:rPr>
          <w:rFonts w:hint="cs"/>
          <w:rtl/>
        </w:rPr>
        <w:t>הגז"ח</w:t>
      </w:r>
      <w:r w:rsidRPr="00AE058C">
        <w:rPr>
          <w:rFonts w:hint="cs"/>
          <w:rtl/>
        </w:rPr>
        <w:t xml:space="preserve"> ובכלל הדלקים. עוד מוצע לבחון את קביעתם של מנגנונים משלימים למס פחמן לצורך הפנמת עלויות של </w:t>
      </w:r>
      <w:r w:rsidRPr="00AE058C">
        <w:rPr>
          <w:rFonts w:hint="cs"/>
          <w:rtl/>
        </w:rPr>
        <w:t>גז"ח</w:t>
      </w:r>
      <w:r w:rsidRPr="00AE058C">
        <w:rPr>
          <w:rFonts w:hint="cs"/>
          <w:rtl/>
        </w:rPr>
        <w:t xml:space="preserve"> אחרים. זאת למשל באמצעות היטלים על פליטות, כך שכל האמצעים ישקפו טוב יותר את העלויות החיצוניות של </w:t>
      </w:r>
      <w:r w:rsidRPr="00AE058C">
        <w:rPr>
          <w:rFonts w:hint="cs"/>
          <w:rtl/>
        </w:rPr>
        <w:t>הגז"ח</w:t>
      </w:r>
      <w:r w:rsidRPr="00AE058C">
        <w:rPr>
          <w:rFonts w:hint="cs"/>
          <w:rtl/>
        </w:rPr>
        <w:t xml:space="preserve"> - ויביאו להפנמתן בצורה רחבה יותר.</w:t>
      </w:r>
    </w:p>
    <w:p w:rsidR="00F20E3F" w:rsidRPr="00ED5541" w:rsidP="00C44928" w14:paraId="2E6A1C43" w14:textId="6594BF00">
      <w:pPr>
        <w:pStyle w:val="7114"/>
        <w:numPr>
          <w:ilvl w:val="0"/>
          <w:numId w:val="77"/>
        </w:numPr>
        <w:rPr>
          <w:sz w:val="24"/>
        </w:rPr>
      </w:pPr>
      <w:r>
        <w:rPr>
          <w:rFonts w:hint="cs"/>
          <w:rtl/>
        </w:rPr>
        <w:t xml:space="preserve">אשר לבלו הגבוה המוטל בישראל על בנזין וסולר זה עשרות שנים, יוער כי תכולת הפחמן בדלקים אלו מעולם לא שימשה לקביעת גובהו. </w:t>
      </w:r>
      <w:r w:rsidRPr="00ED5541">
        <w:rPr>
          <w:rFonts w:hint="cs"/>
          <w:sz w:val="24"/>
          <w:rtl/>
        </w:rPr>
        <w:t xml:space="preserve">כאמור, </w:t>
      </w:r>
      <w:r>
        <w:rPr>
          <w:rFonts w:hint="cs"/>
          <w:rtl/>
        </w:rPr>
        <w:t xml:space="preserve">בנזין וסולר לתחבורה </w:t>
      </w:r>
      <w:r w:rsidRPr="009D7082">
        <w:rPr>
          <w:rFonts w:hint="cs"/>
          <w:rtl/>
        </w:rPr>
        <w:t xml:space="preserve">מייצרים יחדיו כ-30% מפליטות </w:t>
      </w:r>
      <w:r w:rsidRPr="009D7082">
        <w:rPr>
          <w:rFonts w:hint="cs"/>
          <w:rtl/>
        </w:rPr>
        <w:t>הגז"ח</w:t>
      </w:r>
      <w:r w:rsidRPr="009D7082">
        <w:rPr>
          <w:rFonts w:hint="cs"/>
          <w:rtl/>
        </w:rPr>
        <w:t xml:space="preserve"> בישראל </w:t>
      </w:r>
      <w:r>
        <w:rPr>
          <w:rFonts w:hint="cs"/>
          <w:rtl/>
        </w:rPr>
        <w:t xml:space="preserve">ואף </w:t>
      </w:r>
      <w:r w:rsidRPr="009D7082">
        <w:rPr>
          <w:rFonts w:hint="cs"/>
          <w:rtl/>
        </w:rPr>
        <w:t>לא נכללים במתווה של החלט</w:t>
      </w:r>
      <w:r>
        <w:rPr>
          <w:rFonts w:hint="cs"/>
          <w:rtl/>
        </w:rPr>
        <w:t>ת הממשלה</w:t>
      </w:r>
      <w:r w:rsidRPr="009D7082">
        <w:rPr>
          <w:rFonts w:hint="cs"/>
          <w:rtl/>
        </w:rPr>
        <w:t xml:space="preserve"> 286</w:t>
      </w:r>
      <w:r>
        <w:rPr>
          <w:rFonts w:hint="cs"/>
          <w:rtl/>
        </w:rPr>
        <w:t>, כמו גם</w:t>
      </w:r>
      <w:r w:rsidRPr="00CB1384">
        <w:rPr>
          <w:rFonts w:hint="cs"/>
          <w:rtl/>
        </w:rPr>
        <w:t xml:space="preserve"> </w:t>
      </w:r>
      <w:r>
        <w:rPr>
          <w:rFonts w:hint="cs"/>
          <w:rtl/>
        </w:rPr>
        <w:t xml:space="preserve">על </w:t>
      </w:r>
      <w:r w:rsidRPr="00CB1384">
        <w:rPr>
          <w:rtl/>
        </w:rPr>
        <w:t>קרוסין לתעופה</w:t>
      </w:r>
      <w:r>
        <w:rPr>
          <w:rFonts w:hint="cs"/>
          <w:rtl/>
        </w:rPr>
        <w:t xml:space="preserve"> ומזוט כבד לאוניות</w:t>
      </w:r>
      <w:r w:rsidRPr="009D7082">
        <w:rPr>
          <w:rFonts w:hint="cs"/>
          <w:rtl/>
        </w:rPr>
        <w:t xml:space="preserve">. </w:t>
      </w:r>
      <w:r>
        <w:rPr>
          <w:rFonts w:hint="cs"/>
          <w:rtl/>
        </w:rPr>
        <w:t xml:space="preserve">ככלל, הבלו עצמו אינו כלי </w:t>
      </w:r>
      <w:r w:rsidRPr="002C3812">
        <w:rPr>
          <w:rFonts w:hint="cs"/>
          <w:b/>
          <w:bCs/>
          <w:rtl/>
        </w:rPr>
        <w:t>ייעודי</w:t>
      </w:r>
      <w:r>
        <w:rPr>
          <w:rFonts w:hint="cs"/>
          <w:rtl/>
        </w:rPr>
        <w:t xml:space="preserve"> למטרה של הפחתת פליטות </w:t>
      </w:r>
      <w:r>
        <w:rPr>
          <w:rFonts w:hint="cs"/>
          <w:rtl/>
        </w:rPr>
        <w:t>גז"ח</w:t>
      </w:r>
      <w:r>
        <w:rPr>
          <w:rFonts w:hint="cs"/>
          <w:rtl/>
        </w:rPr>
        <w:t>, ועל כן עולה השאלה האם מס בלו כזה ייחשב כתמחור פחמן</w:t>
      </w:r>
      <w:r>
        <w:rPr>
          <w:rStyle w:val="FootnoteReference2"/>
          <w:rtl/>
        </w:rPr>
        <w:footnoteReference w:id="90"/>
      </w:r>
      <w:r>
        <w:rPr>
          <w:rFonts w:hint="cs"/>
          <w:rtl/>
        </w:rPr>
        <w:t xml:space="preserve">. למשל, בלוח המכוונים של תמחור פחמן של הבנק </w:t>
      </w:r>
      <w:r w:rsidRPr="00AE058C">
        <w:rPr>
          <w:rFonts w:hint="cs"/>
          <w:rtl/>
        </w:rPr>
        <w:t>העולמי (</w:t>
      </w:r>
      <w:r w:rsidRPr="00AE058C">
        <w:t>World Bank Carbon Pricing</w:t>
      </w:r>
      <w:r w:rsidRPr="00AE058C" w:rsidR="00AE058C">
        <w:t xml:space="preserve"> </w:t>
      </w:r>
      <w:r w:rsidRPr="00AE058C">
        <w:t>Dashboard</w:t>
      </w:r>
      <w:r w:rsidRPr="00ED5541">
        <w:rPr>
          <w:rFonts w:hint="cs"/>
          <w:sz w:val="24"/>
          <w:rtl/>
        </w:rPr>
        <w:t xml:space="preserve">) העוקב באופן שוטף אחר הפעלת כלי תמחור פחמן בעולם, הארגון מביא בחשבון תמחור מפורש </w:t>
      </w:r>
      <w:r>
        <w:rPr>
          <w:rFonts w:hint="cs"/>
          <w:sz w:val="24"/>
          <w:rtl/>
        </w:rPr>
        <w:t>(</w:t>
      </w:r>
      <w:r w:rsidRPr="00AE058C">
        <w:t>explicit</w:t>
      </w:r>
      <w:r>
        <w:rPr>
          <w:rFonts w:hint="cs"/>
          <w:sz w:val="24"/>
          <w:rtl/>
        </w:rPr>
        <w:t xml:space="preserve">) </w:t>
      </w:r>
      <w:r w:rsidRPr="00ED5541">
        <w:rPr>
          <w:rFonts w:hint="cs"/>
          <w:sz w:val="24"/>
          <w:rtl/>
        </w:rPr>
        <w:t xml:space="preserve">בלבד של </w:t>
      </w:r>
      <w:r>
        <w:rPr>
          <w:rFonts w:hint="cs"/>
          <w:sz w:val="24"/>
          <w:rtl/>
        </w:rPr>
        <w:t>גז"ח</w:t>
      </w:r>
      <w:r w:rsidRPr="00ED5541">
        <w:rPr>
          <w:rFonts w:hint="cs"/>
          <w:sz w:val="24"/>
          <w:rtl/>
        </w:rPr>
        <w:t>, כזה שמציג מחיר לטו</w:t>
      </w:r>
      <w:r>
        <w:rPr>
          <w:rFonts w:hint="cs"/>
          <w:sz w:val="24"/>
          <w:rtl/>
        </w:rPr>
        <w:t>נה</w:t>
      </w:r>
      <w:r w:rsidRPr="00ED5541">
        <w:rPr>
          <w:rFonts w:hint="cs"/>
          <w:sz w:val="24"/>
          <w:rtl/>
        </w:rPr>
        <w:t xml:space="preserve"> שווה-ערך פחמן דו-חמצני (</w:t>
      </w:r>
      <w:r w:rsidRPr="00AE058C">
        <w:t>tCO</w:t>
      </w:r>
      <w:r w:rsidRPr="00AE058C">
        <w:rPr>
          <w:vertAlign w:val="subscript"/>
        </w:rPr>
        <w:t>2e</w:t>
      </w:r>
      <w:r w:rsidRPr="00ED5541">
        <w:rPr>
          <w:rFonts w:hint="cs"/>
          <w:sz w:val="24"/>
          <w:rtl/>
        </w:rPr>
        <w:t>)</w:t>
      </w:r>
      <w:r>
        <w:rPr>
          <w:rStyle w:val="FootnoteReference2"/>
          <w:sz w:val="24"/>
          <w:rtl/>
        </w:rPr>
        <w:footnoteReference w:id="91"/>
      </w:r>
      <w:r>
        <w:rPr>
          <w:rFonts w:hint="cs"/>
          <w:sz w:val="24"/>
          <w:rtl/>
        </w:rPr>
        <w:t>, ואילו ארגון ה-</w:t>
      </w:r>
      <w:r w:rsidRPr="00AE058C">
        <w:t>OECD</w:t>
      </w:r>
      <w:r w:rsidRPr="000D2CB9">
        <w:rPr>
          <w:sz w:val="22"/>
          <w:szCs w:val="22"/>
          <w:rtl/>
        </w:rPr>
        <w:t xml:space="preserve"> </w:t>
      </w:r>
      <w:r>
        <w:rPr>
          <w:rFonts w:hint="cs"/>
          <w:sz w:val="24"/>
          <w:rtl/>
        </w:rPr>
        <w:t xml:space="preserve">כולל את הבלו כ"תמחור פחמן אפקטיבי" במובן זה שהוא עשוי להפחית שימוש בדלק בפועל אף שהמניע לכך אינו פליטות </w:t>
      </w:r>
      <w:r>
        <w:rPr>
          <w:rFonts w:hint="cs"/>
          <w:sz w:val="24"/>
          <w:rtl/>
        </w:rPr>
        <w:t>גז"ח</w:t>
      </w:r>
      <w:r>
        <w:rPr>
          <w:rFonts w:hint="cs"/>
          <w:sz w:val="24"/>
          <w:rtl/>
        </w:rPr>
        <w:t xml:space="preserve">. </w:t>
      </w:r>
    </w:p>
    <w:p w:rsidR="00F20E3F" w:rsidRPr="00AE058C" w:rsidP="00AE058C" w14:paraId="37CB0863" w14:textId="77777777">
      <w:pPr>
        <w:pStyle w:val="7111"/>
        <w:rPr>
          <w:rtl/>
        </w:rPr>
      </w:pPr>
      <w:r w:rsidRPr="00AE058C">
        <w:rPr>
          <w:rFonts w:hint="cs"/>
          <w:rtl/>
        </w:rPr>
        <w:t xml:space="preserve">עמדת המשרד </w:t>
      </w:r>
      <w:r w:rsidRPr="00AE058C">
        <w:rPr>
          <w:rFonts w:hint="cs"/>
          <w:rtl/>
        </w:rPr>
        <w:t>להג"ס</w:t>
      </w:r>
      <w:r w:rsidRPr="00AE058C">
        <w:rPr>
          <w:rFonts w:hint="cs"/>
          <w:rtl/>
        </w:rPr>
        <w:t xml:space="preserve"> בנוגע לבלו על </w:t>
      </w:r>
      <w:r w:rsidRPr="00AE058C">
        <w:rPr>
          <w:rtl/>
        </w:rPr>
        <w:t>דלקים לתחבורה</w:t>
      </w:r>
      <w:r w:rsidRPr="00AE058C">
        <w:rPr>
          <w:rFonts w:hint="cs"/>
          <w:rtl/>
        </w:rPr>
        <w:t xml:space="preserve"> היא</w:t>
      </w:r>
      <w:r w:rsidRPr="00AE058C">
        <w:rPr>
          <w:rtl/>
        </w:rPr>
        <w:t xml:space="preserve"> </w:t>
      </w:r>
      <w:r w:rsidRPr="00AE058C">
        <w:rPr>
          <w:rFonts w:hint="cs"/>
          <w:rtl/>
        </w:rPr>
        <w:t>"</w:t>
      </w:r>
      <w:r w:rsidRPr="00AE058C">
        <w:rPr>
          <w:rtl/>
        </w:rPr>
        <w:t xml:space="preserve">כי לצד העלויות החיצוניות הסביבתיות, תחבורה </w:t>
      </w:r>
      <w:r w:rsidRPr="00AE058C">
        <w:rPr>
          <w:rtl/>
        </w:rPr>
        <w:t>כבישית</w:t>
      </w:r>
      <w:r w:rsidRPr="00AE058C">
        <w:rPr>
          <w:rFonts w:hint="cs"/>
          <w:rtl/>
        </w:rPr>
        <w:t xml:space="preserve"> </w:t>
      </w:r>
      <w:r w:rsidRPr="00AE058C">
        <w:rPr>
          <w:rtl/>
        </w:rPr>
        <w:t>כרוכה גם בעלויות חיצוניות שאינן סביבתיות - עלויות גודש (אובדן תוצר למשק), תאונות דרכים ועלויות</w:t>
      </w:r>
      <w:r w:rsidRPr="00AE058C">
        <w:rPr>
          <w:rFonts w:hint="cs"/>
          <w:rtl/>
        </w:rPr>
        <w:t xml:space="preserve"> </w:t>
      </w:r>
      <w:r w:rsidRPr="00AE058C">
        <w:rPr>
          <w:rtl/>
        </w:rPr>
        <w:t>תשתיות. מהשוואה בין תקבולי הבלו וסך העלויות החיצוניות (הניתנות לכימות) עולה כי הבלו רחוק</w:t>
      </w:r>
      <w:r w:rsidRPr="00AE058C">
        <w:rPr>
          <w:rFonts w:hint="cs"/>
          <w:rtl/>
        </w:rPr>
        <w:t xml:space="preserve"> </w:t>
      </w:r>
      <w:r w:rsidRPr="00AE058C">
        <w:rPr>
          <w:rtl/>
        </w:rPr>
        <w:t>מלכסות את מלוא גובה העלות החיצונית של שימוש בכלי רכב, כאשר עלות הגודש לבדה גבוהה מהבלו</w:t>
      </w:r>
      <w:r w:rsidRPr="00AE058C">
        <w:rPr>
          <w:rFonts w:hint="cs"/>
          <w:rtl/>
        </w:rPr>
        <w:t xml:space="preserve"> </w:t>
      </w:r>
      <w:r w:rsidRPr="00AE058C">
        <w:rPr>
          <w:rtl/>
        </w:rPr>
        <w:t>הקיים ואף עולה עליו</w:t>
      </w:r>
      <w:r w:rsidRPr="00AE058C">
        <w:rPr>
          <w:rFonts w:hint="cs"/>
          <w:rtl/>
        </w:rPr>
        <w:t>... [ו</w:t>
      </w:r>
      <w:r w:rsidRPr="00AE058C">
        <w:rPr>
          <w:rtl/>
        </w:rPr>
        <w:t xml:space="preserve">אף </w:t>
      </w:r>
      <w:r w:rsidRPr="00AE058C">
        <w:rPr>
          <w:rFonts w:hint="cs"/>
          <w:rtl/>
        </w:rPr>
        <w:t>לא]</w:t>
      </w:r>
      <w:r w:rsidRPr="00AE058C">
        <w:rPr>
          <w:rtl/>
        </w:rPr>
        <w:t xml:space="preserve"> כוללים את כלל העלויות החיצוניות מתחבורה (כגון רעש ופגיעה בבתי גידול)</w:t>
      </w:r>
      <w:r w:rsidRPr="00AE058C">
        <w:rPr>
          <w:rFonts w:hint="cs"/>
          <w:rtl/>
        </w:rPr>
        <w:t xml:space="preserve">". נתוני המשרד </w:t>
      </w:r>
      <w:r w:rsidRPr="00AE058C">
        <w:rPr>
          <w:rFonts w:hint="cs"/>
          <w:rtl/>
        </w:rPr>
        <w:t>להג"ס</w:t>
      </w:r>
      <w:r w:rsidRPr="00AE058C">
        <w:rPr>
          <w:rFonts w:hint="cs"/>
          <w:rtl/>
        </w:rPr>
        <w:t xml:space="preserve"> מלמדים כי לעומת ההכנסות מהבלו על דלקי תחבורה שהן כ-16 מיליארד ש"ח, ההוצאות החיצוניות מהן מגיעות לכ-38.35 מיליארד ש"ח ומורכבות מהוצאות בגין גודש (22 מיליארד ש"ח), תאונות דרכים (9 מיליארד ש"ח בעלויות ישירות), זיהום אוויר (כ-4.5 מיליארד ש"ח), פליטות </w:t>
      </w:r>
      <w:r w:rsidRPr="00AE058C">
        <w:rPr>
          <w:rFonts w:hint="cs"/>
          <w:rtl/>
        </w:rPr>
        <w:t>גז"ח</w:t>
      </w:r>
      <w:r w:rsidRPr="00AE058C">
        <w:rPr>
          <w:rFonts w:hint="cs"/>
          <w:rtl/>
        </w:rPr>
        <w:t xml:space="preserve"> (1.77 מיליארד ש"ח) ואחר (כמיליארד ש"ח), ולאלו יש להוסיף עלויות סביבתיות נוספות ו</w:t>
      </w:r>
      <w:r w:rsidRPr="00AE058C">
        <w:rPr>
          <w:rtl/>
        </w:rPr>
        <w:t>בהן רעש ופגיעה בבתי גידול</w:t>
      </w:r>
      <w:r>
        <w:rPr>
          <w:rStyle w:val="FootnoteReference2"/>
          <w:vertAlign w:val="baseline"/>
          <w:rtl/>
        </w:rPr>
        <w:footnoteReference w:id="92"/>
      </w:r>
      <w:r w:rsidRPr="00AE058C">
        <w:rPr>
          <w:rFonts w:hint="cs"/>
          <w:rtl/>
        </w:rPr>
        <w:t xml:space="preserve">. במילים אחרות, על אף גובהו של הבלו על בנזין וסולר, הוא אינו "מפנים" את כל העלויות החיצוניות האמורות. </w:t>
      </w:r>
    </w:p>
    <w:p w:rsidR="00F20E3F" w:rsidP="00AE058C" w14:paraId="030D93D6" w14:textId="77777777">
      <w:pPr>
        <w:pStyle w:val="7111"/>
        <w:rPr>
          <w:rtl/>
        </w:rPr>
      </w:pPr>
      <w:r>
        <w:rPr>
          <w:rFonts w:hint="cs"/>
          <w:rtl/>
        </w:rPr>
        <w:t xml:space="preserve">בדיקת מבקר המדינה העלתה כי המשרד </w:t>
      </w:r>
      <w:r>
        <w:rPr>
          <w:rFonts w:hint="cs"/>
          <w:rtl/>
        </w:rPr>
        <w:t>להג"ס</w:t>
      </w:r>
      <w:r>
        <w:rPr>
          <w:rFonts w:hint="cs"/>
          <w:rtl/>
        </w:rPr>
        <w:t xml:space="preserve"> ומשרד האוצר לא ידעו לציין אם גביית חלק מהבלו אכן תיוחס למס פחמן, ואם כן, כיצד זה יבוצע. במצב זה, שבו לא מתווסף מס פחמן והוא אף לא מסומן כחלק מהבלו הקיים, עולה שאלת האפקטיביות של הבלו בצמצום צריכת הדלקים. צריכה זו מתחזקת לפי נתוני תחזיות צריכת הבנזין והסולר ופליטות </w:t>
      </w:r>
      <w:r w:rsidRPr="00AE058C">
        <w:t>CO</w:t>
      </w:r>
      <w:r w:rsidRPr="00AE058C">
        <w:rPr>
          <w:vertAlign w:val="subscript"/>
        </w:rPr>
        <w:t>2</w:t>
      </w:r>
      <w:r w:rsidRPr="00047F74">
        <w:rPr>
          <w:szCs w:val="22"/>
          <w:rtl/>
        </w:rPr>
        <w:t xml:space="preserve"> </w:t>
      </w:r>
      <w:r>
        <w:rPr>
          <w:rFonts w:hint="cs"/>
          <w:rtl/>
        </w:rPr>
        <w:t>מהם של משרד האוצר בתרחיש הטלת מס פחמן לפי מתווה החלטת הממשלה 286 שבו לא מוטל עליהם מס פחמן, כלהלן:</w:t>
      </w:r>
    </w:p>
    <w:p w:rsidR="00F20E3F" w:rsidRPr="004F2B67" w:rsidP="004F2B67" w14:paraId="3AED325D" w14:textId="77777777">
      <w:pPr>
        <w:pStyle w:val="7113"/>
        <w:ind w:left="397"/>
        <w:rPr>
          <w:rtl/>
        </w:rPr>
      </w:pPr>
      <w:r w:rsidRPr="004F2B67">
        <w:rPr>
          <w:rFonts w:hint="eastAsia"/>
          <w:b w:val="0"/>
          <w:bCs w:val="0"/>
          <w:rtl/>
        </w:rPr>
        <w:t>תרשים</w:t>
      </w:r>
      <w:r w:rsidRPr="004F2B67">
        <w:rPr>
          <w:b w:val="0"/>
          <w:bCs w:val="0"/>
          <w:rtl/>
        </w:rPr>
        <w:t xml:space="preserve"> </w:t>
      </w:r>
      <w:r w:rsidRPr="004F2B67">
        <w:rPr>
          <w:rFonts w:hint="cs"/>
          <w:b w:val="0"/>
          <w:bCs w:val="0"/>
          <w:rtl/>
        </w:rPr>
        <w:t>41</w:t>
      </w:r>
      <w:r w:rsidRPr="004F2B67">
        <w:rPr>
          <w:b w:val="0"/>
          <w:bCs w:val="0"/>
          <w:rtl/>
        </w:rPr>
        <w:t>:</w:t>
      </w:r>
      <w:r w:rsidRPr="004F2B67">
        <w:rPr>
          <w:rFonts w:hint="cs"/>
          <w:rtl/>
        </w:rPr>
        <w:t xml:space="preserve"> </w:t>
      </w:r>
      <w:r w:rsidRPr="004F2B67">
        <w:rPr>
          <w:rtl/>
        </w:rPr>
        <w:t>תחזית צריכ</w:t>
      </w:r>
      <w:r w:rsidRPr="004F2B67">
        <w:rPr>
          <w:rFonts w:hint="cs"/>
          <w:rtl/>
        </w:rPr>
        <w:t>ת</w:t>
      </w:r>
      <w:r w:rsidRPr="004F2B67">
        <w:rPr>
          <w:rtl/>
        </w:rPr>
        <w:t xml:space="preserve"> </w:t>
      </w:r>
      <w:r w:rsidRPr="004F2B67">
        <w:rPr>
          <w:rFonts w:hint="cs"/>
          <w:rtl/>
        </w:rPr>
        <w:t>ה</w:t>
      </w:r>
      <w:r w:rsidRPr="004F2B67">
        <w:rPr>
          <w:rtl/>
        </w:rPr>
        <w:t>בנזין ו</w:t>
      </w:r>
      <w:r w:rsidRPr="004F2B67">
        <w:rPr>
          <w:rFonts w:hint="cs"/>
          <w:rtl/>
        </w:rPr>
        <w:t>ה</w:t>
      </w:r>
      <w:r w:rsidRPr="004F2B67">
        <w:rPr>
          <w:rtl/>
        </w:rPr>
        <w:t>סולר (</w:t>
      </w:r>
      <w:r w:rsidRPr="004F2B67">
        <w:rPr>
          <w:rFonts w:hint="cs"/>
          <w:rtl/>
        </w:rPr>
        <w:t>ב</w:t>
      </w:r>
      <w:r w:rsidRPr="004F2B67">
        <w:rPr>
          <w:rtl/>
        </w:rPr>
        <w:t xml:space="preserve">אלפי ליטר) ופליטות </w:t>
      </w:r>
      <w:r w:rsidRPr="004F2B67">
        <w:t>CO</w:t>
      </w:r>
      <w:r w:rsidRPr="008B26C0">
        <w:rPr>
          <w:rStyle w:val="7342"/>
        </w:rPr>
        <w:t>2</w:t>
      </w:r>
      <w:r w:rsidRPr="004F2B67">
        <w:rPr>
          <w:rtl/>
        </w:rPr>
        <w:t xml:space="preserve"> (</w:t>
      </w:r>
      <w:r w:rsidRPr="004F2B67">
        <w:rPr>
          <w:rFonts w:hint="cs"/>
          <w:rtl/>
        </w:rPr>
        <w:t>ב</w:t>
      </w:r>
      <w:r w:rsidRPr="004F2B67">
        <w:rPr>
          <w:rtl/>
        </w:rPr>
        <w:t>טו</w:t>
      </w:r>
      <w:r w:rsidRPr="004F2B67">
        <w:rPr>
          <w:rFonts w:hint="cs"/>
          <w:rtl/>
        </w:rPr>
        <w:t>נה</w:t>
      </w:r>
      <w:r w:rsidRPr="004F2B67">
        <w:rPr>
          <w:rtl/>
        </w:rPr>
        <w:t>) מהם,</w:t>
      </w:r>
      <w:r w:rsidRPr="004F2B67">
        <w:rPr>
          <w:rFonts w:hint="cs"/>
          <w:rtl/>
        </w:rPr>
        <w:t xml:space="preserve"> שעליהם לא מוטל מס פחמן ל</w:t>
      </w:r>
      <w:r w:rsidRPr="004F2B67">
        <w:rPr>
          <w:rtl/>
        </w:rPr>
        <w:t xml:space="preserve">פי החלטת </w:t>
      </w:r>
      <w:r w:rsidRPr="004F2B67">
        <w:rPr>
          <w:rFonts w:hint="cs"/>
          <w:rtl/>
        </w:rPr>
        <w:t>ה</w:t>
      </w:r>
      <w:r w:rsidRPr="004F2B67">
        <w:rPr>
          <w:rtl/>
        </w:rPr>
        <w:t>ממשלה 286</w:t>
      </w:r>
    </w:p>
    <w:p w:rsidR="00F20E3F" w:rsidRPr="004F2B67" w:rsidP="004F2B67" w14:paraId="38B1E76A" w14:textId="37867779">
      <w:pPr>
        <w:ind w:left="397"/>
      </w:pPr>
      <w:r>
        <w:rPr>
          <w:noProof/>
        </w:rPr>
        <w:drawing>
          <wp:inline distT="0" distB="0" distL="0" distR="0">
            <wp:extent cx="4440555" cy="2609193"/>
            <wp:effectExtent l="0" t="0" r="0" b="0"/>
            <wp:docPr id="1697941683" name="תמונה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7964802" name="תמונה 24"/>
                    <pic:cNvPicPr/>
                  </pic:nvPicPr>
                  <pic:blipFill>
                    <a:blip xmlns:r="http://schemas.openxmlformats.org/officeDocument/2006/relationships" r:embed="rId45">
                      <a:extLst>
                        <a:ext xmlns:a="http://schemas.openxmlformats.org/drawingml/2006/main" uri="{28A0092B-C50C-407E-A947-70E740481C1C}">
                          <a14:useLocalDpi xmlns:a14="http://schemas.microsoft.com/office/drawing/2010/main" val="0"/>
                        </a:ext>
                      </a:extLst>
                    </a:blip>
                    <a:stretch>
                      <a:fillRect/>
                    </a:stretch>
                  </pic:blipFill>
                  <pic:spPr>
                    <a:xfrm>
                      <a:off x="0" y="0"/>
                      <a:ext cx="4464932" cy="2623516"/>
                    </a:xfrm>
                    <a:prstGeom prst="rect">
                      <a:avLst/>
                    </a:prstGeom>
                  </pic:spPr>
                </pic:pic>
              </a:graphicData>
            </a:graphic>
          </wp:inline>
        </w:drawing>
      </w:r>
    </w:p>
    <w:p w:rsidR="00F20E3F" w:rsidRPr="004F2B67" w:rsidP="004F2B67" w14:paraId="1C079EE2" w14:textId="77777777">
      <w:pPr>
        <w:pStyle w:val="737"/>
        <w:ind w:left="397"/>
        <w:rPr>
          <w:rtl/>
        </w:rPr>
      </w:pPr>
      <w:r w:rsidRPr="004F2B67">
        <w:rPr>
          <w:rFonts w:hint="cs"/>
          <w:rtl/>
        </w:rPr>
        <w:t>על פי נתוני אגף התקציבים במשרד האוצר, בעיבוד משרד מבקר המדינה.</w:t>
      </w:r>
    </w:p>
    <w:p w:rsidR="00F20E3F" w:rsidRPr="00AE058C" w:rsidP="00AE058C" w14:paraId="6B67019E" w14:textId="77777777">
      <w:pPr>
        <w:pStyle w:val="718"/>
        <w:rPr>
          <w:rtl/>
        </w:rPr>
      </w:pPr>
      <w:r w:rsidRPr="00AE058C">
        <w:rPr>
          <w:rFonts w:hint="cs"/>
          <w:rtl/>
        </w:rPr>
        <w:t>עולה כי המתווה למס פחמן הקבוע בהחלטת הממשלה 286 אינו כולל שינוי בגובה הבלו על בנזין וסולר (לתחבורה, לרבות אוניות, או לשימוש אחר)</w:t>
      </w:r>
      <w:r w:rsidRPr="00AE058C">
        <w:rPr>
          <w:rtl/>
        </w:rPr>
        <w:t>.</w:t>
      </w:r>
      <w:r w:rsidRPr="00AE058C">
        <w:rPr>
          <w:rFonts w:hint="cs"/>
          <w:rtl/>
        </w:rPr>
        <w:t xml:space="preserve"> אומנם שיעור הבלו על דלקים אלו לרוב גדול מאוד, אולם מצב זה קיים עשרות שנים ללא קשר למס פחמן; גודלו לא נגזר משיעור הפחמן שבו; אין בו בידול חלקו של מס הפחמן מהבלו; ותקבוליו אינם משמשים להפחתת ההשפעות החיצוניות של פליטות </w:t>
      </w:r>
      <w:r w:rsidRPr="00AE058C">
        <w:rPr>
          <w:rFonts w:hint="cs"/>
          <w:rtl/>
        </w:rPr>
        <w:t>גז"ח</w:t>
      </w:r>
      <w:r w:rsidRPr="00AE058C">
        <w:rPr>
          <w:rFonts w:hint="cs"/>
          <w:rtl/>
        </w:rPr>
        <w:t xml:space="preserve"> ומזהמים או ליישום מדיניות אקלים וסביבה. מהנתונים עולה כי לפי תחזית משרד האוצר מסתמנת מגמת עלייה עקבית בצריכת הבנזין והסולר משנת 2019 עד שנת 2030 וכן עלייה עקבית בפליטות </w:t>
      </w:r>
      <w:r w:rsidRPr="00AE058C">
        <w:t>CO</w:t>
      </w:r>
      <w:r w:rsidRPr="008B26C0">
        <w:rPr>
          <w:vertAlign w:val="subscript"/>
        </w:rPr>
        <w:t>2</w:t>
      </w:r>
      <w:r w:rsidRPr="00AE058C">
        <w:rPr>
          <w:rtl/>
        </w:rPr>
        <w:t xml:space="preserve"> </w:t>
      </w:r>
      <w:r w:rsidRPr="00AE058C">
        <w:rPr>
          <w:rFonts w:hint="cs"/>
          <w:rtl/>
        </w:rPr>
        <w:t>בשני הדלקים (למעט בשנת 2030 ביחס לפליטות מבנזין) - זאת בשיעור של כ-9% ו-27% בהתאמה. משמע, הבלו הקיים אינו מביא להפחתה בצריכת דלקים או בפליטות.</w:t>
      </w:r>
    </w:p>
    <w:p w:rsidR="00F20E3F" w:rsidRPr="00AE058C" w:rsidP="00AE058C" w14:paraId="69B5E91B" w14:textId="77777777">
      <w:pPr>
        <w:pStyle w:val="718"/>
        <w:rPr>
          <w:rtl/>
        </w:rPr>
      </w:pPr>
      <w:r w:rsidRPr="00AE058C">
        <w:rPr>
          <w:rFonts w:hint="cs"/>
          <w:rtl/>
        </w:rPr>
        <w:t xml:space="preserve">במתכונת זו, תרומתו של הבלו להפחתה נוספת של פליטות </w:t>
      </w:r>
      <w:r w:rsidRPr="00AE058C">
        <w:rPr>
          <w:rFonts w:hint="cs"/>
          <w:rtl/>
        </w:rPr>
        <w:t>גז"ח</w:t>
      </w:r>
      <w:r w:rsidRPr="00AE058C">
        <w:rPr>
          <w:rFonts w:hint="cs"/>
          <w:rtl/>
        </w:rPr>
        <w:t xml:space="preserve"> בהיקפים שיש היום מתחבורה (באמצעות הפחתת הביקוש לדלקים אלו, צמצום ביקושים או הסטתם לחלופות אחרות), מוטלת בספק. תחזית משרד האוצר לגבי העלייה בצריכת הבנזין והסולר ובפליטות </w:t>
      </w:r>
      <w:r w:rsidRPr="00AE058C">
        <w:t>CO</w:t>
      </w:r>
      <w:r w:rsidRPr="008B26C0">
        <w:rPr>
          <w:vertAlign w:val="subscript"/>
        </w:rPr>
        <w:t>2</w:t>
      </w:r>
      <w:r w:rsidRPr="00AE058C">
        <w:rPr>
          <w:rFonts w:hint="cs"/>
          <w:rtl/>
        </w:rPr>
        <w:t xml:space="preserve">, והעלייה הקבועה בנסועת כלי רכב ובפליטות מסקטור תחבורה, עלולות ללמד על חוסר אפקטיביות של הבלו במתכונתו הנוכחית להפחית </w:t>
      </w:r>
      <w:r w:rsidRPr="00AE058C">
        <w:rPr>
          <w:rFonts w:hint="cs"/>
          <w:rtl/>
        </w:rPr>
        <w:t>גז"ח</w:t>
      </w:r>
      <w:r w:rsidRPr="00AE058C">
        <w:rPr>
          <w:rFonts w:hint="cs"/>
          <w:rtl/>
        </w:rPr>
        <w:t xml:space="preserve"> בסקטור זה. הדבר מתחזק לנוכח</w:t>
      </w:r>
      <w:r w:rsidRPr="00AE058C">
        <w:rPr>
          <w:rtl/>
        </w:rPr>
        <w:t xml:space="preserve"> העיכובים המתמשכים בהפעלת מערכות להסעת המונים </w:t>
      </w:r>
      <w:r w:rsidRPr="00AE058C">
        <w:rPr>
          <w:rFonts w:hint="cs"/>
          <w:rtl/>
        </w:rPr>
        <w:t>המקשים את המעבר בין החלופות.</w:t>
      </w:r>
    </w:p>
    <w:p w:rsidR="00F20E3F" w:rsidRPr="00AE058C" w:rsidP="00AE058C" w14:paraId="02BCA16E" w14:textId="77777777">
      <w:pPr>
        <w:pStyle w:val="718"/>
        <w:rPr>
          <w:rtl/>
        </w:rPr>
      </w:pPr>
      <w:r w:rsidRPr="00AE058C">
        <w:rPr>
          <w:rFonts w:hint="cs"/>
          <w:rtl/>
        </w:rPr>
        <w:t xml:space="preserve">לפיכך מומלץ כי משרד האוצר יבחן מחדש עם המשרד </w:t>
      </w:r>
      <w:r w:rsidRPr="00AE058C">
        <w:rPr>
          <w:rFonts w:hint="cs"/>
          <w:rtl/>
        </w:rPr>
        <w:t>להג"ס</w:t>
      </w:r>
      <w:r w:rsidRPr="00AE058C">
        <w:rPr>
          <w:rFonts w:hint="cs"/>
          <w:rtl/>
        </w:rPr>
        <w:t xml:space="preserve">, רשות המיסים ומשרד </w:t>
      </w:r>
      <w:r w:rsidRPr="00AE058C">
        <w:rPr>
          <w:rFonts w:hint="cs"/>
          <w:rtl/>
        </w:rPr>
        <w:t>האנרגייה</w:t>
      </w:r>
      <w:r w:rsidRPr="00AE058C">
        <w:rPr>
          <w:rFonts w:hint="cs"/>
          <w:rtl/>
        </w:rPr>
        <w:t xml:space="preserve"> את שאלת מס הפחמן על דלקים לתחבורה, לרבות שאלת סימון חלקו בבלו, וכן ישקלו כלים נוספים 'שיאותתו' על קיומו של מס פחמן לדלקים אלו או יקדמו חלופות (לרבות רכב חשמלי) כדי להביא לשינוי בהתנהגות הצרכנית ולהורדת </w:t>
      </w:r>
      <w:r w:rsidRPr="00AE058C">
        <w:rPr>
          <w:rFonts w:hint="cs"/>
          <w:rtl/>
        </w:rPr>
        <w:t>הביקושים</w:t>
      </w:r>
      <w:r w:rsidRPr="00AE058C">
        <w:rPr>
          <w:rFonts w:hint="cs"/>
          <w:rtl/>
        </w:rPr>
        <w:t xml:space="preserve"> של הבנזין והסולר. </w:t>
      </w:r>
    </w:p>
    <w:p w:rsidR="00F20E3F" w:rsidP="009133CE" w14:paraId="1989ACAA" w14:textId="77777777">
      <w:pPr>
        <w:pStyle w:val="719"/>
        <w:rPr>
          <w:rtl/>
        </w:rPr>
      </w:pPr>
      <w:r>
        <w:rPr>
          <w:rFonts w:hint="cs"/>
          <w:rtl/>
        </w:rPr>
        <w:t>ב</w:t>
      </w:r>
      <w:r w:rsidRPr="00CD62C0">
        <w:rPr>
          <w:rtl/>
        </w:rPr>
        <w:t>דוח הוועדה למיסוי ירוק 3</w:t>
      </w:r>
      <w:r>
        <w:rPr>
          <w:rFonts w:hint="cs"/>
          <w:rtl/>
        </w:rPr>
        <w:t xml:space="preserve">, בראשות רשות המיסים ומשרד האוצר, נכתב בנוגע לסיכון של העלאת יוקר המחיה כתוצאה מהפנמת העלויות החיצוניות של </w:t>
      </w:r>
      <w:r>
        <w:rPr>
          <w:rFonts w:hint="cs"/>
          <w:rtl/>
        </w:rPr>
        <w:t>גז"ח</w:t>
      </w:r>
      <w:r>
        <w:rPr>
          <w:rFonts w:hint="cs"/>
          <w:rtl/>
        </w:rPr>
        <w:t xml:space="preserve"> </w:t>
      </w:r>
      <w:r w:rsidRPr="00CD62C0">
        <w:rPr>
          <w:rtl/>
        </w:rPr>
        <w:t xml:space="preserve">כי </w:t>
      </w:r>
      <w:r>
        <w:rPr>
          <w:rFonts w:hint="cs"/>
          <w:rtl/>
        </w:rPr>
        <w:t>"</w:t>
      </w:r>
      <w:r w:rsidRPr="00CD62C0">
        <w:rPr>
          <w:rtl/>
        </w:rPr>
        <w:t>כדי לא להעלות את יוקר המחייה באופן משמעותי בבת אחת מומלץ להפנים רק 50% מעלות גזי החממה במחיר בבלו בטווח הקצר, ולהפנים 100% מהעלות החל משנת 2021. המתווה של החלטת ממשלה, כאמור, מציע לא רק ה</w:t>
      </w:r>
      <w:r>
        <w:rPr>
          <w:rFonts w:hint="cs"/>
          <w:rtl/>
        </w:rPr>
        <w:t>עלאה</w:t>
      </w:r>
      <w:r w:rsidRPr="00CD62C0">
        <w:rPr>
          <w:rtl/>
        </w:rPr>
        <w:t xml:space="preserve"> הדרגתית יותר, אלא הפנמה רחוקה מ-100%</w:t>
      </w:r>
      <w:r>
        <w:rPr>
          <w:rFonts w:hint="cs"/>
          <w:rtl/>
        </w:rPr>
        <w:t>"</w:t>
      </w:r>
      <w:r>
        <w:rPr>
          <w:rStyle w:val="FootnoteReference2"/>
          <w:rtl/>
        </w:rPr>
        <w:footnoteReference w:id="93"/>
      </w:r>
      <w:r w:rsidRPr="00CD62C0">
        <w:rPr>
          <w:rtl/>
        </w:rPr>
        <w:t xml:space="preserve">. </w:t>
      </w:r>
      <w:r>
        <w:rPr>
          <w:rFonts w:hint="cs"/>
          <w:rtl/>
        </w:rPr>
        <w:t xml:space="preserve">לפי המשרד </w:t>
      </w:r>
      <w:r>
        <w:rPr>
          <w:rFonts w:hint="cs"/>
          <w:rtl/>
        </w:rPr>
        <w:t>להג"ס</w:t>
      </w:r>
      <w:r>
        <w:rPr>
          <w:rFonts w:hint="cs"/>
          <w:rtl/>
        </w:rPr>
        <w:t xml:space="preserve">, העלויות החיצוניות של כל פליטות </w:t>
      </w:r>
      <w:r>
        <w:rPr>
          <w:rFonts w:hint="cs"/>
          <w:rtl/>
        </w:rPr>
        <w:t>הגז"ח</w:t>
      </w:r>
      <w:r>
        <w:rPr>
          <w:rFonts w:hint="cs"/>
          <w:rtl/>
        </w:rPr>
        <w:t xml:space="preserve"> בישראל בשנת 2020 הסתכמו בכ-13 מיליארד ש"ח. </w:t>
      </w:r>
      <w:r w:rsidRPr="00C23012">
        <w:rPr>
          <w:rtl/>
        </w:rPr>
        <w:t>לפי משרד האוצר, כשמס הפחמן יגיע לשיאו לפי מתווה החלטת הממשלה 286, היקף ההכנסות המשני יהיה 2.2 מיליארד ש"ח בשנה</w:t>
      </w:r>
      <w:r>
        <w:rPr>
          <w:rStyle w:val="FootnoteReference2"/>
          <w:rtl/>
        </w:rPr>
        <w:footnoteReference w:id="94"/>
      </w:r>
      <w:r>
        <w:rPr>
          <w:rFonts w:hint="cs"/>
          <w:rtl/>
        </w:rPr>
        <w:t xml:space="preserve">. </w:t>
      </w:r>
    </w:p>
    <w:p w:rsidR="00F20E3F" w:rsidRPr="009133CE" w:rsidP="009133CE" w14:paraId="51B1B5F9" w14:textId="13805FDF">
      <w:pPr>
        <w:pStyle w:val="716"/>
        <w:rPr>
          <w:rtl/>
        </w:rPr>
      </w:pPr>
      <w:r w:rsidRPr="009133CE">
        <w:rPr>
          <w:rFonts w:hint="cs"/>
          <w:rtl/>
        </w:rPr>
        <w:t xml:space="preserve">היקפו החלקי של כיסוי מס הפחמן אשר במתווה החלטת הממשלה 286, וגובהו הנמוך במקרה של הגז הטבעי, היו מביאים </w:t>
      </w:r>
      <w:r w:rsidRPr="009133CE">
        <w:rPr>
          <w:rtl/>
        </w:rPr>
        <w:t>להפנמה חלקית של העל</w:t>
      </w:r>
      <w:r w:rsidRPr="009133CE">
        <w:rPr>
          <w:rFonts w:hint="cs"/>
          <w:rtl/>
        </w:rPr>
        <w:t>ו</w:t>
      </w:r>
      <w:r w:rsidRPr="009133CE">
        <w:rPr>
          <w:rtl/>
        </w:rPr>
        <w:t xml:space="preserve">יות החיצוניות של פליטות </w:t>
      </w:r>
      <w:r w:rsidRPr="009133CE">
        <w:rPr>
          <w:rtl/>
        </w:rPr>
        <w:t>הגז"ח</w:t>
      </w:r>
      <w:r w:rsidRPr="009133CE">
        <w:rPr>
          <w:rtl/>
        </w:rPr>
        <w:t xml:space="preserve"> בישראל</w:t>
      </w:r>
      <w:r w:rsidRPr="009133CE">
        <w:rPr>
          <w:rFonts w:hint="cs"/>
          <w:rtl/>
        </w:rPr>
        <w:t xml:space="preserve"> - במקום הפנמה של עלויות המוערכות על ידי המשרד </w:t>
      </w:r>
      <w:r w:rsidRPr="009133CE">
        <w:rPr>
          <w:rFonts w:hint="cs"/>
          <w:rtl/>
        </w:rPr>
        <w:t>להג"ס</w:t>
      </w:r>
      <w:r w:rsidRPr="009133CE">
        <w:rPr>
          <w:rFonts w:hint="cs"/>
          <w:rtl/>
        </w:rPr>
        <w:t xml:space="preserve"> בסך 13.1 מיליארד ש"ח בשנת 2020 (78.5 מ</w:t>
      </w:r>
      <w:r w:rsidRPr="009133CE">
        <w:rPr>
          <w:rtl/>
        </w:rPr>
        <w:t>יליון טו</w:t>
      </w:r>
      <w:r w:rsidRPr="009133CE">
        <w:rPr>
          <w:rFonts w:hint="cs"/>
          <w:rtl/>
        </w:rPr>
        <w:t>נה</w:t>
      </w:r>
      <w:r w:rsidRPr="009133CE">
        <w:rPr>
          <w:rtl/>
        </w:rPr>
        <w:t xml:space="preserve"> </w:t>
      </w:r>
      <w:r w:rsidRPr="009133CE">
        <w:t>CO</w:t>
      </w:r>
      <w:r w:rsidRPr="008B26C0">
        <w:rPr>
          <w:vertAlign w:val="subscript"/>
        </w:rPr>
        <w:t>2</w:t>
      </w:r>
      <w:r w:rsidRPr="009133CE">
        <w:t>e</w:t>
      </w:r>
      <w:r w:rsidRPr="009133CE">
        <w:rPr>
          <w:rtl/>
        </w:rPr>
        <w:t xml:space="preserve"> </w:t>
      </w:r>
      <w:r w:rsidRPr="009133CE">
        <w:rPr>
          <w:rFonts w:hint="cs"/>
          <w:rtl/>
        </w:rPr>
        <w:t>במחיר 167 ש"ח</w:t>
      </w:r>
      <w:r w:rsidRPr="009133CE">
        <w:rPr>
          <w:rtl/>
        </w:rPr>
        <w:t xml:space="preserve"> לטו</w:t>
      </w:r>
      <w:r w:rsidRPr="009133CE">
        <w:rPr>
          <w:rFonts w:hint="cs"/>
          <w:rtl/>
        </w:rPr>
        <w:t>נה), הפנמה של כ-2.2 מיליארד ש"ח, שיעור של 16.</w:t>
      </w:r>
      <w:r w:rsidR="0030038A">
        <w:rPr>
          <w:rFonts w:hint="cs"/>
          <w:rtl/>
        </w:rPr>
        <w:t>8</w:t>
      </w:r>
      <w:r w:rsidRPr="009133CE">
        <w:rPr>
          <w:rFonts w:hint="cs"/>
          <w:rtl/>
        </w:rPr>
        <w:t xml:space="preserve">% מהן בלבד ורחוק מהפנמה של 100% שעליה המליצה ועדת מיסוי ירוק 3 בראשות רשות המיסים ומשרד האוצר. </w:t>
      </w:r>
    </w:p>
    <w:p w:rsidR="00F20E3F" w:rsidRPr="009133CE" w:rsidP="009133CE" w14:paraId="299EF57D" w14:textId="77777777">
      <w:pPr>
        <w:pStyle w:val="716"/>
        <w:rPr>
          <w:rtl/>
        </w:rPr>
      </w:pPr>
      <w:r w:rsidRPr="009133CE">
        <w:rPr>
          <w:rFonts w:hint="cs"/>
          <w:rtl/>
        </w:rPr>
        <w:t xml:space="preserve">לאור ההמלצות שמשרד האוצר היה שותף להן בעבר במסגרת דוח ועדת מיסוי ירוק 3, </w:t>
      </w:r>
      <w:r w:rsidRPr="009133CE">
        <w:rPr>
          <w:rtl/>
        </w:rPr>
        <w:t xml:space="preserve">מוצע </w:t>
      </w:r>
      <w:r w:rsidRPr="009133CE">
        <w:rPr>
          <w:rFonts w:hint="cs"/>
          <w:rtl/>
        </w:rPr>
        <w:t>כי בבואו לבחון</w:t>
      </w:r>
      <w:r w:rsidRPr="009133CE">
        <w:rPr>
          <w:rtl/>
        </w:rPr>
        <w:t xml:space="preserve"> </w:t>
      </w:r>
      <w:r w:rsidRPr="009133CE">
        <w:rPr>
          <w:rFonts w:hint="cs"/>
          <w:rtl/>
        </w:rPr>
        <w:t xml:space="preserve">מחדש </w:t>
      </w:r>
      <w:r w:rsidRPr="009133CE">
        <w:rPr>
          <w:rtl/>
        </w:rPr>
        <w:t xml:space="preserve">את תמחור מס הפחמן המוצע </w:t>
      </w:r>
      <w:r w:rsidRPr="009133CE">
        <w:rPr>
          <w:rFonts w:hint="cs"/>
          <w:rtl/>
        </w:rPr>
        <w:t xml:space="preserve">במתווה של החלטת הממשלה 286, המשרד יביא בחשבון את השיעור הכללי הקטן של הפנמת העלויות החיצוניות של פליטות </w:t>
      </w:r>
      <w:r w:rsidRPr="009133CE">
        <w:rPr>
          <w:rFonts w:hint="cs"/>
          <w:rtl/>
        </w:rPr>
        <w:t>גז"ח</w:t>
      </w:r>
      <w:r w:rsidRPr="009133CE">
        <w:rPr>
          <w:rFonts w:hint="cs"/>
          <w:rtl/>
        </w:rPr>
        <w:t xml:space="preserve"> העולה מהמתווה האמור, וישקול דרכים להעלאת</w:t>
      </w:r>
      <w:r w:rsidRPr="009133CE">
        <w:rPr>
          <w:rFonts w:hint="eastAsia"/>
          <w:rtl/>
        </w:rPr>
        <w:t>ו</w:t>
      </w:r>
      <w:r w:rsidRPr="009133CE">
        <w:rPr>
          <w:rFonts w:hint="cs"/>
          <w:rtl/>
        </w:rPr>
        <w:t xml:space="preserve">, </w:t>
      </w:r>
      <w:r w:rsidRPr="009133CE">
        <w:rPr>
          <w:rFonts w:hint="eastAsia"/>
          <w:rtl/>
        </w:rPr>
        <w:t>לצד</w:t>
      </w:r>
      <w:r w:rsidRPr="009133CE">
        <w:rPr>
          <w:rtl/>
        </w:rPr>
        <w:t xml:space="preserve"> </w:t>
      </w:r>
      <w:r w:rsidRPr="009133CE">
        <w:rPr>
          <w:rFonts w:hint="eastAsia"/>
          <w:rtl/>
        </w:rPr>
        <w:t>שילוב</w:t>
      </w:r>
      <w:r w:rsidRPr="009133CE">
        <w:rPr>
          <w:rtl/>
        </w:rPr>
        <w:t xml:space="preserve"> </w:t>
      </w:r>
      <w:r w:rsidRPr="009133CE">
        <w:rPr>
          <w:rFonts w:hint="eastAsia"/>
          <w:rtl/>
        </w:rPr>
        <w:t>דרכים</w:t>
      </w:r>
      <w:r w:rsidRPr="009133CE">
        <w:rPr>
          <w:rtl/>
        </w:rPr>
        <w:t xml:space="preserve"> </w:t>
      </w:r>
      <w:r w:rsidRPr="009133CE">
        <w:rPr>
          <w:rFonts w:hint="eastAsia"/>
          <w:rtl/>
        </w:rPr>
        <w:t>להפחתת</w:t>
      </w:r>
      <w:r w:rsidRPr="009133CE">
        <w:rPr>
          <w:rtl/>
        </w:rPr>
        <w:t xml:space="preserve"> </w:t>
      </w:r>
      <w:r w:rsidRPr="009133CE">
        <w:rPr>
          <w:rFonts w:hint="eastAsia"/>
          <w:rtl/>
        </w:rPr>
        <w:t>ההשפעה</w:t>
      </w:r>
      <w:r w:rsidRPr="009133CE">
        <w:rPr>
          <w:rtl/>
        </w:rPr>
        <w:t xml:space="preserve"> </w:t>
      </w:r>
      <w:r w:rsidRPr="009133CE">
        <w:rPr>
          <w:rFonts w:hint="eastAsia"/>
          <w:rtl/>
        </w:rPr>
        <w:t>על</w:t>
      </w:r>
      <w:r w:rsidRPr="009133CE">
        <w:rPr>
          <w:rtl/>
        </w:rPr>
        <w:t xml:space="preserve"> </w:t>
      </w:r>
      <w:r w:rsidRPr="009133CE">
        <w:rPr>
          <w:rFonts w:hint="eastAsia"/>
          <w:rtl/>
        </w:rPr>
        <w:t>יוקר</w:t>
      </w:r>
      <w:r w:rsidRPr="009133CE">
        <w:rPr>
          <w:rtl/>
        </w:rPr>
        <w:t xml:space="preserve"> </w:t>
      </w:r>
      <w:r w:rsidRPr="009133CE">
        <w:rPr>
          <w:rFonts w:hint="eastAsia"/>
          <w:rtl/>
        </w:rPr>
        <w:t>המחיה</w:t>
      </w:r>
      <w:r w:rsidRPr="009133CE">
        <w:rPr>
          <w:rtl/>
        </w:rPr>
        <w:t>.</w:t>
      </w:r>
    </w:p>
    <w:p w:rsidR="00F20E3F" w:rsidP="007B7A97" w14:paraId="766EA8AC" w14:textId="77777777">
      <w:pPr>
        <w:pStyle w:val="73414"/>
        <w:rPr>
          <w:rtl/>
        </w:rPr>
      </w:pPr>
      <w:r w:rsidRPr="00EC1F21">
        <w:rPr>
          <w:rtl/>
        </w:rPr>
        <w:t xml:space="preserve">השפעת מס הפחמן על </w:t>
      </w:r>
      <w:r>
        <w:rPr>
          <w:rFonts w:hint="cs"/>
          <w:rtl/>
        </w:rPr>
        <w:t>ה</w:t>
      </w:r>
      <w:r w:rsidRPr="00EC1F21">
        <w:rPr>
          <w:rtl/>
        </w:rPr>
        <w:t xml:space="preserve">סחר </w:t>
      </w:r>
      <w:r>
        <w:rPr>
          <w:rFonts w:hint="cs"/>
          <w:rtl/>
        </w:rPr>
        <w:t>ה</w:t>
      </w:r>
      <w:r w:rsidRPr="00EC1F21">
        <w:rPr>
          <w:rtl/>
        </w:rPr>
        <w:t>בי</w:t>
      </w:r>
      <w:r>
        <w:rPr>
          <w:rFonts w:hint="cs"/>
          <w:rtl/>
        </w:rPr>
        <w:t>ן-</w:t>
      </w:r>
      <w:r w:rsidRPr="00EC1F21">
        <w:rPr>
          <w:rtl/>
        </w:rPr>
        <w:t>לאומי ו</w:t>
      </w:r>
      <w:r>
        <w:rPr>
          <w:rFonts w:hint="cs"/>
          <w:rtl/>
        </w:rPr>
        <w:t>על ה</w:t>
      </w:r>
      <w:r w:rsidRPr="00EC1F21">
        <w:rPr>
          <w:rtl/>
        </w:rPr>
        <w:t xml:space="preserve">יצוא ישראלי </w:t>
      </w:r>
    </w:p>
    <w:p w:rsidR="00F20E3F" w:rsidRPr="009133CE" w:rsidP="009133CE" w14:paraId="40B065EE" w14:textId="77777777">
      <w:pPr>
        <w:pStyle w:val="73120"/>
      </w:pPr>
      <w:r w:rsidRPr="009133CE">
        <w:rPr>
          <w:rtl/>
        </w:rPr>
        <w:t>הדוח הקודם</w:t>
      </w:r>
    </w:p>
    <w:p w:rsidR="00F20E3F" w:rsidRPr="009133CE" w:rsidP="009133CE" w14:paraId="4A4325A4" w14:textId="77777777">
      <w:pPr>
        <w:pStyle w:val="7392"/>
        <w:rPr>
          <w:rtl/>
        </w:rPr>
      </w:pPr>
      <w:r w:rsidRPr="009133CE">
        <w:rPr>
          <w:rStyle w:val="7"/>
          <w:rFonts w:eastAsiaTheme="minorHAnsi" w:hint="eastAsia"/>
          <w:b/>
          <w:color w:val="0073C3"/>
          <w:spacing w:val="0"/>
          <w:rtl/>
        </w:rPr>
        <w:t>הליקוי</w:t>
      </w:r>
      <w:r w:rsidRPr="009133CE">
        <w:rPr>
          <w:rStyle w:val="7"/>
          <w:rFonts w:eastAsiaTheme="minorHAnsi"/>
          <w:b/>
          <w:color w:val="0073C3"/>
          <w:spacing w:val="0"/>
          <w:rtl/>
        </w:rPr>
        <w:t>:</w:t>
      </w:r>
      <w:r w:rsidRPr="009133CE">
        <w:rPr>
          <w:rFonts w:hint="cs"/>
          <w:color w:val="0073C3"/>
          <w:rtl/>
        </w:rPr>
        <w:t xml:space="preserve"> </w:t>
      </w:r>
      <w:r w:rsidRPr="009133CE">
        <w:rPr>
          <w:rtl/>
        </w:rPr>
        <w:t xml:space="preserve">האיחוד האירופי מקדם מדיניות להטלת מס פחמן על יבוא בכניסה לגבולות אירופה </w:t>
      </w:r>
      <w:r w:rsidRPr="009133CE">
        <w:t>Carbon Border Adjustment Mechanism)</w:t>
      </w:r>
      <w:r w:rsidRPr="009133CE">
        <w:rPr>
          <w:rFonts w:hint="cs"/>
          <w:rtl/>
        </w:rPr>
        <w:t xml:space="preserve">, להלן - </w:t>
      </w:r>
      <w:r w:rsidRPr="009133CE">
        <w:t>CBAM</w:t>
      </w:r>
      <w:r w:rsidRPr="009133CE">
        <w:rPr>
          <w:rFonts w:hint="cs"/>
          <w:rtl/>
        </w:rPr>
        <w:t>) ב</w:t>
      </w:r>
      <w:r w:rsidRPr="009133CE">
        <w:rPr>
          <w:rtl/>
        </w:rPr>
        <w:t xml:space="preserve">מדינות שאין בהן מנגנון תמחור פחמן. הטלת מס זה עלולה להביא למציאות שבה שותפות סחר של האיחוד האירופי, שישראל נמנית </w:t>
      </w:r>
      <w:r w:rsidRPr="009133CE">
        <w:rPr>
          <w:rtl/>
        </w:rPr>
        <w:t>עימן, עלולות להיות מושפעות ממדיניות האיחוד האירופי באופן שיצוא טובין (עתיר פחמן בעיקר) מישראל עשוי להיות חשוף למגבלות סחר.</w:t>
      </w:r>
    </w:p>
    <w:p w:rsidR="00F20E3F" w:rsidRPr="009D532C" w:rsidP="00885246" w14:paraId="00E9CC30" w14:textId="77777777">
      <w:pPr>
        <w:pStyle w:val="101"/>
        <w:rPr>
          <w:rStyle w:val="7"/>
          <w:rFonts w:eastAsiaTheme="minorHAnsi"/>
          <w:bCs/>
          <w:spacing w:val="20"/>
          <w:rtl/>
        </w:rPr>
      </w:pPr>
      <w:r w:rsidRPr="009D532C">
        <w:rPr>
          <w:rStyle w:val="7"/>
          <w:rFonts w:eastAsiaTheme="minorHAnsi"/>
          <w:bCs/>
          <w:spacing w:val="20"/>
          <w:rtl/>
        </w:rPr>
        <w:t>תגובת המשרד</w:t>
      </w:r>
      <w:r w:rsidRPr="009D532C">
        <w:rPr>
          <w:rStyle w:val="7"/>
          <w:rFonts w:eastAsiaTheme="minorHAnsi" w:hint="cs"/>
          <w:bCs/>
          <w:spacing w:val="20"/>
          <w:rtl/>
        </w:rPr>
        <w:t>ים</w:t>
      </w:r>
      <w:r w:rsidRPr="009D532C">
        <w:rPr>
          <w:rStyle w:val="7"/>
          <w:rFonts w:eastAsiaTheme="minorHAnsi"/>
          <w:bCs/>
          <w:spacing w:val="20"/>
          <w:rtl/>
        </w:rPr>
        <w:t xml:space="preserve"> על הדוח הקודם</w:t>
      </w:r>
    </w:p>
    <w:p w:rsidR="00F20E3F" w:rsidRPr="009133CE" w:rsidP="00287CB1" w14:paraId="244AF3BA" w14:textId="77777777">
      <w:pPr>
        <w:pStyle w:val="7114"/>
        <w:numPr>
          <w:ilvl w:val="0"/>
          <w:numId w:val="34"/>
        </w:numPr>
        <w:rPr>
          <w:rtl/>
        </w:rPr>
      </w:pPr>
      <w:r w:rsidRPr="009133CE">
        <w:rPr>
          <w:rStyle w:val="7"/>
          <w:rFonts w:eastAsiaTheme="minorHAnsi" w:hint="eastAsia"/>
          <w:b/>
          <w:spacing w:val="0"/>
          <w:rtl/>
        </w:rPr>
        <w:t>משרד</w:t>
      </w:r>
      <w:r w:rsidRPr="009133CE">
        <w:rPr>
          <w:rStyle w:val="7"/>
          <w:rFonts w:eastAsiaTheme="minorHAnsi"/>
          <w:b/>
          <w:spacing w:val="0"/>
          <w:rtl/>
        </w:rPr>
        <w:t xml:space="preserve"> </w:t>
      </w:r>
      <w:r w:rsidRPr="009133CE">
        <w:rPr>
          <w:rStyle w:val="7"/>
          <w:rFonts w:eastAsiaTheme="minorHAnsi" w:hint="eastAsia"/>
          <w:b/>
          <w:spacing w:val="0"/>
          <w:rtl/>
        </w:rPr>
        <w:t>האוצר</w:t>
      </w:r>
      <w:r w:rsidRPr="009133CE">
        <w:rPr>
          <w:rStyle w:val="7"/>
          <w:rFonts w:eastAsiaTheme="minorHAnsi"/>
          <w:b/>
          <w:spacing w:val="0"/>
          <w:rtl/>
        </w:rPr>
        <w:t>:</w:t>
      </w:r>
      <w:r w:rsidRPr="009133CE">
        <w:rPr>
          <w:rFonts w:hint="cs"/>
          <w:rtl/>
        </w:rPr>
        <w:t xml:space="preserve"> </w:t>
      </w:r>
      <w:r w:rsidRPr="009133CE">
        <w:rPr>
          <w:rtl/>
        </w:rPr>
        <w:t>האיחוד מקדם חקיקה של מנגנון מיסוי פחמן בגבול</w:t>
      </w:r>
      <w:r w:rsidRPr="009133CE">
        <w:rPr>
          <w:rFonts w:hint="cs"/>
          <w:rtl/>
        </w:rPr>
        <w:t xml:space="preserve"> </w:t>
      </w:r>
      <w:r w:rsidRPr="009133CE">
        <w:rPr>
          <w:rtl/>
        </w:rPr>
        <w:t>-</w:t>
      </w:r>
      <w:r w:rsidRPr="009133CE">
        <w:t xml:space="preserve">CBAM </w:t>
      </w:r>
      <w:r w:rsidRPr="009133CE">
        <w:rPr>
          <w:rtl/>
        </w:rPr>
        <w:t>, ש</w:t>
      </w:r>
      <w:r w:rsidRPr="009133CE">
        <w:rPr>
          <w:rFonts w:hint="cs"/>
          <w:rtl/>
        </w:rPr>
        <w:t>תפקידו</w:t>
      </w:r>
      <w:r w:rsidRPr="009133CE">
        <w:rPr>
          <w:rtl/>
        </w:rPr>
        <w:t xml:space="preserve"> להבטיח כי מחיר היבוא של מוצרי תעש</w:t>
      </w:r>
      <w:r w:rsidRPr="009133CE">
        <w:rPr>
          <w:rFonts w:hint="cs"/>
          <w:rtl/>
        </w:rPr>
        <w:t>י</w:t>
      </w:r>
      <w:r w:rsidRPr="009133CE">
        <w:rPr>
          <w:rtl/>
        </w:rPr>
        <w:t xml:space="preserve">יה ישקף את תכולת הפחמן שלהם (בשלב הראשון </w:t>
      </w:r>
      <w:r w:rsidRPr="009133CE">
        <w:rPr>
          <w:rFonts w:hint="cs"/>
          <w:rtl/>
        </w:rPr>
        <w:t>-</w:t>
      </w:r>
      <w:r w:rsidRPr="009133CE">
        <w:rPr>
          <w:rtl/>
        </w:rPr>
        <w:t xml:space="preserve"> לגבי </w:t>
      </w:r>
      <w:r w:rsidRPr="009133CE">
        <w:rPr>
          <w:rFonts w:hint="cs"/>
          <w:rtl/>
        </w:rPr>
        <w:t>כמה</w:t>
      </w:r>
      <w:r w:rsidRPr="009133CE">
        <w:rPr>
          <w:rtl/>
        </w:rPr>
        <w:t xml:space="preserve"> </w:t>
      </w:r>
      <w:r w:rsidRPr="009133CE">
        <w:rPr>
          <w:rFonts w:hint="cs"/>
          <w:rtl/>
        </w:rPr>
        <w:t>סקטורים</w:t>
      </w:r>
      <w:r w:rsidRPr="009133CE">
        <w:rPr>
          <w:rtl/>
        </w:rPr>
        <w:t xml:space="preserve"> נבחרים). </w:t>
      </w:r>
      <w:r w:rsidRPr="009133CE">
        <w:rPr>
          <w:rFonts w:hint="cs"/>
          <w:rtl/>
        </w:rPr>
        <w:t>אם</w:t>
      </w:r>
      <w:r w:rsidRPr="009133CE">
        <w:rPr>
          <w:rtl/>
        </w:rPr>
        <w:t xml:space="preserve"> המנגנון ייושם, יהיו לכך הש</w:t>
      </w:r>
      <w:r w:rsidRPr="009133CE">
        <w:rPr>
          <w:rFonts w:hint="cs"/>
          <w:rtl/>
        </w:rPr>
        <w:t>פע</w:t>
      </w:r>
      <w:r w:rsidRPr="009133CE">
        <w:rPr>
          <w:rtl/>
        </w:rPr>
        <w:t xml:space="preserve">ות כלכליות ישירות לגבי יצואנים ישראלים </w:t>
      </w:r>
      <w:r w:rsidRPr="009133CE">
        <w:rPr>
          <w:rFonts w:hint="cs"/>
          <w:rtl/>
        </w:rPr>
        <w:t>סקטורים</w:t>
      </w:r>
      <w:r w:rsidRPr="009133CE">
        <w:rPr>
          <w:rtl/>
        </w:rPr>
        <w:t xml:space="preserve"> הרלוונטיים.</w:t>
      </w:r>
      <w:r w:rsidRPr="009133CE">
        <w:rPr>
          <w:rFonts w:hint="cs"/>
          <w:rtl/>
        </w:rPr>
        <w:t xml:space="preserve"> </w:t>
      </w:r>
      <w:r w:rsidRPr="009133CE">
        <w:rPr>
          <w:rtl/>
        </w:rPr>
        <w:t xml:space="preserve">החלטת </w:t>
      </w:r>
      <w:r w:rsidRPr="009133CE">
        <w:rPr>
          <w:rFonts w:hint="cs"/>
          <w:rtl/>
        </w:rPr>
        <w:t>ה</w:t>
      </w:r>
      <w:r w:rsidRPr="009133CE">
        <w:rPr>
          <w:rtl/>
        </w:rPr>
        <w:t>ממשלה 286 נקבעה על סמך בחינה מקצועית ש</w:t>
      </w:r>
      <w:r w:rsidRPr="009133CE">
        <w:rPr>
          <w:rFonts w:hint="cs"/>
          <w:rtl/>
        </w:rPr>
        <w:t>ביצעו</w:t>
      </w:r>
      <w:r w:rsidRPr="009133CE">
        <w:rPr>
          <w:rtl/>
        </w:rPr>
        <w:t xml:space="preserve"> משרדי הממשלה הקבועים בהמלצה. משרדי הממשלה פועלים לאור החלטת </w:t>
      </w:r>
      <w:r w:rsidRPr="009133CE">
        <w:rPr>
          <w:rFonts w:hint="cs"/>
          <w:rtl/>
        </w:rPr>
        <w:t>ה</w:t>
      </w:r>
      <w:r w:rsidRPr="009133CE">
        <w:rPr>
          <w:rtl/>
        </w:rPr>
        <w:t xml:space="preserve">ממשלה 286 לצורך קביעת מס פחמן במסגרת ועדת </w:t>
      </w:r>
      <w:r w:rsidRPr="009133CE">
        <w:rPr>
          <w:rFonts w:hint="cs"/>
          <w:rtl/>
        </w:rPr>
        <w:t>ה</w:t>
      </w:r>
      <w:r w:rsidRPr="009133CE">
        <w:rPr>
          <w:rtl/>
        </w:rPr>
        <w:t xml:space="preserve">כספים </w:t>
      </w:r>
      <w:r w:rsidRPr="009133CE">
        <w:rPr>
          <w:rFonts w:hint="cs"/>
          <w:rtl/>
        </w:rPr>
        <w:t>של ה</w:t>
      </w:r>
      <w:r w:rsidRPr="009133CE">
        <w:rPr>
          <w:rtl/>
        </w:rPr>
        <w:t>כנסת.</w:t>
      </w:r>
    </w:p>
    <w:p w:rsidR="00F20E3F" w:rsidRPr="009133CE" w:rsidP="00287CB1" w14:paraId="6A74F971" w14:textId="77777777">
      <w:pPr>
        <w:pStyle w:val="7114"/>
        <w:numPr>
          <w:ilvl w:val="0"/>
          <w:numId w:val="34"/>
        </w:numPr>
        <w:rPr>
          <w:rtl/>
        </w:rPr>
      </w:pPr>
      <w:r w:rsidRPr="009133CE">
        <w:rPr>
          <w:rStyle w:val="7"/>
          <w:rFonts w:eastAsiaTheme="minorHAnsi" w:hint="eastAsia"/>
          <w:b/>
          <w:spacing w:val="0"/>
          <w:rtl/>
        </w:rPr>
        <w:t>משרד</w:t>
      </w:r>
      <w:r w:rsidRPr="009133CE">
        <w:rPr>
          <w:rStyle w:val="7"/>
          <w:rFonts w:eastAsiaTheme="minorHAnsi"/>
          <w:b/>
          <w:spacing w:val="0"/>
          <w:rtl/>
        </w:rPr>
        <w:t xml:space="preserve"> </w:t>
      </w:r>
      <w:r w:rsidRPr="009133CE">
        <w:rPr>
          <w:rStyle w:val="7"/>
          <w:rFonts w:eastAsiaTheme="minorHAnsi" w:hint="eastAsia"/>
          <w:b/>
          <w:spacing w:val="0"/>
          <w:rtl/>
        </w:rPr>
        <w:t>החוץ</w:t>
      </w:r>
      <w:r w:rsidRPr="009133CE">
        <w:rPr>
          <w:rStyle w:val="7"/>
          <w:rFonts w:eastAsiaTheme="minorHAnsi"/>
          <w:b/>
          <w:spacing w:val="0"/>
          <w:rtl/>
        </w:rPr>
        <w:t>:</w:t>
      </w:r>
      <w:r w:rsidRPr="009133CE">
        <w:rPr>
          <w:rFonts w:hint="cs"/>
          <w:rtl/>
        </w:rPr>
        <w:t xml:space="preserve"> </w:t>
      </w:r>
      <w:r w:rsidRPr="009133CE">
        <w:rPr>
          <w:rtl/>
        </w:rPr>
        <w:t>משרד החוץ פועל באופן שיטתי כדי להעלות על סדר היום את הנושא של הש</w:t>
      </w:r>
      <w:r w:rsidRPr="009133CE">
        <w:rPr>
          <w:rFonts w:hint="cs"/>
          <w:rtl/>
        </w:rPr>
        <w:t>פע</w:t>
      </w:r>
      <w:r w:rsidRPr="009133CE">
        <w:rPr>
          <w:rtl/>
        </w:rPr>
        <w:t xml:space="preserve">ות מס </w:t>
      </w:r>
      <w:r w:rsidRPr="009133CE">
        <w:rPr>
          <w:rFonts w:hint="cs"/>
          <w:rtl/>
        </w:rPr>
        <w:t>ה</w:t>
      </w:r>
      <w:r w:rsidRPr="009133CE">
        <w:rPr>
          <w:rtl/>
        </w:rPr>
        <w:t>פחמן בעולם על המשק הישראלי. מיד לאחר סיום ועידת האקלים בגלזגו</w:t>
      </w:r>
      <w:r w:rsidRPr="009133CE">
        <w:rPr>
          <w:rFonts w:hint="cs"/>
          <w:rtl/>
        </w:rPr>
        <w:t>,</w:t>
      </w:r>
      <w:r w:rsidRPr="009133CE">
        <w:rPr>
          <w:rtl/>
        </w:rPr>
        <w:t xml:space="preserve"> </w:t>
      </w:r>
      <w:r w:rsidRPr="009133CE">
        <w:rPr>
          <w:rFonts w:hint="cs"/>
          <w:rtl/>
        </w:rPr>
        <w:t>ש</w:t>
      </w:r>
      <w:r w:rsidRPr="009133CE">
        <w:rPr>
          <w:rtl/>
        </w:rPr>
        <w:t xml:space="preserve">בה הוסכם על הקמת מסגרת גלובלית לסחר בפליטות, </w:t>
      </w:r>
      <w:r w:rsidRPr="009133CE">
        <w:rPr>
          <w:rFonts w:hint="cs"/>
          <w:rtl/>
        </w:rPr>
        <w:t xml:space="preserve">קיים </w:t>
      </w:r>
      <w:r w:rsidRPr="009133CE">
        <w:rPr>
          <w:rtl/>
        </w:rPr>
        <w:t>משרד החוץ התייעצות עם המועצה הלאומית לכלכלה בנושא תמחור הפחמן בישראל הן לנוכח ה-</w:t>
      </w:r>
      <w:r w:rsidRPr="009133CE">
        <w:t>CBAM</w:t>
      </w:r>
      <w:r w:rsidRPr="009133CE">
        <w:rPr>
          <w:rtl/>
        </w:rPr>
        <w:t xml:space="preserve"> הא</w:t>
      </w:r>
      <w:r w:rsidRPr="009133CE">
        <w:rPr>
          <w:rFonts w:hint="cs"/>
          <w:rtl/>
        </w:rPr>
        <w:t>י</w:t>
      </w:r>
      <w:r w:rsidRPr="009133CE">
        <w:rPr>
          <w:rtl/>
        </w:rPr>
        <w:t>רופי והן כתמריץ כלכלי לסחר בפליטות</w:t>
      </w:r>
      <w:r w:rsidRPr="009133CE">
        <w:rPr>
          <w:rFonts w:hint="cs"/>
          <w:rtl/>
        </w:rPr>
        <w:t>,</w:t>
      </w:r>
      <w:r w:rsidRPr="009133CE">
        <w:rPr>
          <w:rtl/>
        </w:rPr>
        <w:t xml:space="preserve"> והעלה הצעה לבצע עבודה כלכלית לבחינת כדאיות </w:t>
      </w:r>
      <w:r w:rsidRPr="009133CE">
        <w:rPr>
          <w:rFonts w:hint="cs"/>
          <w:rtl/>
        </w:rPr>
        <w:t>ה</w:t>
      </w:r>
      <w:r w:rsidRPr="009133CE">
        <w:rPr>
          <w:rtl/>
        </w:rPr>
        <w:t xml:space="preserve">השתלבות בסחר פליטות. </w:t>
      </w:r>
      <w:r w:rsidRPr="009133CE">
        <w:rPr>
          <w:rFonts w:hint="cs"/>
          <w:rtl/>
        </w:rPr>
        <w:t>כמו כן</w:t>
      </w:r>
      <w:r w:rsidRPr="009133CE">
        <w:rPr>
          <w:rtl/>
        </w:rPr>
        <w:t xml:space="preserve"> מתקיים שיח שוטף בנושא מול </w:t>
      </w:r>
      <w:r w:rsidRPr="009133CE">
        <w:rPr>
          <w:rFonts w:hint="cs"/>
          <w:rtl/>
        </w:rPr>
        <w:t>ה</w:t>
      </w:r>
      <w:r w:rsidRPr="009133CE">
        <w:rPr>
          <w:rtl/>
        </w:rPr>
        <w:t xml:space="preserve">משרד </w:t>
      </w:r>
      <w:r w:rsidRPr="009133CE">
        <w:rPr>
          <w:rFonts w:hint="cs"/>
          <w:rtl/>
        </w:rPr>
        <w:t>ל</w:t>
      </w:r>
      <w:r w:rsidRPr="009133CE">
        <w:rPr>
          <w:rtl/>
        </w:rPr>
        <w:t>הג</w:t>
      </w:r>
      <w:r w:rsidRPr="009133CE">
        <w:rPr>
          <w:rFonts w:hint="cs"/>
          <w:rtl/>
        </w:rPr>
        <w:t>"ס</w:t>
      </w:r>
      <w:r w:rsidRPr="009133CE">
        <w:rPr>
          <w:rtl/>
        </w:rPr>
        <w:t xml:space="preserve">. </w:t>
      </w:r>
    </w:p>
    <w:p w:rsidR="00F20E3F" w:rsidRPr="008938C0" w:rsidP="009133CE" w14:paraId="1A7B28AC" w14:textId="77777777">
      <w:pPr>
        <w:pStyle w:val="73120"/>
        <w:rPr>
          <w:rtl/>
        </w:rPr>
      </w:pPr>
      <w:r w:rsidRPr="008938C0">
        <w:rPr>
          <w:rFonts w:hint="cs"/>
          <w:rtl/>
        </w:rPr>
        <w:t xml:space="preserve">ביקורת המעקב </w:t>
      </w:r>
    </w:p>
    <w:p w:rsidR="00F20E3F" w:rsidRPr="00B1442F" w:rsidP="008D40F9" w14:paraId="01D410F3" w14:textId="77777777">
      <w:pPr>
        <w:pStyle w:val="7392"/>
        <w:rPr>
          <w:sz w:val="24"/>
          <w:rtl/>
        </w:rPr>
      </w:pPr>
      <w:r>
        <w:rPr>
          <w:rFonts w:hint="cs"/>
          <w:rtl/>
        </w:rPr>
        <w:t>בדוח הקודם נסקרה מדיניות המקודמת ב</w:t>
      </w:r>
      <w:r w:rsidRPr="00F122B3">
        <w:rPr>
          <w:rFonts w:hint="cs"/>
          <w:rtl/>
        </w:rPr>
        <w:t>איחוד האירופי</w:t>
      </w:r>
      <w:r>
        <w:rPr>
          <w:rFonts w:hint="cs"/>
          <w:rtl/>
        </w:rPr>
        <w:t>,</w:t>
      </w:r>
      <w:r w:rsidRPr="00F122B3">
        <w:rPr>
          <w:rFonts w:hint="cs"/>
          <w:rtl/>
        </w:rPr>
        <w:t xml:space="preserve"> </w:t>
      </w:r>
      <w:r>
        <w:rPr>
          <w:rFonts w:hint="cs"/>
          <w:rtl/>
        </w:rPr>
        <w:t>ו</w:t>
      </w:r>
      <w:r w:rsidRPr="00F122B3">
        <w:rPr>
          <w:rFonts w:hint="cs"/>
          <w:rtl/>
        </w:rPr>
        <w:t>לפיה</w:t>
      </w:r>
      <w:r w:rsidRPr="00F122B3">
        <w:rPr>
          <w:rtl/>
        </w:rPr>
        <w:t xml:space="preserve"> </w:t>
      </w:r>
      <w:r w:rsidRPr="00F122B3">
        <w:rPr>
          <w:rFonts w:hint="cs"/>
          <w:rtl/>
        </w:rPr>
        <w:t>יבוא מ</w:t>
      </w:r>
      <w:r w:rsidRPr="00F122B3">
        <w:rPr>
          <w:rtl/>
        </w:rPr>
        <w:t>מדינות</w:t>
      </w:r>
      <w:r w:rsidRPr="00F122B3">
        <w:rPr>
          <w:rFonts w:hint="cs"/>
          <w:rtl/>
        </w:rPr>
        <w:t xml:space="preserve"> שלישיות שעימן הן סוחרות</w:t>
      </w:r>
      <w:r w:rsidRPr="00F122B3">
        <w:rPr>
          <w:rtl/>
        </w:rPr>
        <w:t xml:space="preserve"> (שאינן חברות </w:t>
      </w:r>
      <w:r w:rsidRPr="00F122B3">
        <w:rPr>
          <w:rFonts w:hint="cs"/>
          <w:rtl/>
        </w:rPr>
        <w:t>באיחוד</w:t>
      </w:r>
      <w:r w:rsidRPr="00F122B3">
        <w:rPr>
          <w:rtl/>
        </w:rPr>
        <w:t>)</w:t>
      </w:r>
      <w:r w:rsidRPr="00F122B3">
        <w:rPr>
          <w:rFonts w:hint="cs"/>
          <w:rtl/>
        </w:rPr>
        <w:t xml:space="preserve"> </w:t>
      </w:r>
      <w:r w:rsidRPr="00F122B3">
        <w:rPr>
          <w:rtl/>
        </w:rPr>
        <w:t>יחויב ב</w:t>
      </w:r>
      <w:r>
        <w:rPr>
          <w:rFonts w:hint="cs"/>
          <w:rtl/>
        </w:rPr>
        <w:t>-</w:t>
      </w:r>
      <w:r w:rsidRPr="009133CE">
        <w:t>CBAM</w:t>
      </w:r>
      <w:r w:rsidRPr="009133CE">
        <w:rPr>
          <w:rtl/>
        </w:rPr>
        <w:t>. ביולי</w:t>
      </w:r>
      <w:r w:rsidRPr="00F122B3">
        <w:rPr>
          <w:sz w:val="24"/>
          <w:rtl/>
        </w:rPr>
        <w:t xml:space="preserve"> 2021 פורסמה הצעת רגולציה בנושא </w:t>
      </w:r>
      <w:r w:rsidRPr="009133CE">
        <w:t>CBAM</w:t>
      </w:r>
      <w:r w:rsidRPr="00F122B3">
        <w:rPr>
          <w:sz w:val="24"/>
          <w:rtl/>
        </w:rPr>
        <w:t xml:space="preserve">, שמטרתה להטיל מס פחמן על יבוא באמצעות מכסים ומגבלות סחר על שותפות סחר של </w:t>
      </w:r>
      <w:r w:rsidRPr="008D40F9">
        <w:rPr>
          <w:rtl/>
        </w:rPr>
        <w:t>האיחוד</w:t>
      </w:r>
      <w:r w:rsidRPr="00F122B3">
        <w:rPr>
          <w:sz w:val="24"/>
          <w:rtl/>
        </w:rPr>
        <w:t xml:space="preserve"> (באמצעות מנגנון מחייב של רכישת </w:t>
      </w:r>
      <w:r w:rsidRPr="00741B39">
        <w:rPr>
          <w:sz w:val="24"/>
          <w:rtl/>
        </w:rPr>
        <w:t>היתרי פליטות למוצרים מיובאים כלפי שותפות סחר של האיחוד)</w:t>
      </w:r>
      <w:r>
        <w:rPr>
          <w:sz w:val="24"/>
          <w:vertAlign w:val="superscript"/>
          <w:rtl/>
        </w:rPr>
        <w:footnoteReference w:id="95"/>
      </w:r>
      <w:r w:rsidRPr="00741B39">
        <w:rPr>
          <w:sz w:val="24"/>
          <w:rtl/>
        </w:rPr>
        <w:t xml:space="preserve">. </w:t>
      </w:r>
      <w:r>
        <w:rPr>
          <w:rFonts w:hint="cs"/>
          <w:sz w:val="24"/>
          <w:rtl/>
        </w:rPr>
        <w:t xml:space="preserve">לנוכח כוונת האיחוד האירופי </w:t>
      </w:r>
      <w:r w:rsidRPr="00741B39">
        <w:rPr>
          <w:rFonts w:hint="cs"/>
          <w:sz w:val="24"/>
          <w:rtl/>
        </w:rPr>
        <w:t xml:space="preserve">להרחיב את תמחור הפחמן </w:t>
      </w:r>
      <w:r>
        <w:rPr>
          <w:rFonts w:hint="cs"/>
          <w:sz w:val="24"/>
          <w:rtl/>
        </w:rPr>
        <w:t xml:space="preserve">בגבולותיו </w:t>
      </w:r>
      <w:r w:rsidRPr="00741B39">
        <w:rPr>
          <w:rFonts w:hint="cs"/>
          <w:sz w:val="24"/>
          <w:rtl/>
        </w:rPr>
        <w:t>במסגרת תוכני</w:t>
      </w:r>
      <w:r w:rsidRPr="009133CE">
        <w:rPr>
          <w:rFonts w:hint="cs"/>
          <w:rtl/>
        </w:rPr>
        <w:t xml:space="preserve">ת </w:t>
      </w:r>
      <w:r w:rsidRPr="009133CE">
        <w:t>Fit for 55</w:t>
      </w:r>
      <w:r>
        <w:rPr>
          <w:rFonts w:hint="cs"/>
          <w:sz w:val="24"/>
          <w:rtl/>
        </w:rPr>
        <w:t>, ו</w:t>
      </w:r>
      <w:r w:rsidRPr="00B1442F">
        <w:rPr>
          <w:sz w:val="24"/>
          <w:rtl/>
        </w:rPr>
        <w:t>ל</w:t>
      </w:r>
      <w:r>
        <w:rPr>
          <w:rFonts w:hint="cs"/>
          <w:sz w:val="24"/>
          <w:rtl/>
        </w:rPr>
        <w:t>נוכח</w:t>
      </w:r>
      <w:r w:rsidRPr="00B1442F">
        <w:rPr>
          <w:sz w:val="24"/>
          <w:rtl/>
        </w:rPr>
        <w:t xml:space="preserve"> הפערים בין שאפתנות של מדינות בתחום האקלים שעלולה לגרום ל</w:t>
      </w:r>
      <w:r w:rsidRPr="00B1442F">
        <w:rPr>
          <w:rFonts w:hint="cs"/>
          <w:sz w:val="24"/>
          <w:rtl/>
        </w:rPr>
        <w:t>"</w:t>
      </w:r>
      <w:r w:rsidRPr="00B1442F">
        <w:rPr>
          <w:sz w:val="24"/>
          <w:rtl/>
        </w:rPr>
        <w:t>זליגת פחמן</w:t>
      </w:r>
      <w:r w:rsidRPr="00B1442F">
        <w:rPr>
          <w:rFonts w:hint="cs"/>
          <w:sz w:val="24"/>
          <w:rtl/>
        </w:rPr>
        <w:t>"</w:t>
      </w:r>
      <w:r w:rsidRPr="00B1442F">
        <w:rPr>
          <w:sz w:val="24"/>
          <w:rtl/>
        </w:rPr>
        <w:t xml:space="preserve"> </w:t>
      </w:r>
      <w:r>
        <w:rPr>
          <w:rFonts w:hint="cs"/>
          <w:sz w:val="24"/>
          <w:rtl/>
        </w:rPr>
        <w:t xml:space="preserve">מחוץ לאיחוד </w:t>
      </w:r>
      <w:r w:rsidRPr="00741B39">
        <w:rPr>
          <w:sz w:val="24"/>
          <w:rtl/>
        </w:rPr>
        <w:t>(</w:t>
      </w:r>
      <w:r w:rsidRPr="009133CE">
        <w:t>Carbon Leakage</w:t>
      </w:r>
      <w:r>
        <w:rPr>
          <w:rFonts w:hint="cs"/>
          <w:sz w:val="24"/>
          <w:rtl/>
        </w:rPr>
        <w:t xml:space="preserve">, קרי </w:t>
      </w:r>
      <w:r w:rsidRPr="00B1442F">
        <w:rPr>
          <w:sz w:val="24"/>
          <w:rtl/>
        </w:rPr>
        <w:t xml:space="preserve">העברת ייצור </w:t>
      </w:r>
      <w:r>
        <w:rPr>
          <w:rFonts w:hint="cs"/>
          <w:sz w:val="24"/>
          <w:rtl/>
        </w:rPr>
        <w:t xml:space="preserve">מאירופה </w:t>
      </w:r>
      <w:r w:rsidRPr="00B1442F">
        <w:rPr>
          <w:sz w:val="24"/>
          <w:rtl/>
        </w:rPr>
        <w:t xml:space="preserve">למדינות אחרות </w:t>
      </w:r>
      <w:r>
        <w:rPr>
          <w:rFonts w:hint="cs"/>
          <w:sz w:val="24"/>
          <w:rtl/>
        </w:rPr>
        <w:t>ש</w:t>
      </w:r>
      <w:r w:rsidRPr="00B1442F">
        <w:rPr>
          <w:sz w:val="24"/>
          <w:rtl/>
        </w:rPr>
        <w:t>בה</w:t>
      </w:r>
      <w:r>
        <w:rPr>
          <w:rFonts w:hint="cs"/>
          <w:sz w:val="24"/>
          <w:rtl/>
        </w:rPr>
        <w:t>ן</w:t>
      </w:r>
      <w:r w:rsidRPr="00B1442F">
        <w:rPr>
          <w:sz w:val="24"/>
          <w:rtl/>
        </w:rPr>
        <w:t xml:space="preserve"> רגולציה פחות מחמירה או יקרה)</w:t>
      </w:r>
      <w:r>
        <w:rPr>
          <w:sz w:val="24"/>
          <w:vertAlign w:val="superscript"/>
          <w:rtl/>
        </w:rPr>
        <w:footnoteReference w:id="96"/>
      </w:r>
      <w:r>
        <w:rPr>
          <w:rFonts w:hint="cs"/>
          <w:sz w:val="24"/>
          <w:rtl/>
        </w:rPr>
        <w:t>,</w:t>
      </w:r>
      <w:r w:rsidRPr="00B1442F">
        <w:rPr>
          <w:sz w:val="24"/>
          <w:rtl/>
        </w:rPr>
        <w:t xml:space="preserve"> וכדי להשוות את תנאי התחרות של היצרנים האירופים לשאר שותפות </w:t>
      </w:r>
      <w:r w:rsidRPr="009133CE">
        <w:rPr>
          <w:rtl/>
        </w:rPr>
        <w:t>הסחר (</w:t>
      </w:r>
      <w:r w:rsidRPr="009133CE">
        <w:t>to level the playing field</w:t>
      </w:r>
      <w:r w:rsidRPr="009133CE">
        <w:rPr>
          <w:rtl/>
        </w:rPr>
        <w:t>),</w:t>
      </w:r>
      <w:r w:rsidRPr="00B1442F">
        <w:rPr>
          <w:sz w:val="24"/>
          <w:rtl/>
        </w:rPr>
        <w:t xml:space="preserve"> בשנת 2021 פרסמה הנציבו</w:t>
      </w:r>
      <w:r>
        <w:rPr>
          <w:sz w:val="24"/>
          <w:rtl/>
        </w:rPr>
        <w:t>ת טיוטה של הצעת חקיקה על מנ</w:t>
      </w:r>
      <w:r>
        <w:rPr>
          <w:rFonts w:hint="cs"/>
          <w:sz w:val="24"/>
          <w:rtl/>
        </w:rPr>
        <w:t xml:space="preserve">גנון </w:t>
      </w:r>
      <w:r w:rsidRPr="009133CE">
        <w:t>CBAM</w:t>
      </w:r>
      <w:r w:rsidRPr="008C1179">
        <w:rPr>
          <w:sz w:val="22"/>
          <w:szCs w:val="22"/>
          <w:rtl/>
        </w:rPr>
        <w:t xml:space="preserve"> </w:t>
      </w:r>
      <w:r>
        <w:rPr>
          <w:rFonts w:hint="cs"/>
          <w:sz w:val="24"/>
          <w:rtl/>
        </w:rPr>
        <w:t>המתמקד ב</w:t>
      </w:r>
      <w:r w:rsidRPr="00B1442F">
        <w:rPr>
          <w:sz w:val="24"/>
          <w:rtl/>
        </w:rPr>
        <w:t xml:space="preserve">ענפים עתירי </w:t>
      </w:r>
      <w:r>
        <w:rPr>
          <w:sz w:val="24"/>
          <w:rtl/>
        </w:rPr>
        <w:t>אנרגייה</w:t>
      </w:r>
      <w:r w:rsidRPr="00B1442F">
        <w:rPr>
          <w:sz w:val="24"/>
          <w:rtl/>
        </w:rPr>
        <w:t>.</w:t>
      </w:r>
    </w:p>
    <w:p w:rsidR="00F20E3F" w:rsidP="008D40F9" w14:paraId="3F9AF22D" w14:textId="3EEABBB6">
      <w:pPr>
        <w:pStyle w:val="7392"/>
        <w:rPr>
          <w:sz w:val="24"/>
          <w:rtl/>
        </w:rPr>
      </w:pPr>
      <w:r w:rsidRPr="00B1442F">
        <w:rPr>
          <w:sz w:val="24"/>
          <w:rtl/>
        </w:rPr>
        <w:t xml:space="preserve">בדצמבר 2022 התקבלה החלטה </w:t>
      </w:r>
      <w:r>
        <w:rPr>
          <w:rFonts w:hint="cs"/>
          <w:sz w:val="24"/>
          <w:rtl/>
        </w:rPr>
        <w:t xml:space="preserve">באיחוד האירופי ולפיה </w:t>
      </w:r>
      <w:r w:rsidRPr="00B1442F">
        <w:rPr>
          <w:sz w:val="24"/>
          <w:rtl/>
        </w:rPr>
        <w:t>ה-</w:t>
      </w:r>
      <w:r w:rsidRPr="009133CE">
        <w:t>CBAM</w:t>
      </w:r>
      <w:r w:rsidRPr="000D2CB9">
        <w:rPr>
          <w:sz w:val="22"/>
          <w:szCs w:val="22"/>
          <w:rtl/>
        </w:rPr>
        <w:t xml:space="preserve"> </w:t>
      </w:r>
      <w:r w:rsidRPr="00B1442F">
        <w:rPr>
          <w:sz w:val="24"/>
          <w:rtl/>
        </w:rPr>
        <w:t>י</w:t>
      </w:r>
      <w:r>
        <w:rPr>
          <w:rFonts w:hint="cs"/>
          <w:sz w:val="24"/>
          <w:rtl/>
        </w:rPr>
        <w:t>י</w:t>
      </w:r>
      <w:r w:rsidRPr="00B1442F">
        <w:rPr>
          <w:sz w:val="24"/>
          <w:rtl/>
        </w:rPr>
        <w:t>כנס לתוקף בהדרג</w:t>
      </w:r>
      <w:r>
        <w:rPr>
          <w:rFonts w:hint="cs"/>
          <w:sz w:val="24"/>
          <w:rtl/>
        </w:rPr>
        <w:t>ה.</w:t>
      </w:r>
      <w:r w:rsidRPr="00B1442F">
        <w:rPr>
          <w:sz w:val="24"/>
          <w:rtl/>
        </w:rPr>
        <w:t xml:space="preserve"> בשלב הראשון</w:t>
      </w:r>
      <w:r>
        <w:rPr>
          <w:rFonts w:hint="cs"/>
          <w:sz w:val="24"/>
          <w:rtl/>
        </w:rPr>
        <w:t>,</w:t>
      </w:r>
      <w:r w:rsidRPr="00B1442F">
        <w:rPr>
          <w:sz w:val="24"/>
          <w:rtl/>
        </w:rPr>
        <w:t xml:space="preserve"> מאוקטובר 2023 עד סוף 2025</w:t>
      </w:r>
      <w:r>
        <w:rPr>
          <w:rFonts w:hint="cs"/>
          <w:sz w:val="24"/>
          <w:rtl/>
        </w:rPr>
        <w:t xml:space="preserve">, </w:t>
      </w:r>
      <w:r w:rsidRPr="00AF3CFD">
        <w:rPr>
          <w:sz w:val="24"/>
          <w:rtl/>
        </w:rPr>
        <w:t xml:space="preserve">תחל תקופת מעבר של שנתיים ורבע. </w:t>
      </w:r>
      <w:r w:rsidRPr="00AF3CFD">
        <w:rPr>
          <w:rFonts w:hint="cs"/>
          <w:sz w:val="24"/>
          <w:rtl/>
        </w:rPr>
        <w:t xml:space="preserve">הסקטורים </w:t>
      </w:r>
      <w:r w:rsidRPr="00AF3CFD">
        <w:rPr>
          <w:sz w:val="24"/>
          <w:rtl/>
        </w:rPr>
        <w:t xml:space="preserve">אשר </w:t>
      </w:r>
      <w:r w:rsidRPr="00AF3CFD">
        <w:rPr>
          <w:sz w:val="24"/>
          <w:rtl/>
        </w:rPr>
        <w:t xml:space="preserve">יושפעו מכך תחילה, כבר בתקופת המעבר, יהיו </w:t>
      </w:r>
      <w:r w:rsidRPr="00AF3CFD">
        <w:rPr>
          <w:rFonts w:hint="cs"/>
          <w:sz w:val="24"/>
          <w:rtl/>
        </w:rPr>
        <w:t>ענפי ה</w:t>
      </w:r>
      <w:r w:rsidRPr="00AF3CFD">
        <w:rPr>
          <w:sz w:val="24"/>
          <w:rtl/>
        </w:rPr>
        <w:t xml:space="preserve">דשנים, </w:t>
      </w:r>
      <w:r w:rsidRPr="00AF3CFD">
        <w:rPr>
          <w:rFonts w:hint="cs"/>
          <w:sz w:val="24"/>
          <w:rtl/>
        </w:rPr>
        <w:t>ה</w:t>
      </w:r>
      <w:r w:rsidRPr="00AF3CFD">
        <w:rPr>
          <w:sz w:val="24"/>
          <w:rtl/>
        </w:rPr>
        <w:t xml:space="preserve">פלדה, </w:t>
      </w:r>
      <w:r w:rsidRPr="00AF3CFD">
        <w:rPr>
          <w:rFonts w:hint="cs"/>
          <w:sz w:val="24"/>
          <w:rtl/>
        </w:rPr>
        <w:t>ה</w:t>
      </w:r>
      <w:r w:rsidRPr="00AF3CFD">
        <w:rPr>
          <w:sz w:val="24"/>
          <w:rtl/>
        </w:rPr>
        <w:t xml:space="preserve">ברזל, </w:t>
      </w:r>
      <w:r w:rsidRPr="00AF3CFD">
        <w:rPr>
          <w:rFonts w:hint="cs"/>
          <w:sz w:val="24"/>
          <w:rtl/>
        </w:rPr>
        <w:t>ה</w:t>
      </w:r>
      <w:r w:rsidRPr="00AF3CFD">
        <w:rPr>
          <w:sz w:val="24"/>
          <w:rtl/>
        </w:rPr>
        <w:t xml:space="preserve">אלומיניום, </w:t>
      </w:r>
      <w:r w:rsidRPr="00AF3CFD">
        <w:rPr>
          <w:rFonts w:hint="cs"/>
          <w:sz w:val="24"/>
          <w:rtl/>
        </w:rPr>
        <w:t>ה</w:t>
      </w:r>
      <w:r w:rsidRPr="00AF3CFD">
        <w:rPr>
          <w:sz w:val="24"/>
          <w:rtl/>
        </w:rPr>
        <w:t xml:space="preserve">מלט, </w:t>
      </w:r>
      <w:r w:rsidRPr="00AF3CFD">
        <w:rPr>
          <w:rFonts w:hint="cs"/>
          <w:sz w:val="24"/>
          <w:rtl/>
        </w:rPr>
        <w:t>ה</w:t>
      </w:r>
      <w:r w:rsidRPr="00AF3CFD">
        <w:rPr>
          <w:sz w:val="24"/>
          <w:rtl/>
        </w:rPr>
        <w:t>מימן, ו</w:t>
      </w:r>
      <w:r w:rsidRPr="00AF3CFD">
        <w:rPr>
          <w:rFonts w:hint="cs"/>
          <w:sz w:val="24"/>
          <w:rtl/>
        </w:rPr>
        <w:t>ה</w:t>
      </w:r>
      <w:r w:rsidRPr="00AF3CFD">
        <w:rPr>
          <w:sz w:val="24"/>
          <w:rtl/>
        </w:rPr>
        <w:t xml:space="preserve">חשמל </w:t>
      </w:r>
      <w:r w:rsidRPr="00AF3CFD">
        <w:rPr>
          <w:rFonts w:hint="cs"/>
          <w:sz w:val="24"/>
          <w:rtl/>
        </w:rPr>
        <w:t>-</w:t>
      </w:r>
      <w:r w:rsidRPr="00AF3CFD">
        <w:rPr>
          <w:sz w:val="24"/>
          <w:rtl/>
        </w:rPr>
        <w:t xml:space="preserve"> </w:t>
      </w:r>
      <w:r w:rsidRPr="00AF3CFD">
        <w:rPr>
          <w:rFonts w:hint="cs"/>
          <w:sz w:val="24"/>
          <w:rtl/>
        </w:rPr>
        <w:t>ו</w:t>
      </w:r>
      <w:r w:rsidRPr="00AF3CFD">
        <w:rPr>
          <w:sz w:val="24"/>
          <w:rtl/>
        </w:rPr>
        <w:t xml:space="preserve">היבואנים של מוצרים אלו יחויבו בדיווח כמות פליטות ישירות ועקיפות של המוצרים המיובאים. בישראל, </w:t>
      </w:r>
      <w:r w:rsidRPr="00AF3CFD">
        <w:rPr>
          <w:rFonts w:hint="cs"/>
          <w:sz w:val="24"/>
          <w:rtl/>
        </w:rPr>
        <w:t>הסקטור</w:t>
      </w:r>
      <w:r w:rsidRPr="00AF3CFD">
        <w:rPr>
          <w:sz w:val="24"/>
          <w:rtl/>
        </w:rPr>
        <w:t xml:space="preserve"> העיקרי שיושפע בשלב זה מה-</w:t>
      </w:r>
      <w:r w:rsidRPr="009133CE">
        <w:t>CBAM</w:t>
      </w:r>
      <w:r w:rsidRPr="00AF3CFD">
        <w:rPr>
          <w:sz w:val="22"/>
          <w:szCs w:val="22"/>
          <w:rtl/>
        </w:rPr>
        <w:t xml:space="preserve"> </w:t>
      </w:r>
      <w:r w:rsidRPr="00AF3CFD">
        <w:rPr>
          <w:sz w:val="24"/>
          <w:rtl/>
        </w:rPr>
        <w:t xml:space="preserve">הוא </w:t>
      </w:r>
      <w:r w:rsidRPr="00AF3CFD">
        <w:rPr>
          <w:rFonts w:hint="cs"/>
          <w:sz w:val="24"/>
          <w:rtl/>
        </w:rPr>
        <w:t>סקטור</w:t>
      </w:r>
      <w:r w:rsidRPr="00AF3CFD">
        <w:rPr>
          <w:sz w:val="24"/>
          <w:rtl/>
        </w:rPr>
        <w:t xml:space="preserve"> הדשנים.</w:t>
      </w:r>
      <w:r w:rsidRPr="00AF3CFD">
        <w:rPr>
          <w:rFonts w:hint="cs"/>
          <w:sz w:val="24"/>
          <w:rtl/>
        </w:rPr>
        <w:t xml:space="preserve"> </w:t>
      </w:r>
      <w:r w:rsidRPr="00AF3CFD">
        <w:rPr>
          <w:sz w:val="24"/>
          <w:rtl/>
        </w:rPr>
        <w:t xml:space="preserve">בשלב השני, החל </w:t>
      </w:r>
      <w:r w:rsidRPr="00AF3CFD">
        <w:rPr>
          <w:rFonts w:hint="cs"/>
          <w:sz w:val="24"/>
          <w:rtl/>
        </w:rPr>
        <w:t>ב</w:t>
      </w:r>
      <w:r w:rsidRPr="00AF3CFD">
        <w:rPr>
          <w:sz w:val="24"/>
          <w:rtl/>
        </w:rPr>
        <w:t>ינואר 2026</w:t>
      </w:r>
      <w:r w:rsidRPr="00AF3CFD">
        <w:rPr>
          <w:rFonts w:hint="cs"/>
          <w:sz w:val="24"/>
          <w:rtl/>
        </w:rPr>
        <w:t>,</w:t>
      </w:r>
      <w:r w:rsidRPr="00AF3CFD">
        <w:rPr>
          <w:sz w:val="24"/>
          <w:rtl/>
        </w:rPr>
        <w:t xml:space="preserve"> יחול ה-</w:t>
      </w:r>
      <w:r w:rsidRPr="009133CE">
        <w:t>CBAM</w:t>
      </w:r>
      <w:r w:rsidRPr="00AF3CFD">
        <w:rPr>
          <w:sz w:val="22"/>
          <w:szCs w:val="22"/>
          <w:rtl/>
        </w:rPr>
        <w:t xml:space="preserve"> </w:t>
      </w:r>
      <w:r w:rsidRPr="00AF3CFD">
        <w:rPr>
          <w:sz w:val="24"/>
          <w:rtl/>
        </w:rPr>
        <w:t xml:space="preserve">במלואו ובאופן קבוע </w:t>
      </w:r>
      <w:r w:rsidRPr="00AF3CFD">
        <w:rPr>
          <w:rFonts w:hint="cs"/>
          <w:sz w:val="24"/>
          <w:rtl/>
        </w:rPr>
        <w:t>-</w:t>
      </w:r>
      <w:r w:rsidRPr="00AF3CFD">
        <w:rPr>
          <w:sz w:val="24"/>
          <w:rtl/>
        </w:rPr>
        <w:t xml:space="preserve"> אז </w:t>
      </w:r>
      <w:r w:rsidRPr="00AF3CFD">
        <w:rPr>
          <w:rFonts w:hint="cs"/>
          <w:sz w:val="24"/>
          <w:rtl/>
        </w:rPr>
        <w:t>ה</w:t>
      </w:r>
      <w:r w:rsidRPr="00AF3CFD">
        <w:rPr>
          <w:sz w:val="24"/>
          <w:rtl/>
        </w:rPr>
        <w:t>איחוד יחייב בתשלום מס פחמן בגבול של סקטורים אלו, ונציבות האיחוד תבחן את הרחבת תחולת ה-</w:t>
      </w:r>
      <w:r w:rsidRPr="009133CE">
        <w:t>CBAM</w:t>
      </w:r>
      <w:r w:rsidRPr="00AF3CFD">
        <w:rPr>
          <w:sz w:val="22"/>
          <w:szCs w:val="22"/>
          <w:rtl/>
        </w:rPr>
        <w:t xml:space="preserve"> </w:t>
      </w:r>
      <w:r w:rsidRPr="00AF3CFD">
        <w:rPr>
          <w:sz w:val="24"/>
          <w:rtl/>
        </w:rPr>
        <w:t>על סקטורים נוספים</w:t>
      </w:r>
      <w:r w:rsidRPr="00AF3CFD">
        <w:rPr>
          <w:rFonts w:hint="cs"/>
          <w:sz w:val="24"/>
          <w:rtl/>
        </w:rPr>
        <w:t xml:space="preserve">, במיוחד כאלו </w:t>
      </w:r>
      <w:r w:rsidRPr="00AF3CFD">
        <w:rPr>
          <w:sz w:val="24"/>
          <w:rtl/>
        </w:rPr>
        <w:t>בסיכון לזליגת פחמן, למשל, כימיקלים אורגניים ופולימרים, ופליטות המיוחסות ל</w:t>
      </w:r>
      <w:r w:rsidRPr="00AF3CFD">
        <w:rPr>
          <w:rFonts w:hint="cs"/>
          <w:sz w:val="24"/>
          <w:rtl/>
        </w:rPr>
        <w:t>סקטור ה</w:t>
      </w:r>
      <w:r w:rsidRPr="00AF3CFD">
        <w:rPr>
          <w:sz w:val="24"/>
          <w:rtl/>
        </w:rPr>
        <w:t>תחבורה</w:t>
      </w:r>
      <w:r w:rsidRPr="007004E2">
        <w:rPr>
          <w:sz w:val="24"/>
          <w:rtl/>
        </w:rPr>
        <w:t xml:space="preserve"> (הובל</w:t>
      </w:r>
      <w:r>
        <w:rPr>
          <w:rFonts w:hint="cs"/>
          <w:sz w:val="24"/>
          <w:rtl/>
        </w:rPr>
        <w:t>ת</w:t>
      </w:r>
      <w:r w:rsidRPr="007004E2">
        <w:rPr>
          <w:sz w:val="24"/>
          <w:rtl/>
        </w:rPr>
        <w:t xml:space="preserve"> הסחורות החייבות במס)</w:t>
      </w:r>
      <w:r w:rsidRPr="00B1442F">
        <w:rPr>
          <w:sz w:val="24"/>
          <w:rtl/>
        </w:rPr>
        <w:t>.</w:t>
      </w:r>
      <w:r w:rsidRPr="007004E2">
        <w:rPr>
          <w:rtl/>
        </w:rPr>
        <w:t xml:space="preserve"> </w:t>
      </w:r>
      <w:r w:rsidRPr="007004E2">
        <w:rPr>
          <w:sz w:val="24"/>
          <w:rtl/>
        </w:rPr>
        <w:t xml:space="preserve">הנציבות האירופית </w:t>
      </w:r>
      <w:r>
        <w:rPr>
          <w:rFonts w:hint="cs"/>
          <w:sz w:val="24"/>
          <w:rtl/>
        </w:rPr>
        <w:t>צפויה אפוא להכין</w:t>
      </w:r>
      <w:r w:rsidRPr="007004E2">
        <w:rPr>
          <w:sz w:val="24"/>
          <w:rtl/>
        </w:rPr>
        <w:t xml:space="preserve"> מתווה מדורג להחלת ה</w:t>
      </w:r>
      <w:r>
        <w:rPr>
          <w:rFonts w:hint="cs"/>
          <w:sz w:val="24"/>
          <w:rtl/>
        </w:rPr>
        <w:t>-</w:t>
      </w:r>
      <w:r w:rsidRPr="009133CE">
        <w:t>CBAM</w:t>
      </w:r>
      <w:r w:rsidRPr="00F76A4B">
        <w:rPr>
          <w:sz w:val="22"/>
          <w:szCs w:val="22"/>
          <w:rtl/>
        </w:rPr>
        <w:t xml:space="preserve"> </w:t>
      </w:r>
      <w:r w:rsidRPr="007004E2">
        <w:rPr>
          <w:sz w:val="24"/>
          <w:rtl/>
        </w:rPr>
        <w:t>על כלל הפעילויות הנכללות ב-</w:t>
      </w:r>
      <w:r w:rsidRPr="009133CE">
        <w:t>ETS</w:t>
      </w:r>
      <w:r w:rsidRPr="008C1179">
        <w:rPr>
          <w:sz w:val="22"/>
          <w:szCs w:val="22"/>
          <w:rtl/>
        </w:rPr>
        <w:t xml:space="preserve"> </w:t>
      </w:r>
      <w:r w:rsidRPr="007004E2">
        <w:rPr>
          <w:sz w:val="24"/>
          <w:rtl/>
        </w:rPr>
        <w:t>עד להטמעה מלאה ב</w:t>
      </w:r>
      <w:r>
        <w:rPr>
          <w:rFonts w:hint="cs"/>
          <w:sz w:val="24"/>
          <w:rtl/>
        </w:rPr>
        <w:t xml:space="preserve">תחילת שנת 2030, </w:t>
      </w:r>
      <w:r w:rsidRPr="007004E2">
        <w:rPr>
          <w:sz w:val="24"/>
          <w:rtl/>
        </w:rPr>
        <w:t>זאת, תוך מתן עדיפות לסחורות החשופות ביותר לזליגת פחמן ו</w:t>
      </w:r>
      <w:r>
        <w:rPr>
          <w:rFonts w:hint="cs"/>
          <w:sz w:val="24"/>
          <w:rtl/>
        </w:rPr>
        <w:t>ל</w:t>
      </w:r>
      <w:r w:rsidRPr="007004E2">
        <w:rPr>
          <w:sz w:val="24"/>
          <w:rtl/>
        </w:rPr>
        <w:t xml:space="preserve">אלו שמתאפיינות בעצימות </w:t>
      </w:r>
      <w:r>
        <w:rPr>
          <w:rFonts w:hint="cs"/>
          <w:sz w:val="24"/>
          <w:rtl/>
        </w:rPr>
        <w:t>ה</w:t>
      </w:r>
      <w:r w:rsidRPr="007004E2">
        <w:rPr>
          <w:sz w:val="24"/>
          <w:rtl/>
        </w:rPr>
        <w:t xml:space="preserve">פליטות הגבוהה </w:t>
      </w:r>
      <w:r w:rsidRPr="008D40F9">
        <w:rPr>
          <w:rtl/>
        </w:rPr>
        <w:t>ביותר</w:t>
      </w:r>
      <w:r w:rsidRPr="007004E2">
        <w:rPr>
          <w:sz w:val="24"/>
          <w:rtl/>
        </w:rPr>
        <w:t xml:space="preserve">. </w:t>
      </w:r>
      <w:r>
        <w:rPr>
          <w:rFonts w:hint="cs"/>
          <w:sz w:val="24"/>
          <w:rtl/>
        </w:rPr>
        <w:t>כמו כן צפוי האיחוד ל</w:t>
      </w:r>
      <w:r w:rsidRPr="007004E2">
        <w:rPr>
          <w:sz w:val="24"/>
          <w:rtl/>
        </w:rPr>
        <w:t>גבש מתודולוגיה לחישוב פליטות עקיפות (</w:t>
      </w:r>
      <w:r w:rsidRPr="00811880">
        <w:rPr>
          <w:sz w:val="24"/>
          <w:rtl/>
        </w:rPr>
        <w:t xml:space="preserve">ובהן פליטות עקב צריכת חשמל </w:t>
      </w:r>
      <w:r w:rsidRPr="007004E2">
        <w:rPr>
          <w:sz w:val="24"/>
          <w:rtl/>
        </w:rPr>
        <w:t>לצור</w:t>
      </w:r>
      <w:r>
        <w:rPr>
          <w:rFonts w:hint="cs"/>
          <w:sz w:val="24"/>
          <w:rtl/>
        </w:rPr>
        <w:t>כי</w:t>
      </w:r>
      <w:r w:rsidRPr="007004E2">
        <w:rPr>
          <w:sz w:val="24"/>
          <w:rtl/>
        </w:rPr>
        <w:t xml:space="preserve"> ייצור).</w:t>
      </w:r>
    </w:p>
    <w:p w:rsidR="00F20E3F" w:rsidP="008D40F9" w14:paraId="36496F28" w14:textId="77777777">
      <w:pPr>
        <w:pStyle w:val="7392"/>
        <w:rPr>
          <w:sz w:val="24"/>
          <w:rtl/>
        </w:rPr>
      </w:pPr>
      <w:r>
        <w:rPr>
          <w:rFonts w:hint="cs"/>
          <w:rtl/>
        </w:rPr>
        <w:t>משרד הכלכלה העריך את היצוא של ישראל ל</w:t>
      </w:r>
      <w:r w:rsidRPr="002C53F3">
        <w:rPr>
          <w:rtl/>
        </w:rPr>
        <w:t>איחוד האירופי בממוצע השנים 2019</w:t>
      </w:r>
      <w:r>
        <w:rPr>
          <w:rFonts w:hint="cs"/>
          <w:rtl/>
        </w:rPr>
        <w:t xml:space="preserve"> עד </w:t>
      </w:r>
      <w:r w:rsidRPr="002C53F3">
        <w:rPr>
          <w:rtl/>
        </w:rPr>
        <w:t xml:space="preserve">2021 בסקטורים </w:t>
      </w:r>
      <w:r>
        <w:rPr>
          <w:rFonts w:hint="cs"/>
          <w:rtl/>
        </w:rPr>
        <w:t xml:space="preserve">המדוברים </w:t>
      </w:r>
      <w:r w:rsidRPr="00391323">
        <w:rPr>
          <w:rFonts w:hint="cs"/>
          <w:sz w:val="24"/>
          <w:rtl/>
        </w:rPr>
        <w:t>בשיעור של כ-</w:t>
      </w:r>
      <w:r w:rsidRPr="00391323">
        <w:rPr>
          <w:sz w:val="24"/>
          <w:rtl/>
        </w:rPr>
        <w:t>1.1% מ</w:t>
      </w:r>
      <w:r w:rsidRPr="00391323">
        <w:rPr>
          <w:rFonts w:hint="cs"/>
          <w:sz w:val="24"/>
          <w:rtl/>
        </w:rPr>
        <w:t xml:space="preserve">כלל </w:t>
      </w:r>
      <w:r w:rsidRPr="00391323">
        <w:rPr>
          <w:sz w:val="24"/>
          <w:rtl/>
        </w:rPr>
        <w:t>היצוא לאיחוד (</w:t>
      </w:r>
      <w:r w:rsidRPr="00391323">
        <w:rPr>
          <w:rFonts w:hint="cs"/>
          <w:sz w:val="24"/>
          <w:rtl/>
        </w:rPr>
        <w:t>כ-</w:t>
      </w:r>
      <w:r w:rsidRPr="00391323">
        <w:rPr>
          <w:sz w:val="24"/>
          <w:rtl/>
        </w:rPr>
        <w:t>140 מיליון דולר</w:t>
      </w:r>
      <w:r w:rsidRPr="00391323">
        <w:rPr>
          <w:rFonts w:hint="cs"/>
          <w:sz w:val="24"/>
          <w:rtl/>
        </w:rPr>
        <w:t xml:space="preserve"> ארה</w:t>
      </w:r>
      <w:r w:rsidRPr="00391323">
        <w:rPr>
          <w:sz w:val="24"/>
          <w:rtl/>
        </w:rPr>
        <w:t>"</w:t>
      </w:r>
      <w:r w:rsidRPr="00391323">
        <w:rPr>
          <w:rFonts w:hint="cs"/>
          <w:sz w:val="24"/>
          <w:rtl/>
        </w:rPr>
        <w:t>ב</w:t>
      </w:r>
      <w:r w:rsidRPr="00391323">
        <w:rPr>
          <w:sz w:val="24"/>
          <w:rtl/>
        </w:rPr>
        <w:t>)</w:t>
      </w:r>
      <w:r w:rsidRPr="00391323">
        <w:rPr>
          <w:rFonts w:hint="cs"/>
          <w:sz w:val="24"/>
          <w:rtl/>
        </w:rPr>
        <w:t xml:space="preserve">, </w:t>
      </w:r>
      <w:r>
        <w:rPr>
          <w:rFonts w:hint="cs"/>
          <w:sz w:val="24"/>
          <w:rtl/>
        </w:rPr>
        <w:t>וכן הע</w:t>
      </w:r>
      <w:r w:rsidRPr="00AF3CFD">
        <w:rPr>
          <w:rFonts w:hint="cs"/>
          <w:sz w:val="24"/>
          <w:rtl/>
        </w:rPr>
        <w:t>ריך כי</w:t>
      </w:r>
      <w:r w:rsidRPr="00AF3CFD">
        <w:rPr>
          <w:sz w:val="24"/>
          <w:rtl/>
        </w:rPr>
        <w:t xml:space="preserve"> </w:t>
      </w:r>
      <w:r w:rsidRPr="00AF3CFD">
        <w:rPr>
          <w:rFonts w:hint="cs"/>
          <w:sz w:val="24"/>
          <w:rtl/>
        </w:rPr>
        <w:t>הסקטור</w:t>
      </w:r>
      <w:r w:rsidRPr="00AF3CFD">
        <w:rPr>
          <w:sz w:val="24"/>
          <w:rtl/>
        </w:rPr>
        <w:t xml:space="preserve"> החשוף</w:t>
      </w:r>
      <w:r w:rsidRPr="00391323">
        <w:rPr>
          <w:sz w:val="24"/>
          <w:rtl/>
        </w:rPr>
        <w:t xml:space="preserve"> ביותר בישראל </w:t>
      </w:r>
      <w:r w:rsidRPr="00391323">
        <w:rPr>
          <w:rFonts w:hint="cs"/>
          <w:sz w:val="24"/>
          <w:rtl/>
        </w:rPr>
        <w:t>ל</w:t>
      </w:r>
      <w:r w:rsidRPr="008D40F9">
        <w:rPr>
          <w:rFonts w:hint="cs"/>
          <w:rtl/>
        </w:rPr>
        <w:t>-</w:t>
      </w:r>
      <w:r w:rsidRPr="008D40F9">
        <w:t>CBAM</w:t>
      </w:r>
      <w:r w:rsidRPr="008D40F9">
        <w:rPr>
          <w:rtl/>
        </w:rPr>
        <w:t xml:space="preserve"> </w:t>
      </w:r>
      <w:r w:rsidRPr="00391323">
        <w:rPr>
          <w:sz w:val="24"/>
          <w:rtl/>
        </w:rPr>
        <w:t>בשלב הראשוני ה</w:t>
      </w:r>
      <w:r>
        <w:rPr>
          <w:rFonts w:hint="cs"/>
          <w:sz w:val="24"/>
          <w:rtl/>
        </w:rPr>
        <w:t>וא</w:t>
      </w:r>
      <w:r w:rsidRPr="00391323">
        <w:rPr>
          <w:sz w:val="24"/>
          <w:rtl/>
        </w:rPr>
        <w:t xml:space="preserve"> ענף הדשנים (0.59%) ולאחריו </w:t>
      </w:r>
      <w:r>
        <w:rPr>
          <w:rFonts w:hint="cs"/>
          <w:sz w:val="24"/>
          <w:rtl/>
        </w:rPr>
        <w:t>ה</w:t>
      </w:r>
      <w:r w:rsidRPr="00391323">
        <w:rPr>
          <w:sz w:val="24"/>
          <w:rtl/>
        </w:rPr>
        <w:t>ברזל ו</w:t>
      </w:r>
      <w:r>
        <w:rPr>
          <w:rFonts w:hint="cs"/>
          <w:sz w:val="24"/>
          <w:rtl/>
        </w:rPr>
        <w:t>ה</w:t>
      </w:r>
      <w:r w:rsidRPr="00391323">
        <w:rPr>
          <w:sz w:val="24"/>
          <w:rtl/>
        </w:rPr>
        <w:t>פלדה (0.42%)</w:t>
      </w:r>
      <w:r w:rsidRPr="00391323">
        <w:rPr>
          <w:rFonts w:hint="cs"/>
          <w:sz w:val="24"/>
          <w:rtl/>
        </w:rPr>
        <w:t>, וכי</w:t>
      </w:r>
      <w:r w:rsidRPr="00391323">
        <w:rPr>
          <w:sz w:val="24"/>
          <w:rtl/>
        </w:rPr>
        <w:t xml:space="preserve"> עם התרחבות הרגולציה לסקטורים נוספים</w:t>
      </w:r>
      <w:r w:rsidRPr="002C53F3">
        <w:rPr>
          <w:rtl/>
        </w:rPr>
        <w:t>, החשיפה תעלה</w:t>
      </w:r>
      <w:r>
        <w:rPr>
          <w:rFonts w:hint="cs"/>
          <w:rtl/>
        </w:rPr>
        <w:t>.</w:t>
      </w:r>
    </w:p>
    <w:p w:rsidR="00F20E3F" w:rsidP="008D40F9" w14:paraId="3A3A34F6" w14:textId="77777777">
      <w:pPr>
        <w:pStyle w:val="7392"/>
        <w:rPr>
          <w:sz w:val="24"/>
          <w:rtl/>
        </w:rPr>
      </w:pPr>
      <w:r>
        <w:rPr>
          <w:rFonts w:hint="cs"/>
          <w:sz w:val="24"/>
          <w:rtl/>
        </w:rPr>
        <w:t>לנוכח ההתייקרות ההדרגתית במס פחמן בבריטניה</w:t>
      </w:r>
      <w:r>
        <w:rPr>
          <w:rStyle w:val="FootnoteReference2"/>
          <w:sz w:val="24"/>
          <w:rtl/>
        </w:rPr>
        <w:footnoteReference w:id="97"/>
      </w:r>
      <w:r>
        <w:rPr>
          <w:rFonts w:hint="cs"/>
          <w:sz w:val="24"/>
          <w:rtl/>
        </w:rPr>
        <w:t xml:space="preserve">, במרץ 2023 הודיעה ממשלת בריטניה על </w:t>
      </w:r>
      <w:r w:rsidRPr="008D40F9">
        <w:rPr>
          <w:rFonts w:hint="cs"/>
          <w:rtl/>
        </w:rPr>
        <w:t>קיום</w:t>
      </w:r>
      <w:r>
        <w:rPr>
          <w:rFonts w:hint="cs"/>
          <w:sz w:val="24"/>
          <w:rtl/>
        </w:rPr>
        <w:t xml:space="preserve"> היוועצויות ציבוריות במסגרת בחינה שהיא מקיימת בעניין "אמצעים למניעת 'זליגת פחמן' ולהבטחת תנאים אופטימליי</w:t>
      </w:r>
      <w:r>
        <w:rPr>
          <w:rFonts w:hint="eastAsia"/>
          <w:sz w:val="24"/>
          <w:rtl/>
        </w:rPr>
        <w:t>ם</w:t>
      </w:r>
      <w:r>
        <w:rPr>
          <w:rFonts w:hint="cs"/>
          <w:sz w:val="24"/>
          <w:rtl/>
        </w:rPr>
        <w:t xml:space="preserve"> לדה-קרבוניזציה של התעשייה", לרבות באמצעות </w:t>
      </w:r>
      <w:r w:rsidRPr="008D40F9">
        <w:t>CBAM</w:t>
      </w:r>
      <w:r w:rsidRPr="0095083F">
        <w:rPr>
          <w:sz w:val="24"/>
          <w:rtl/>
        </w:rPr>
        <w:t xml:space="preserve">. </w:t>
      </w:r>
      <w:r>
        <w:rPr>
          <w:rFonts w:hint="cs"/>
          <w:sz w:val="24"/>
          <w:rtl/>
        </w:rPr>
        <w:t>מטרת המהלך היא לבחון</w:t>
      </w:r>
      <w:r w:rsidRPr="005A1556">
        <w:rPr>
          <w:sz w:val="24"/>
          <w:rtl/>
        </w:rPr>
        <w:t xml:space="preserve"> חבילה של א</w:t>
      </w:r>
      <w:r>
        <w:rPr>
          <w:sz w:val="24"/>
          <w:rtl/>
        </w:rPr>
        <w:t xml:space="preserve">מצעים פוטנציאליים להפחתת סיכון </w:t>
      </w:r>
      <w:r>
        <w:rPr>
          <w:rFonts w:hint="cs"/>
          <w:sz w:val="24"/>
          <w:rtl/>
        </w:rPr>
        <w:t>זליגת</w:t>
      </w:r>
      <w:r w:rsidRPr="005A1556">
        <w:rPr>
          <w:sz w:val="24"/>
          <w:rtl/>
        </w:rPr>
        <w:t xml:space="preserve"> פחמן </w:t>
      </w:r>
      <w:r>
        <w:rPr>
          <w:rFonts w:hint="cs"/>
          <w:sz w:val="24"/>
          <w:rtl/>
        </w:rPr>
        <w:t>במהלך האיפוס הפחמני של בריטניה כדי לספק "</w:t>
      </w:r>
      <w:r w:rsidRPr="005A1556">
        <w:rPr>
          <w:sz w:val="24"/>
          <w:rtl/>
        </w:rPr>
        <w:t>לתעשייה איתות חזק ש</w:t>
      </w:r>
      <w:r>
        <w:rPr>
          <w:rFonts w:hint="cs"/>
          <w:sz w:val="24"/>
          <w:rtl/>
        </w:rPr>
        <w:t>היא תוכל</w:t>
      </w:r>
      <w:r w:rsidRPr="005A1556">
        <w:rPr>
          <w:sz w:val="24"/>
          <w:rtl/>
        </w:rPr>
        <w:t xml:space="preserve"> להשקיע בהפחתת פחמן בבריטניה מבלי לחשוש ש</w:t>
      </w:r>
      <w:r>
        <w:rPr>
          <w:rFonts w:hint="cs"/>
          <w:sz w:val="24"/>
          <w:rtl/>
        </w:rPr>
        <w:t>הדבר יחתור תחת מאמציהם</w:t>
      </w:r>
      <w:r w:rsidRPr="005A1556">
        <w:rPr>
          <w:sz w:val="24"/>
          <w:rtl/>
        </w:rPr>
        <w:t xml:space="preserve"> </w:t>
      </w:r>
      <w:r>
        <w:rPr>
          <w:rFonts w:hint="cs"/>
          <w:sz w:val="24"/>
          <w:rtl/>
        </w:rPr>
        <w:t>בתחום הסביבה"</w:t>
      </w:r>
      <w:r>
        <w:rPr>
          <w:rStyle w:val="FootnoteReference2"/>
          <w:sz w:val="24"/>
          <w:rtl/>
        </w:rPr>
        <w:footnoteReference w:id="98"/>
      </w:r>
      <w:r>
        <w:rPr>
          <w:rFonts w:hint="cs"/>
          <w:sz w:val="24"/>
          <w:rtl/>
        </w:rPr>
        <w:t>.</w:t>
      </w:r>
    </w:p>
    <w:p w:rsidR="00F20E3F" w:rsidRPr="008D40F9" w:rsidP="008D40F9" w14:paraId="660E9CA1" w14:textId="77777777">
      <w:pPr>
        <w:pStyle w:val="7317"/>
        <w:rPr>
          <w:rtl/>
        </w:rPr>
      </w:pPr>
      <w:r w:rsidRPr="008D40F9">
        <w:rPr>
          <w:rFonts w:hint="cs"/>
          <w:rtl/>
        </w:rPr>
        <w:t>בדוח הקודם עלה כי ישראל חשופה למגבלות סחר בדמות ה-</w:t>
      </w:r>
      <w:r w:rsidRPr="008D40F9">
        <w:t>CBAM</w:t>
      </w:r>
      <w:r w:rsidRPr="008D40F9">
        <w:rPr>
          <w:rtl/>
        </w:rPr>
        <w:t xml:space="preserve"> </w:t>
      </w:r>
      <w:r w:rsidRPr="008D40F9">
        <w:rPr>
          <w:rFonts w:hint="cs"/>
          <w:rtl/>
        </w:rPr>
        <w:t xml:space="preserve">שאותו מקדם </w:t>
      </w:r>
      <w:r w:rsidRPr="008D40F9">
        <w:rPr>
          <w:rtl/>
        </w:rPr>
        <w:t xml:space="preserve">האיחוד האירופי להטלת מס פחמן בכניסה לגבולות אירופה על יבוא </w:t>
      </w:r>
      <w:r w:rsidRPr="008D40F9">
        <w:rPr>
          <w:rFonts w:hint="cs"/>
          <w:rtl/>
        </w:rPr>
        <w:t>ממד</w:t>
      </w:r>
      <w:r w:rsidRPr="008D40F9">
        <w:rPr>
          <w:rtl/>
        </w:rPr>
        <w:t>ינות שאין בהן מנגנון תמחור פחמן</w:t>
      </w:r>
      <w:r w:rsidRPr="008D40F9">
        <w:rPr>
          <w:rFonts w:hint="cs"/>
          <w:rtl/>
        </w:rPr>
        <w:t>. ביקורת המעקב העלתה שבהיעדר יישום מס פחמן ישראל חשופה ל-</w:t>
      </w:r>
      <w:r w:rsidRPr="008D40F9">
        <w:t>CBAM</w:t>
      </w:r>
      <w:r w:rsidRPr="008D40F9">
        <w:rPr>
          <w:rFonts w:hint="cs"/>
          <w:rtl/>
        </w:rPr>
        <w:t>, ו</w:t>
      </w:r>
      <w:r w:rsidRPr="008D40F9">
        <w:rPr>
          <w:rtl/>
        </w:rPr>
        <w:t xml:space="preserve">חברות ישראליות </w:t>
      </w:r>
      <w:r w:rsidRPr="008D40F9">
        <w:rPr>
          <w:rFonts w:hint="cs"/>
          <w:rtl/>
        </w:rPr>
        <w:t>יצואניות, בפרט בתחום הדשנים ואחר כך בתחום הברזל והפלדה, עלולות להיפגע בשל הדרישה לשלם מס פחמן לקופת האיחוד האירופי או למדינות אירופה על סחורות של ענפים מסוימים בתעשייה הישראלית, ובשל כך קיים פוטנציאל לפגיעה בתחרותיות</w:t>
      </w:r>
      <w:r>
        <w:rPr>
          <w:rStyle w:val="FootnoteReference2"/>
          <w:rtl/>
        </w:rPr>
        <w:footnoteReference w:id="99"/>
      </w:r>
      <w:r w:rsidRPr="008D40F9">
        <w:rPr>
          <w:rFonts w:hint="cs"/>
          <w:rtl/>
        </w:rPr>
        <w:t xml:space="preserve">. </w:t>
      </w:r>
    </w:p>
    <w:p w:rsidR="00F20E3F" w:rsidRPr="008D40F9" w:rsidP="008D40F9" w14:paraId="599BAF78" w14:textId="0EFAFEB9">
      <w:pPr>
        <w:pStyle w:val="7317"/>
        <w:rPr>
          <w:rtl/>
        </w:rPr>
      </w:pPr>
      <w:r w:rsidRPr="008D40F9">
        <w:rPr>
          <w:rFonts w:hint="cs"/>
          <w:rtl/>
        </w:rPr>
        <w:t xml:space="preserve">לצד ההמלצה שלעיל בדבר יישום החלטת הממשלה 286 והחלת מס פחמן בישראל, מוצע כי משרד האוצר עם המשרד </w:t>
      </w:r>
      <w:r w:rsidRPr="008D40F9">
        <w:rPr>
          <w:rFonts w:hint="cs"/>
          <w:rtl/>
        </w:rPr>
        <w:t>להג"ס</w:t>
      </w:r>
      <w:r w:rsidRPr="008D40F9">
        <w:rPr>
          <w:rFonts w:hint="cs"/>
          <w:rtl/>
        </w:rPr>
        <w:t xml:space="preserve">, רשות המיסים ומשרד הכלכלה ינתחו את המשמעויות הנגזרות מהמהלכים לקדם </w:t>
      </w:r>
      <w:r w:rsidRPr="008D40F9">
        <w:t>CBAM</w:t>
      </w:r>
      <w:r w:rsidRPr="008D40F9">
        <w:rPr>
          <w:rtl/>
        </w:rPr>
        <w:t xml:space="preserve"> </w:t>
      </w:r>
      <w:r w:rsidRPr="008D40F9">
        <w:rPr>
          <w:rFonts w:hint="cs"/>
          <w:rtl/>
        </w:rPr>
        <w:t>באיחוד האירופי, וכן יעקבו אחר המדיניות המתגבשת בנושא בבריטניה ובמדינות אחרות ויבחנו אם מתווה מס הפחמן בהחלטה נותן מענה לחשיפה</w:t>
      </w:r>
      <w:r w:rsidR="00482892">
        <w:rPr>
          <w:rFonts w:hint="cs"/>
          <w:rtl/>
        </w:rPr>
        <w:t xml:space="preserve"> לסיכונים</w:t>
      </w:r>
      <w:r w:rsidRPr="008D40F9">
        <w:rPr>
          <w:rFonts w:hint="cs"/>
          <w:rtl/>
        </w:rPr>
        <w:t xml:space="preserve"> של יצוא ישראלי למדינות אלו. במסגרת זו מוצע לשקול גם נקיטת אמצעים דומים בישראל שמטרתם למנוע "זליגת פחמן" לתעשיות מחוץ לישראל (בעקבות הטלת מס פחמן). </w:t>
      </w:r>
    </w:p>
    <w:p w:rsidR="00F20E3F" w:rsidP="008D40F9" w14:paraId="44A76669" w14:textId="77777777">
      <w:pPr>
        <w:pStyle w:val="7392"/>
        <w:rPr>
          <w:rtl/>
        </w:rPr>
      </w:pPr>
      <w:r>
        <w:rPr>
          <w:rtl/>
        </w:rPr>
        <w:t xml:space="preserve">משרד הכלכלה </w:t>
      </w:r>
      <w:r>
        <w:rPr>
          <w:rFonts w:hint="cs"/>
          <w:rtl/>
        </w:rPr>
        <w:t xml:space="preserve">מסר בתשובתו כי </w:t>
      </w:r>
      <w:r w:rsidRPr="00D4098D">
        <w:rPr>
          <w:rFonts w:hint="eastAsia"/>
          <w:rtl/>
        </w:rPr>
        <w:t>הוא</w:t>
      </w:r>
      <w:r>
        <w:rPr>
          <w:rFonts w:hint="cs"/>
          <w:rtl/>
        </w:rPr>
        <w:t xml:space="preserve"> </w:t>
      </w:r>
      <w:r>
        <w:rPr>
          <w:rtl/>
        </w:rPr>
        <w:t>עוקב אחר הנעשה באירופה מבחינת מס הגבולות</w:t>
      </w:r>
      <w:r>
        <w:rPr>
          <w:rFonts w:hint="cs"/>
          <w:rtl/>
        </w:rPr>
        <w:t>,</w:t>
      </w:r>
      <w:r>
        <w:rPr>
          <w:rtl/>
        </w:rPr>
        <w:t xml:space="preserve"> </w:t>
      </w:r>
      <w:r>
        <w:rPr>
          <w:rFonts w:hint="cs"/>
          <w:rtl/>
        </w:rPr>
        <w:t>והוא</w:t>
      </w:r>
      <w:r>
        <w:rPr>
          <w:rtl/>
        </w:rPr>
        <w:t xml:space="preserve"> מסייע בהעברת הידע לתעשייה, גם לגבי המס וגם לגבי דרכי התמודדות, באמצעות המרכז להתייעלות במשאבים ובשיתוף </w:t>
      </w:r>
      <w:r>
        <w:rPr>
          <w:rtl/>
        </w:rPr>
        <w:t>מינהל</w:t>
      </w:r>
      <w:r>
        <w:rPr>
          <w:rtl/>
        </w:rPr>
        <w:t xml:space="preserve"> סחר חוץ ומכון</w:t>
      </w:r>
      <w:r>
        <w:rPr>
          <w:rFonts w:hint="cs"/>
          <w:rtl/>
        </w:rPr>
        <w:t xml:space="preserve"> </w:t>
      </w:r>
      <w:r>
        <w:rPr>
          <w:rtl/>
        </w:rPr>
        <w:t>היצוא.</w:t>
      </w:r>
      <w:r>
        <w:rPr>
          <w:rFonts w:hint="cs"/>
          <w:rtl/>
        </w:rPr>
        <w:t xml:space="preserve"> עוד ציין המשרד כי הוא </w:t>
      </w:r>
      <w:r>
        <w:rPr>
          <w:rtl/>
        </w:rPr>
        <w:t>בוחן את השפעת תמחור הפחמן על מס הגבולות וכן מנגנונים אפשריים להגנה</w:t>
      </w:r>
      <w:r>
        <w:rPr>
          <w:rFonts w:hint="cs"/>
          <w:rtl/>
        </w:rPr>
        <w:t xml:space="preserve"> </w:t>
      </w:r>
      <w:r>
        <w:rPr>
          <w:rtl/>
        </w:rPr>
        <w:t>דומה לתעשייה הישראלית.</w:t>
      </w:r>
    </w:p>
    <w:p w:rsidR="00F20E3F" w:rsidP="008D40F9" w14:paraId="65109F7C" w14:textId="77777777">
      <w:pPr>
        <w:pStyle w:val="7392"/>
        <w:rPr>
          <w:rtl/>
        </w:rPr>
      </w:pPr>
      <w:r>
        <w:rPr>
          <w:rFonts w:hint="cs"/>
          <w:rtl/>
        </w:rPr>
        <w:t xml:space="preserve">משרד החוץ מסר בתשובתו למשרד מבקר המדינה מאוגוסט 2023 כי הוא פועל וממשיך להעלות את נושא מס הפחמן בפורומים שונים ולתמוך בתמחור פחמן, וכי מדובר בנושא שהאחריות לביצועו מוטלת על המשרדים הממשלתיים הרלוונטיים. </w:t>
      </w:r>
    </w:p>
    <w:p w:rsidR="00F20E3F" w:rsidRPr="008D40F9" w:rsidP="008D40F9" w14:paraId="49C353FA" w14:textId="77777777">
      <w:pPr>
        <w:pStyle w:val="7392"/>
        <w:rPr>
          <w:rtl/>
        </w:rPr>
      </w:pPr>
      <w:r w:rsidRPr="008D40F9">
        <w:rPr>
          <w:rFonts w:hint="cs"/>
          <w:rtl/>
        </w:rPr>
        <w:t xml:space="preserve">התאחדות התעשיינים מסרה בתשובתה למשרד מבקר המדינה באוגוסט 2023 כי במסגרת הנושא יש להתייחס גם </w:t>
      </w:r>
      <w:r w:rsidRPr="008D40F9">
        <w:rPr>
          <w:rtl/>
        </w:rPr>
        <w:t xml:space="preserve">להיעדר ההתקדמות במיסוד מנגנוני איזון </w:t>
      </w:r>
      <w:r w:rsidRPr="008D40F9">
        <w:rPr>
          <w:rFonts w:hint="cs"/>
          <w:rtl/>
        </w:rPr>
        <w:t>(</w:t>
      </w:r>
      <w:r w:rsidRPr="008D40F9">
        <w:rPr>
          <w:rtl/>
        </w:rPr>
        <w:t xml:space="preserve">פיצוי </w:t>
      </w:r>
      <w:r w:rsidRPr="008D40F9">
        <w:rPr>
          <w:rtl/>
        </w:rPr>
        <w:t>ותימרוץ</w:t>
      </w:r>
      <w:r w:rsidRPr="008D40F9">
        <w:rPr>
          <w:rFonts w:hint="cs"/>
          <w:rtl/>
        </w:rPr>
        <w:t>)</w:t>
      </w:r>
      <w:r w:rsidRPr="008D40F9">
        <w:rPr>
          <w:rtl/>
        </w:rPr>
        <w:t xml:space="preserve"> ראויים</w:t>
      </w:r>
      <w:r w:rsidRPr="008D40F9">
        <w:rPr>
          <w:rFonts w:hint="cs"/>
          <w:rtl/>
        </w:rPr>
        <w:t xml:space="preserve"> </w:t>
      </w:r>
      <w:r w:rsidRPr="008D40F9">
        <w:rPr>
          <w:rtl/>
        </w:rPr>
        <w:t>וגיבוש אסדרה משלימה, בדומה לנעשה במדינות אחרות בעולם. קביעת מס פחמן ללא מנגנוני איזון נאותים</w:t>
      </w:r>
      <w:r w:rsidRPr="008D40F9">
        <w:rPr>
          <w:rFonts w:hint="cs"/>
          <w:rtl/>
        </w:rPr>
        <w:t xml:space="preserve"> ת</w:t>
      </w:r>
      <w:r w:rsidRPr="008D40F9">
        <w:rPr>
          <w:rtl/>
        </w:rPr>
        <w:t>ביא</w:t>
      </w:r>
      <w:r w:rsidRPr="008D40F9">
        <w:rPr>
          <w:rFonts w:hint="cs"/>
          <w:rtl/>
        </w:rPr>
        <w:t>,</w:t>
      </w:r>
      <w:r w:rsidRPr="008D40F9">
        <w:rPr>
          <w:rtl/>
        </w:rPr>
        <w:t xml:space="preserve"> </w:t>
      </w:r>
      <w:r w:rsidRPr="008D40F9">
        <w:rPr>
          <w:rFonts w:hint="cs"/>
          <w:rtl/>
        </w:rPr>
        <w:t>לעמדת ההתאחדות,</w:t>
      </w:r>
      <w:r w:rsidRPr="008D40F9">
        <w:rPr>
          <w:rtl/>
        </w:rPr>
        <w:t xml:space="preserve"> לפגיעה</w:t>
      </w:r>
      <w:r w:rsidRPr="008D40F9">
        <w:rPr>
          <w:rFonts w:hint="cs"/>
          <w:rtl/>
        </w:rPr>
        <w:t xml:space="preserve"> </w:t>
      </w:r>
      <w:r w:rsidRPr="008D40F9">
        <w:rPr>
          <w:rtl/>
        </w:rPr>
        <w:t>חריפה בתעשייה ובמשק</w:t>
      </w:r>
      <w:r w:rsidRPr="008D40F9">
        <w:rPr>
          <w:rFonts w:hint="cs"/>
          <w:rtl/>
        </w:rPr>
        <w:t xml:space="preserve">. עוד ציינה ההתאחדות בתשובתה כי </w:t>
      </w:r>
      <w:r w:rsidRPr="008D40F9">
        <w:rPr>
          <w:rtl/>
        </w:rPr>
        <w:t xml:space="preserve">רוב המדינות </w:t>
      </w:r>
      <w:r w:rsidRPr="008D40F9">
        <w:rPr>
          <w:rFonts w:hint="cs"/>
          <w:rtl/>
        </w:rPr>
        <w:t>ש</w:t>
      </w:r>
      <w:r w:rsidRPr="008D40F9">
        <w:rPr>
          <w:rtl/>
        </w:rPr>
        <w:t>בהן קיים מיסוי</w:t>
      </w:r>
      <w:r w:rsidRPr="008D40F9">
        <w:rPr>
          <w:rFonts w:hint="cs"/>
          <w:rtl/>
        </w:rPr>
        <w:t xml:space="preserve"> או </w:t>
      </w:r>
      <w:r w:rsidRPr="008D40F9">
        <w:rPr>
          <w:rtl/>
        </w:rPr>
        <w:t>תמחור פחמן משלבות בין מיסוי פחמן למנגנוני</w:t>
      </w:r>
      <w:r w:rsidRPr="008D40F9">
        <w:rPr>
          <w:rFonts w:hint="cs"/>
          <w:rtl/>
        </w:rPr>
        <w:t xml:space="preserve"> </w:t>
      </w:r>
      <w:r w:rsidRPr="008D40F9">
        <w:rPr>
          <w:rtl/>
        </w:rPr>
        <w:t xml:space="preserve">סחר בפליטות, תוך מתן הקלות ותמיכות לפולטי פחמן קטנים </w:t>
      </w:r>
      <w:r w:rsidRPr="008D40F9">
        <w:rPr>
          <w:rFonts w:hint="cs"/>
          <w:rtl/>
        </w:rPr>
        <w:t>ו</w:t>
      </w:r>
      <w:r w:rsidRPr="008D40F9">
        <w:rPr>
          <w:rtl/>
        </w:rPr>
        <w:t>לסקטורים תעשייתיים</w:t>
      </w:r>
      <w:r w:rsidRPr="008D40F9">
        <w:rPr>
          <w:rFonts w:hint="cs"/>
          <w:rtl/>
        </w:rPr>
        <w:t xml:space="preserve"> </w:t>
      </w:r>
      <w:r w:rsidRPr="008D40F9">
        <w:rPr>
          <w:rtl/>
        </w:rPr>
        <w:t>מסוימים</w:t>
      </w:r>
      <w:r w:rsidRPr="008D40F9">
        <w:rPr>
          <w:rFonts w:hint="cs"/>
          <w:rtl/>
        </w:rPr>
        <w:t>, ו</w:t>
      </w:r>
      <w:r w:rsidRPr="008D40F9">
        <w:rPr>
          <w:rtl/>
        </w:rPr>
        <w:t xml:space="preserve">פותחו </w:t>
      </w:r>
      <w:r w:rsidRPr="008D40F9">
        <w:rPr>
          <w:rFonts w:hint="cs"/>
          <w:rtl/>
        </w:rPr>
        <w:t xml:space="preserve">בהן </w:t>
      </w:r>
      <w:r w:rsidRPr="008D40F9">
        <w:rPr>
          <w:rtl/>
        </w:rPr>
        <w:t>מנגנוני פיצוי לסקטורים תעשייתיים בגין תמחור הפחמן, במטרה למנוע</w:t>
      </w:r>
      <w:r w:rsidRPr="008D40F9">
        <w:rPr>
          <w:rFonts w:hint="cs"/>
          <w:rtl/>
        </w:rPr>
        <w:t xml:space="preserve"> </w:t>
      </w:r>
      <w:r w:rsidRPr="008D40F9">
        <w:rPr>
          <w:rtl/>
        </w:rPr>
        <w:t xml:space="preserve">זליגת פחמן ושמירה על הכושר התחרותי של התעשייה המקומית. </w:t>
      </w:r>
    </w:p>
    <w:p w:rsidR="003824AD" w:rsidRPr="006C304E" w:rsidP="003824AD" w14:paraId="236D5E97" w14:textId="77777777">
      <w:pPr>
        <w:pStyle w:val="0-"/>
        <w:rPr>
          <w:rtl/>
        </w:rPr>
      </w:pPr>
      <w:r w:rsidRPr="006C304E">
        <w:rPr>
          <w:rFonts w:hint="cs"/>
          <w:rtl/>
        </w:rPr>
        <w:t>מידת תיקון הליקוי</w:t>
      </w:r>
    </w:p>
    <w:p w:rsidR="003824AD" w:rsidRPr="006C304E" w:rsidP="00FB13B2" w14:paraId="35D29D66" w14:textId="77777777">
      <w:pPr>
        <w:spacing w:before="240" w:after="360"/>
        <w:jc w:val="center"/>
        <w:rPr>
          <w:rtl/>
        </w:rPr>
      </w:pPr>
      <w:r w:rsidRPr="006C304E">
        <w:rPr>
          <w:noProof/>
        </w:rPr>
        <w:drawing>
          <wp:inline distT="0" distB="0" distL="0" distR="0">
            <wp:extent cx="3960935" cy="740593"/>
            <wp:effectExtent l="0" t="0" r="0" b="0"/>
            <wp:docPr id="206126001" name="תמונה 206126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9613578" name="תמונה 1986381801"/>
                    <pic:cNvPicPr/>
                  </pic:nvPicPr>
                  <pic:blipFill>
                    <a:blip xmlns:r="http://schemas.openxmlformats.org/officeDocument/2006/relationships" r:embed="rId37">
                      <a:extLst>
                        <a:ext xmlns:a="http://schemas.openxmlformats.org/drawingml/2006/main" uri="{28A0092B-C50C-407E-A947-70E740481C1C}">
                          <a14:useLocalDpi xmlns:a14="http://schemas.microsoft.com/office/drawing/2010/main" val="0"/>
                        </a:ext>
                      </a:extLst>
                    </a:blip>
                    <a:stretch>
                      <a:fillRect/>
                    </a:stretch>
                  </pic:blipFill>
                  <pic:spPr>
                    <a:xfrm>
                      <a:off x="0" y="0"/>
                      <a:ext cx="4045187" cy="756346"/>
                    </a:xfrm>
                    <a:prstGeom prst="rect">
                      <a:avLst/>
                    </a:prstGeom>
                  </pic:spPr>
                </pic:pic>
              </a:graphicData>
            </a:graphic>
          </wp:inline>
        </w:drawing>
      </w:r>
    </w:p>
    <w:p w:rsidR="00F20E3F" w:rsidP="007B7A97" w14:paraId="1A704873" w14:textId="77777777">
      <w:pPr>
        <w:pStyle w:val="73414"/>
        <w:rPr>
          <w:rtl/>
        </w:rPr>
      </w:pPr>
      <w:r>
        <w:rPr>
          <w:rFonts w:hint="cs"/>
          <w:rtl/>
        </w:rPr>
        <w:t xml:space="preserve">תמריצים וסבסוד לדלקים </w:t>
      </w:r>
      <w:r>
        <w:rPr>
          <w:rFonts w:hint="cs"/>
          <w:rtl/>
        </w:rPr>
        <w:t>פוסיליים</w:t>
      </w:r>
    </w:p>
    <w:p w:rsidR="00F20E3F" w:rsidRPr="008D40F9" w:rsidP="008D40F9" w14:paraId="60982B1B" w14:textId="77777777">
      <w:pPr>
        <w:pStyle w:val="719"/>
        <w:rPr>
          <w:rtl/>
        </w:rPr>
      </w:pPr>
      <w:r w:rsidRPr="008D40F9">
        <w:rPr>
          <w:rFonts w:hint="cs"/>
          <w:rtl/>
        </w:rPr>
        <w:t xml:space="preserve">מדינת ישראל מציעה תמיכות והטבות כלכליות שונות בנוגע לדלקים </w:t>
      </w:r>
      <w:r w:rsidRPr="008D40F9">
        <w:rPr>
          <w:rFonts w:hint="cs"/>
          <w:rtl/>
        </w:rPr>
        <w:t>פוסיליים</w:t>
      </w:r>
      <w:r w:rsidRPr="008D40F9">
        <w:rPr>
          <w:rFonts w:hint="cs"/>
          <w:rtl/>
        </w:rPr>
        <w:t>. בסקירת הביצועים הסביבתיים של ארגון ה-</w:t>
      </w:r>
      <w:r w:rsidRPr="008D40F9">
        <w:rPr>
          <w:rFonts w:hint="cs"/>
        </w:rPr>
        <w:t>OECD</w:t>
      </w:r>
      <w:r w:rsidRPr="008D40F9">
        <w:rPr>
          <w:rFonts w:hint="cs"/>
          <w:rtl/>
        </w:rPr>
        <w:t xml:space="preserve"> ממאי 2023 קבע הארגון כי "</w:t>
      </w:r>
      <w:r w:rsidRPr="008D40F9">
        <w:rPr>
          <w:rtl/>
        </w:rPr>
        <w:t xml:space="preserve">סובסידיות הדלקים </w:t>
      </w:r>
      <w:r w:rsidRPr="008D40F9">
        <w:rPr>
          <w:rtl/>
        </w:rPr>
        <w:t>הפוסיליים</w:t>
      </w:r>
      <w:r w:rsidRPr="008D40F9">
        <w:rPr>
          <w:rtl/>
        </w:rPr>
        <w:t xml:space="preserve"> של ישראל גדלו בעשור</w:t>
      </w:r>
      <w:r w:rsidRPr="008D40F9">
        <w:rPr>
          <w:rFonts w:hint="cs"/>
          <w:rtl/>
        </w:rPr>
        <w:t xml:space="preserve"> </w:t>
      </w:r>
      <w:r w:rsidRPr="008D40F9">
        <w:rPr>
          <w:rtl/>
        </w:rPr>
        <w:t>שחלף. הסובסידיות מתבטאות בהחזרי מס בלו על סולר</w:t>
      </w:r>
      <w:r w:rsidRPr="008D40F9">
        <w:rPr>
          <w:rFonts w:hint="cs"/>
          <w:rtl/>
        </w:rPr>
        <w:t xml:space="preserve"> </w:t>
      </w:r>
      <w:r w:rsidRPr="008D40F9">
        <w:rPr>
          <w:rtl/>
        </w:rPr>
        <w:t>לאוטובוסים, מוניות וכמה סוגי כלי רכב אחרים לצרכנים,</w:t>
      </w:r>
      <w:r w:rsidRPr="008D40F9">
        <w:rPr>
          <w:rFonts w:hint="cs"/>
          <w:rtl/>
        </w:rPr>
        <w:t xml:space="preserve"> </w:t>
      </w:r>
      <w:r w:rsidRPr="008D40F9">
        <w:rPr>
          <w:rtl/>
        </w:rPr>
        <w:t xml:space="preserve">כמו גם בתמיכה ביצרני גז טבעי. יש </w:t>
      </w:r>
      <w:r w:rsidRPr="008D40F9">
        <w:rPr>
          <w:rtl/>
        </w:rPr>
        <w:t>לבטל בהדרגה את</w:t>
      </w:r>
      <w:r w:rsidRPr="008D40F9">
        <w:rPr>
          <w:rFonts w:hint="cs"/>
          <w:rtl/>
        </w:rPr>
        <w:t xml:space="preserve"> </w:t>
      </w:r>
      <w:r w:rsidRPr="008D40F9">
        <w:rPr>
          <w:rtl/>
        </w:rPr>
        <w:t>הסובסידיות האלה</w:t>
      </w:r>
      <w:r w:rsidRPr="008D40F9">
        <w:rPr>
          <w:rFonts w:hint="cs"/>
          <w:rtl/>
        </w:rPr>
        <w:t>"</w:t>
      </w:r>
      <w:r>
        <w:rPr>
          <w:rStyle w:val="FootnoteReference2"/>
          <w:rtl/>
        </w:rPr>
        <w:footnoteReference w:id="100"/>
      </w:r>
      <w:r w:rsidRPr="008D40F9">
        <w:rPr>
          <w:rtl/>
        </w:rPr>
        <w:t>.</w:t>
      </w:r>
      <w:r w:rsidRPr="008D40F9">
        <w:rPr>
          <w:rFonts w:hint="cs"/>
          <w:rtl/>
        </w:rPr>
        <w:t xml:space="preserve"> להלן כמה דוגמאות להטבות כלכליות בתחום הדלקים </w:t>
      </w:r>
      <w:r w:rsidRPr="008D40F9">
        <w:rPr>
          <w:rFonts w:hint="cs"/>
          <w:rtl/>
        </w:rPr>
        <w:t>הפוסיליים</w:t>
      </w:r>
      <w:r w:rsidRPr="008D40F9">
        <w:rPr>
          <w:rFonts w:hint="cs"/>
          <w:rtl/>
        </w:rPr>
        <w:t>:</w:t>
      </w:r>
    </w:p>
    <w:p w:rsidR="00F20E3F" w:rsidRPr="008D40F9" w:rsidP="00C44928" w14:paraId="48BAA803" w14:textId="77777777">
      <w:pPr>
        <w:pStyle w:val="7114"/>
        <w:numPr>
          <w:ilvl w:val="0"/>
          <w:numId w:val="33"/>
        </w:numPr>
        <w:rPr>
          <w:rtl/>
        </w:rPr>
      </w:pPr>
      <w:r w:rsidRPr="008D40F9">
        <w:rPr>
          <w:rStyle w:val="7371"/>
          <w:rFonts w:hint="eastAsia"/>
          <w:rtl/>
        </w:rPr>
        <w:t>הישבון</w:t>
      </w:r>
      <w:r w:rsidRPr="008D40F9">
        <w:rPr>
          <w:rStyle w:val="7371"/>
          <w:rtl/>
        </w:rPr>
        <w:t xml:space="preserve"> </w:t>
      </w:r>
      <w:r w:rsidRPr="008D40F9">
        <w:rPr>
          <w:rStyle w:val="7371"/>
          <w:rFonts w:hint="eastAsia"/>
          <w:rtl/>
        </w:rPr>
        <w:t>החזר</w:t>
      </w:r>
      <w:r w:rsidRPr="008D40F9">
        <w:rPr>
          <w:rStyle w:val="7371"/>
          <w:rtl/>
        </w:rPr>
        <w:t xml:space="preserve"> </w:t>
      </w:r>
      <w:r w:rsidRPr="008D40F9">
        <w:rPr>
          <w:rStyle w:val="7371"/>
          <w:rFonts w:hint="eastAsia"/>
          <w:rtl/>
        </w:rPr>
        <w:t>הבלו</w:t>
      </w:r>
      <w:r w:rsidRPr="008D40F9">
        <w:rPr>
          <w:rStyle w:val="7371"/>
          <w:rtl/>
        </w:rPr>
        <w:t xml:space="preserve"> </w:t>
      </w:r>
      <w:r w:rsidRPr="008D40F9">
        <w:rPr>
          <w:rStyle w:val="7371"/>
          <w:rFonts w:hint="eastAsia"/>
          <w:rtl/>
        </w:rPr>
        <w:t>על</w:t>
      </w:r>
      <w:r w:rsidRPr="008D40F9">
        <w:rPr>
          <w:rStyle w:val="7371"/>
          <w:rtl/>
        </w:rPr>
        <w:t xml:space="preserve"> </w:t>
      </w:r>
      <w:r w:rsidRPr="008D40F9">
        <w:rPr>
          <w:rStyle w:val="7371"/>
          <w:rFonts w:hint="eastAsia"/>
          <w:rtl/>
        </w:rPr>
        <w:t>סולר</w:t>
      </w:r>
      <w:r w:rsidRPr="008D40F9">
        <w:rPr>
          <w:rStyle w:val="7371"/>
          <w:rFonts w:hint="cs"/>
          <w:rtl/>
        </w:rPr>
        <w:t>:</w:t>
      </w:r>
      <w:r w:rsidRPr="008D40F9">
        <w:rPr>
          <w:rFonts w:hint="cs"/>
          <w:rtl/>
        </w:rPr>
        <w:t xml:space="preserve"> בישראל</w:t>
      </w:r>
      <w:r w:rsidRPr="008D40F9">
        <w:rPr>
          <w:rtl/>
        </w:rPr>
        <w:t xml:space="preserve"> קיימים מנגנונים שונים המקנים פטור או הקלה בבלו</w:t>
      </w:r>
      <w:r w:rsidRPr="008D40F9">
        <w:rPr>
          <w:rFonts w:hint="cs"/>
          <w:rtl/>
        </w:rPr>
        <w:t>. אחד ההסדרים הבולטים בהקשר זה הוא</w:t>
      </w:r>
      <w:r w:rsidRPr="008D40F9">
        <w:rPr>
          <w:rtl/>
        </w:rPr>
        <w:t xml:space="preserve"> ה</w:t>
      </w:r>
      <w:r w:rsidRPr="008D40F9">
        <w:rPr>
          <w:rFonts w:hint="cs"/>
          <w:rtl/>
        </w:rPr>
        <w:t>"</w:t>
      </w:r>
      <w:r w:rsidRPr="008D40F9">
        <w:rPr>
          <w:rtl/>
        </w:rPr>
        <w:t>הישבון</w:t>
      </w:r>
      <w:r w:rsidRPr="008D40F9">
        <w:rPr>
          <w:rFonts w:hint="cs"/>
          <w:rtl/>
        </w:rPr>
        <w:t xml:space="preserve">" אשר </w:t>
      </w:r>
      <w:r w:rsidRPr="008D40F9">
        <w:rPr>
          <w:rtl/>
        </w:rPr>
        <w:t>קובע</w:t>
      </w:r>
      <w:r w:rsidRPr="008D40F9">
        <w:rPr>
          <w:rFonts w:hint="cs"/>
          <w:rtl/>
        </w:rPr>
        <w:t xml:space="preserve"> שיעור</w:t>
      </w:r>
      <w:r w:rsidRPr="008D40F9">
        <w:rPr>
          <w:rtl/>
        </w:rPr>
        <w:t xml:space="preserve"> החזר מתשלום הבלו על סולר </w:t>
      </w:r>
      <w:r w:rsidRPr="008D40F9">
        <w:rPr>
          <w:rFonts w:hint="cs"/>
          <w:rtl/>
        </w:rPr>
        <w:t>לכמה סוגי משתמשים כמו</w:t>
      </w:r>
      <w:r w:rsidRPr="008D40F9">
        <w:rPr>
          <w:rtl/>
        </w:rPr>
        <w:t xml:space="preserve"> רכבי עבודה כבדים, מוניות,</w:t>
      </w:r>
      <w:r w:rsidRPr="008D40F9">
        <w:rPr>
          <w:rFonts w:hint="cs"/>
          <w:rtl/>
        </w:rPr>
        <w:t xml:space="preserve"> </w:t>
      </w:r>
      <w:r w:rsidRPr="008D40F9">
        <w:rPr>
          <w:rtl/>
        </w:rPr>
        <w:t xml:space="preserve">אוטובוסים, ציוד הנדסי, סירות דייג ותעשייה (במקרים </w:t>
      </w:r>
      <w:r w:rsidRPr="008D40F9">
        <w:rPr>
          <w:rFonts w:hint="cs"/>
          <w:rtl/>
        </w:rPr>
        <w:t>ש</w:t>
      </w:r>
      <w:r w:rsidRPr="008D40F9">
        <w:rPr>
          <w:rtl/>
        </w:rPr>
        <w:t>בהם הסולר משמש כחומר בעירה בייצור של המפעל).</w:t>
      </w:r>
      <w:r w:rsidRPr="008D40F9">
        <w:rPr>
          <w:rFonts w:hint="cs"/>
          <w:rtl/>
        </w:rPr>
        <w:t xml:space="preserve"> להלן שיעור </w:t>
      </w:r>
      <w:r w:rsidRPr="008D40F9">
        <w:rPr>
          <w:rFonts w:hint="cs"/>
          <w:rtl/>
        </w:rPr>
        <w:t>ההישבונים</w:t>
      </w:r>
      <w:r w:rsidRPr="008D40F9">
        <w:rPr>
          <w:rFonts w:hint="cs"/>
          <w:rtl/>
        </w:rPr>
        <w:t xml:space="preserve"> בשנים 2015 עד 2023:</w:t>
      </w:r>
    </w:p>
    <w:p w:rsidR="00F20E3F" w:rsidP="008D40F9" w14:paraId="3BCC68EF" w14:textId="77777777">
      <w:pPr>
        <w:pStyle w:val="7113"/>
        <w:ind w:left="397"/>
        <w:rPr>
          <w:rtl/>
        </w:rPr>
      </w:pPr>
      <w:r w:rsidRPr="008D40F9">
        <w:rPr>
          <w:rFonts w:hint="eastAsia"/>
          <w:b w:val="0"/>
          <w:bCs w:val="0"/>
          <w:rtl/>
        </w:rPr>
        <w:t>תרשים</w:t>
      </w:r>
      <w:r w:rsidRPr="008D40F9">
        <w:rPr>
          <w:b w:val="0"/>
          <w:bCs w:val="0"/>
          <w:rtl/>
        </w:rPr>
        <w:t xml:space="preserve"> </w:t>
      </w:r>
      <w:r w:rsidRPr="008D40F9">
        <w:rPr>
          <w:rFonts w:hint="cs"/>
          <w:b w:val="0"/>
          <w:bCs w:val="0"/>
          <w:rtl/>
        </w:rPr>
        <w:t>42</w:t>
      </w:r>
      <w:r w:rsidRPr="008D40F9">
        <w:rPr>
          <w:b w:val="0"/>
          <w:bCs w:val="0"/>
          <w:rtl/>
        </w:rPr>
        <w:t>:</w:t>
      </w:r>
      <w:r>
        <w:rPr>
          <w:rFonts w:hint="cs"/>
          <w:rtl/>
        </w:rPr>
        <w:t xml:space="preserve"> </w:t>
      </w:r>
      <w:r w:rsidRPr="00B81143">
        <w:rPr>
          <w:rFonts w:hint="cs"/>
          <w:rtl/>
        </w:rPr>
        <w:t xml:space="preserve">שיעור החזר </w:t>
      </w:r>
      <w:r>
        <w:rPr>
          <w:rFonts w:hint="cs"/>
          <w:rtl/>
        </w:rPr>
        <w:t>ה</w:t>
      </w:r>
      <w:r w:rsidRPr="00B81143">
        <w:rPr>
          <w:rFonts w:hint="cs"/>
          <w:rtl/>
        </w:rPr>
        <w:t>בלו על הסולר</w:t>
      </w:r>
      <w:r>
        <w:rPr>
          <w:rFonts w:hint="cs"/>
          <w:rtl/>
        </w:rPr>
        <w:t>,</w:t>
      </w:r>
      <w:r w:rsidRPr="00836FD4">
        <w:rPr>
          <w:rtl/>
        </w:rPr>
        <w:t xml:space="preserve"> 2015 - 2023</w:t>
      </w:r>
    </w:p>
    <w:p w:rsidR="00F20E3F" w:rsidRPr="008D40F9" w:rsidP="008D40F9" w14:paraId="2BE27D9B" w14:textId="535F1D0C">
      <w:pPr>
        <w:ind w:left="397"/>
        <w:rPr>
          <w:rtl/>
        </w:rPr>
      </w:pPr>
      <w:r>
        <w:rPr>
          <w:noProof/>
          <w:rtl/>
          <w:lang w:val="he-IL"/>
        </w:rPr>
        <w:drawing>
          <wp:inline distT="0" distB="0" distL="0" distR="0">
            <wp:extent cx="4419228" cy="3640080"/>
            <wp:effectExtent l="0" t="0" r="0" b="5080"/>
            <wp:docPr id="1426451800" name="תמונה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5588274" name="תמונה 20"/>
                    <pic:cNvPicPr/>
                  </pic:nvPicPr>
                  <pic:blipFill>
                    <a:blip xmlns:r="http://schemas.openxmlformats.org/officeDocument/2006/relationships" r:embed="rId46">
                      <a:extLst>
                        <a:ext xmlns:a="http://schemas.openxmlformats.org/drawingml/2006/main" uri="{28A0092B-C50C-407E-A947-70E740481C1C}">
                          <a14:useLocalDpi xmlns:a14="http://schemas.microsoft.com/office/drawing/2010/main" val="0"/>
                        </a:ext>
                      </a:extLst>
                    </a:blip>
                    <a:stretch>
                      <a:fillRect/>
                    </a:stretch>
                  </pic:blipFill>
                  <pic:spPr>
                    <a:xfrm>
                      <a:off x="0" y="0"/>
                      <a:ext cx="4419228" cy="3640080"/>
                    </a:xfrm>
                    <a:prstGeom prst="rect">
                      <a:avLst/>
                    </a:prstGeom>
                  </pic:spPr>
                </pic:pic>
              </a:graphicData>
            </a:graphic>
          </wp:inline>
        </w:drawing>
      </w:r>
    </w:p>
    <w:p w:rsidR="00F20E3F" w:rsidRPr="008D40F9" w:rsidP="000C327F" w14:paraId="2AF9628D" w14:textId="77777777">
      <w:pPr>
        <w:pStyle w:val="737"/>
        <w:ind w:left="397"/>
        <w:rPr>
          <w:rtl/>
        </w:rPr>
      </w:pPr>
      <w:r w:rsidRPr="008D40F9">
        <w:rPr>
          <w:rFonts w:hint="cs"/>
          <w:rtl/>
        </w:rPr>
        <w:t>על פי נתוני רשות המיסים, בעיבוד משרד מבקר המדינה.</w:t>
      </w:r>
    </w:p>
    <w:p w:rsidR="00F20E3F" w:rsidRPr="008D40F9" w:rsidP="008D40F9" w14:paraId="7251255C" w14:textId="77777777">
      <w:pPr>
        <w:pStyle w:val="7111"/>
        <w:rPr>
          <w:rtl/>
        </w:rPr>
      </w:pPr>
      <w:r w:rsidRPr="008D40F9">
        <w:rPr>
          <w:rtl/>
        </w:rPr>
        <w:t xml:space="preserve">בהתאם למתווה ביטול </w:t>
      </w:r>
      <w:r w:rsidRPr="008D40F9">
        <w:rPr>
          <w:rtl/>
        </w:rPr>
        <w:t>ההישבון</w:t>
      </w:r>
      <w:r w:rsidRPr="008D40F9">
        <w:rPr>
          <w:rtl/>
        </w:rPr>
        <w:t xml:space="preserve"> שאושר בוועדת הכספים במרץ 2018, </w:t>
      </w:r>
      <w:r w:rsidRPr="008D40F9">
        <w:rPr>
          <w:rFonts w:hint="cs"/>
          <w:rtl/>
        </w:rPr>
        <w:t xml:space="preserve">בחלק מהמקרים, למשל בבלו על סולר לאוטובוסים, מוניות ומשאיות, </w:t>
      </w:r>
      <w:r w:rsidRPr="008D40F9">
        <w:rPr>
          <w:rtl/>
        </w:rPr>
        <w:t>ההישבון</w:t>
      </w:r>
      <w:r w:rsidRPr="008D40F9">
        <w:rPr>
          <w:rFonts w:hint="cs"/>
          <w:rtl/>
        </w:rPr>
        <w:t xml:space="preserve"> יצומצם בהדרגה</w:t>
      </w:r>
      <w:r w:rsidRPr="008D40F9">
        <w:rPr>
          <w:rtl/>
        </w:rPr>
        <w:t xml:space="preserve"> לאורך </w:t>
      </w:r>
      <w:r w:rsidRPr="008D40F9">
        <w:rPr>
          <w:rtl/>
        </w:rPr>
        <w:t xml:space="preserve">השנים </w:t>
      </w:r>
      <w:r w:rsidRPr="008D40F9">
        <w:rPr>
          <w:rFonts w:hint="cs"/>
          <w:rtl/>
        </w:rPr>
        <w:t>עד לביטולו</w:t>
      </w:r>
      <w:r w:rsidRPr="008D40F9">
        <w:rPr>
          <w:rtl/>
        </w:rPr>
        <w:t xml:space="preserve"> </w:t>
      </w:r>
      <w:r w:rsidRPr="008D40F9">
        <w:rPr>
          <w:rFonts w:hint="cs"/>
          <w:rtl/>
        </w:rPr>
        <w:t>ב</w:t>
      </w:r>
      <w:r w:rsidRPr="008D40F9">
        <w:rPr>
          <w:rtl/>
        </w:rPr>
        <w:t>שנת</w:t>
      </w:r>
      <w:r w:rsidRPr="008D40F9">
        <w:rPr>
          <w:rFonts w:hint="cs"/>
          <w:rtl/>
        </w:rPr>
        <w:t xml:space="preserve"> 2026</w:t>
      </w:r>
      <w:r>
        <w:rPr>
          <w:rStyle w:val="FootnoteReference2"/>
          <w:rtl/>
        </w:rPr>
        <w:footnoteReference w:id="101"/>
      </w:r>
      <w:r w:rsidRPr="008D40F9">
        <w:rPr>
          <w:rFonts w:hint="cs"/>
          <w:rtl/>
        </w:rPr>
        <w:t xml:space="preserve">. הפחתה הדרגתית זו משתקפת בתרשים שלעיל. </w:t>
      </w:r>
      <w:r w:rsidRPr="008D40F9">
        <w:rPr>
          <w:rtl/>
        </w:rPr>
        <w:t xml:space="preserve">להלן </w:t>
      </w:r>
      <w:r w:rsidRPr="008D40F9">
        <w:rPr>
          <w:rFonts w:hint="cs"/>
          <w:rtl/>
        </w:rPr>
        <w:t>נתונים על ה</w:t>
      </w:r>
      <w:r w:rsidRPr="008D40F9">
        <w:rPr>
          <w:rtl/>
        </w:rPr>
        <w:t xml:space="preserve">החזרים </w:t>
      </w:r>
      <w:r w:rsidRPr="008D40F9">
        <w:rPr>
          <w:rFonts w:hint="cs"/>
          <w:rtl/>
        </w:rPr>
        <w:t>על הבלו</w:t>
      </w:r>
      <w:r w:rsidRPr="008D40F9">
        <w:rPr>
          <w:rtl/>
        </w:rPr>
        <w:t xml:space="preserve"> בפועל </w:t>
      </w:r>
      <w:r w:rsidRPr="008D40F9">
        <w:rPr>
          <w:rFonts w:hint="cs"/>
          <w:rtl/>
        </w:rPr>
        <w:t xml:space="preserve">משנת 2015 </w:t>
      </w:r>
      <w:r w:rsidRPr="008D40F9">
        <w:rPr>
          <w:rtl/>
        </w:rPr>
        <w:t>עד 2022 ותחזית</w:t>
      </w:r>
      <w:r w:rsidRPr="008D40F9">
        <w:rPr>
          <w:rFonts w:hint="cs"/>
          <w:rtl/>
        </w:rPr>
        <w:t xml:space="preserve"> החזרים </w:t>
      </w:r>
      <w:r w:rsidRPr="008D40F9">
        <w:rPr>
          <w:rtl/>
        </w:rPr>
        <w:t>ל</w:t>
      </w:r>
      <w:r w:rsidRPr="008D40F9">
        <w:rPr>
          <w:rFonts w:hint="cs"/>
          <w:rtl/>
        </w:rPr>
        <w:t xml:space="preserve">שנת </w:t>
      </w:r>
      <w:r w:rsidRPr="008D40F9">
        <w:rPr>
          <w:rtl/>
        </w:rPr>
        <w:t>2023</w:t>
      </w:r>
      <w:r w:rsidRPr="008D40F9">
        <w:rPr>
          <w:rFonts w:hint="cs"/>
          <w:rtl/>
        </w:rPr>
        <w:t>:</w:t>
      </w:r>
    </w:p>
    <w:p w:rsidR="00F20E3F" w:rsidRPr="008D40F9" w:rsidP="008D40F9" w14:paraId="2E131CCE" w14:textId="77777777">
      <w:pPr>
        <w:pStyle w:val="7113"/>
        <w:rPr>
          <w:rtl/>
        </w:rPr>
      </w:pPr>
      <w:r w:rsidRPr="008D40F9">
        <w:rPr>
          <w:rFonts w:hint="eastAsia"/>
          <w:b w:val="0"/>
          <w:bCs w:val="0"/>
          <w:rtl/>
        </w:rPr>
        <w:t>לוח</w:t>
      </w:r>
      <w:r w:rsidRPr="008D40F9">
        <w:rPr>
          <w:rFonts w:hint="cs"/>
          <w:b w:val="0"/>
          <w:bCs w:val="0"/>
          <w:rtl/>
        </w:rPr>
        <w:t xml:space="preserve"> 23</w:t>
      </w:r>
      <w:r w:rsidRPr="008D40F9">
        <w:rPr>
          <w:b w:val="0"/>
          <w:bCs w:val="0"/>
          <w:rtl/>
        </w:rPr>
        <w:t>:</w:t>
      </w:r>
      <w:r w:rsidRPr="008D40F9">
        <w:rPr>
          <w:rFonts w:hint="cs"/>
          <w:rtl/>
        </w:rPr>
        <w:t xml:space="preserve"> החזרים בגין הבלו על הסולר, 2015 - 2023 (במיליוני ש"ח)*</w:t>
      </w:r>
    </w:p>
    <w:tbl>
      <w:tblPr>
        <w:tblStyle w:val="TableGrid"/>
        <w:bidiVisual/>
        <w:tblW w:w="4715" w:type="pct"/>
        <w:tblInd w:w="420" w:type="dxa"/>
        <w:tblBorders>
          <w:top w:val="none" w:sz="0" w:space="0" w:color="auto"/>
          <w:left w:val="single" w:sz="4" w:space="0" w:color="000000" w:themeColor="text1"/>
          <w:bottom w:val="none" w:sz="0" w:space="0" w:color="auto"/>
          <w:right w:val="single" w:sz="4" w:space="0" w:color="000000" w:themeColor="text1"/>
          <w:insideH w:val="none" w:sz="0" w:space="0" w:color="auto"/>
          <w:insideV w:val="single" w:sz="4" w:space="0" w:color="000000" w:themeColor="text1"/>
        </w:tblBorders>
        <w:shd w:val="clear" w:color="auto" w:fill="F0F8F9"/>
        <w:tblLook w:val="04A0"/>
      </w:tblPr>
      <w:tblGrid>
        <w:gridCol w:w="2550"/>
        <w:gridCol w:w="4390"/>
      </w:tblGrid>
      <w:tr w14:paraId="61DC19EA" w14:textId="77777777" w:rsidTr="008D40F9">
        <w:tblPrEx>
          <w:tblW w:w="4715" w:type="pct"/>
          <w:tblInd w:w="420" w:type="dxa"/>
          <w:tblBorders>
            <w:top w:val="none" w:sz="0" w:space="0" w:color="auto"/>
            <w:left w:val="single" w:sz="4" w:space="0" w:color="000000" w:themeColor="text1"/>
            <w:bottom w:val="none" w:sz="0" w:space="0" w:color="auto"/>
            <w:right w:val="single" w:sz="4" w:space="0" w:color="000000" w:themeColor="text1"/>
            <w:insideH w:val="none" w:sz="0" w:space="0" w:color="auto"/>
            <w:insideV w:val="single" w:sz="4" w:space="0" w:color="000000" w:themeColor="text1"/>
          </w:tblBorders>
          <w:shd w:val="clear" w:color="auto" w:fill="F0F8F9"/>
          <w:tblLook w:val="04A0"/>
        </w:tblPrEx>
        <w:trPr>
          <w:trHeight w:val="434"/>
        </w:trPr>
        <w:tc>
          <w:tcPr>
            <w:tcW w:w="1837" w:type="pct"/>
            <w:shd w:val="clear" w:color="auto" w:fill="C8DCE4"/>
            <w:vAlign w:val="center"/>
          </w:tcPr>
          <w:p w:rsidR="00F20E3F" w:rsidRPr="008D40F9" w:rsidP="008D40F9" w14:paraId="2E44D158" w14:textId="77777777">
            <w:pPr>
              <w:pStyle w:val="73R"/>
              <w:rPr>
                <w:b/>
                <w:bCs/>
                <w:rtl/>
              </w:rPr>
            </w:pPr>
            <w:r w:rsidRPr="008D40F9">
              <w:rPr>
                <w:rFonts w:hint="cs"/>
                <w:b/>
                <w:bCs/>
                <w:rtl/>
              </w:rPr>
              <w:t>השנה</w:t>
            </w:r>
          </w:p>
        </w:tc>
        <w:tc>
          <w:tcPr>
            <w:tcW w:w="3163" w:type="pct"/>
            <w:shd w:val="clear" w:color="auto" w:fill="C8DCE4"/>
            <w:vAlign w:val="center"/>
          </w:tcPr>
          <w:p w:rsidR="00F20E3F" w:rsidRPr="008D40F9" w:rsidP="008D40F9" w14:paraId="211FF3E3" w14:textId="77777777">
            <w:pPr>
              <w:pStyle w:val="73R"/>
              <w:rPr>
                <w:b/>
                <w:bCs/>
                <w:rtl/>
              </w:rPr>
            </w:pPr>
            <w:r w:rsidRPr="008D40F9">
              <w:rPr>
                <w:rFonts w:hint="cs"/>
                <w:b/>
                <w:bCs/>
                <w:rtl/>
              </w:rPr>
              <w:t>ההחזרים על הבלו</w:t>
            </w:r>
          </w:p>
        </w:tc>
      </w:tr>
      <w:tr w14:paraId="2E99474E" w14:textId="77777777" w:rsidTr="008D40F9">
        <w:tblPrEx>
          <w:tblW w:w="4715" w:type="pct"/>
          <w:tblInd w:w="420" w:type="dxa"/>
          <w:shd w:val="clear" w:color="auto" w:fill="F0F8F9"/>
          <w:tblLook w:val="04A0"/>
        </w:tblPrEx>
        <w:tc>
          <w:tcPr>
            <w:tcW w:w="1837" w:type="pct"/>
            <w:shd w:val="clear" w:color="auto" w:fill="DFECEF"/>
          </w:tcPr>
          <w:p w:rsidR="00F20E3F" w:rsidRPr="008D40F9" w:rsidP="008D40F9" w14:paraId="53DB06AA" w14:textId="77777777">
            <w:pPr>
              <w:pStyle w:val="73R"/>
              <w:rPr>
                <w:rtl/>
              </w:rPr>
            </w:pPr>
            <w:r w:rsidRPr="008D40F9">
              <w:rPr>
                <w:rtl/>
              </w:rPr>
              <w:t xml:space="preserve">2015 </w:t>
            </w:r>
          </w:p>
        </w:tc>
        <w:tc>
          <w:tcPr>
            <w:tcW w:w="3163" w:type="pct"/>
            <w:shd w:val="clear" w:color="auto" w:fill="DFECEF"/>
          </w:tcPr>
          <w:p w:rsidR="00F20E3F" w:rsidRPr="008D40F9" w:rsidP="008D40F9" w14:paraId="149B8DBD" w14:textId="77777777">
            <w:pPr>
              <w:pStyle w:val="73R"/>
              <w:rPr>
                <w:rtl/>
              </w:rPr>
            </w:pPr>
            <w:r w:rsidRPr="008D40F9">
              <w:rPr>
                <w:rtl/>
              </w:rPr>
              <w:t>3,130</w:t>
            </w:r>
          </w:p>
        </w:tc>
      </w:tr>
      <w:tr w14:paraId="0DD5F563" w14:textId="77777777" w:rsidTr="008D40F9">
        <w:tblPrEx>
          <w:tblW w:w="4715" w:type="pct"/>
          <w:tblInd w:w="420" w:type="dxa"/>
          <w:shd w:val="clear" w:color="auto" w:fill="F0F8F9"/>
          <w:tblLook w:val="04A0"/>
        </w:tblPrEx>
        <w:tc>
          <w:tcPr>
            <w:tcW w:w="1837" w:type="pct"/>
            <w:shd w:val="clear" w:color="auto" w:fill="F0F8F9"/>
          </w:tcPr>
          <w:p w:rsidR="00F20E3F" w:rsidRPr="008D40F9" w:rsidP="008D40F9" w14:paraId="4951454A" w14:textId="77777777">
            <w:pPr>
              <w:pStyle w:val="73R"/>
              <w:rPr>
                <w:rtl/>
              </w:rPr>
            </w:pPr>
            <w:r w:rsidRPr="008D40F9">
              <w:rPr>
                <w:rtl/>
              </w:rPr>
              <w:t xml:space="preserve">2016 </w:t>
            </w:r>
          </w:p>
        </w:tc>
        <w:tc>
          <w:tcPr>
            <w:tcW w:w="3163" w:type="pct"/>
            <w:shd w:val="clear" w:color="auto" w:fill="F0F8F9"/>
          </w:tcPr>
          <w:p w:rsidR="00F20E3F" w:rsidRPr="008D40F9" w:rsidP="008D40F9" w14:paraId="4DDC0C70" w14:textId="77777777">
            <w:pPr>
              <w:pStyle w:val="73R"/>
              <w:rPr>
                <w:rtl/>
              </w:rPr>
            </w:pPr>
            <w:r w:rsidRPr="008D40F9">
              <w:rPr>
                <w:rtl/>
              </w:rPr>
              <w:t>3,293</w:t>
            </w:r>
          </w:p>
        </w:tc>
      </w:tr>
      <w:tr w14:paraId="551B7380" w14:textId="77777777" w:rsidTr="008D40F9">
        <w:tblPrEx>
          <w:tblW w:w="4715" w:type="pct"/>
          <w:tblInd w:w="420" w:type="dxa"/>
          <w:shd w:val="clear" w:color="auto" w:fill="F0F8F9"/>
          <w:tblLook w:val="04A0"/>
        </w:tblPrEx>
        <w:tc>
          <w:tcPr>
            <w:tcW w:w="1837" w:type="pct"/>
            <w:shd w:val="clear" w:color="auto" w:fill="DFECEF"/>
          </w:tcPr>
          <w:p w:rsidR="00F20E3F" w:rsidRPr="008D40F9" w:rsidP="008D40F9" w14:paraId="6433A27E" w14:textId="77777777">
            <w:pPr>
              <w:pStyle w:val="73R"/>
              <w:rPr>
                <w:rtl/>
              </w:rPr>
            </w:pPr>
            <w:r w:rsidRPr="008D40F9">
              <w:rPr>
                <w:rtl/>
              </w:rPr>
              <w:t xml:space="preserve">2017 </w:t>
            </w:r>
          </w:p>
        </w:tc>
        <w:tc>
          <w:tcPr>
            <w:tcW w:w="3163" w:type="pct"/>
            <w:shd w:val="clear" w:color="auto" w:fill="DFECEF"/>
          </w:tcPr>
          <w:p w:rsidR="00F20E3F" w:rsidRPr="008D40F9" w:rsidP="008D40F9" w14:paraId="2BED9936" w14:textId="77777777">
            <w:pPr>
              <w:pStyle w:val="73R"/>
              <w:rPr>
                <w:rtl/>
              </w:rPr>
            </w:pPr>
            <w:r w:rsidRPr="008D40F9">
              <w:rPr>
                <w:rtl/>
              </w:rPr>
              <w:t>3,430</w:t>
            </w:r>
          </w:p>
        </w:tc>
      </w:tr>
      <w:tr w14:paraId="0CC60097" w14:textId="77777777" w:rsidTr="008D40F9">
        <w:tblPrEx>
          <w:tblW w:w="4715" w:type="pct"/>
          <w:tblInd w:w="420" w:type="dxa"/>
          <w:shd w:val="clear" w:color="auto" w:fill="F0F8F9"/>
          <w:tblLook w:val="04A0"/>
        </w:tblPrEx>
        <w:tc>
          <w:tcPr>
            <w:tcW w:w="1837" w:type="pct"/>
            <w:shd w:val="clear" w:color="auto" w:fill="F0F8F9"/>
          </w:tcPr>
          <w:p w:rsidR="00F20E3F" w:rsidRPr="008D40F9" w:rsidP="008D40F9" w14:paraId="192AC8E6" w14:textId="77777777">
            <w:pPr>
              <w:pStyle w:val="73R"/>
              <w:rPr>
                <w:rtl/>
              </w:rPr>
            </w:pPr>
            <w:r w:rsidRPr="008D40F9">
              <w:rPr>
                <w:rtl/>
              </w:rPr>
              <w:t xml:space="preserve">2018 </w:t>
            </w:r>
          </w:p>
        </w:tc>
        <w:tc>
          <w:tcPr>
            <w:tcW w:w="3163" w:type="pct"/>
            <w:shd w:val="clear" w:color="auto" w:fill="F0F8F9"/>
          </w:tcPr>
          <w:p w:rsidR="00F20E3F" w:rsidRPr="008D40F9" w:rsidP="008D40F9" w14:paraId="1969D967" w14:textId="77777777">
            <w:pPr>
              <w:pStyle w:val="73R"/>
              <w:rPr>
                <w:rtl/>
              </w:rPr>
            </w:pPr>
            <w:r w:rsidRPr="008D40F9">
              <w:rPr>
                <w:rtl/>
              </w:rPr>
              <w:t>3,589</w:t>
            </w:r>
          </w:p>
        </w:tc>
      </w:tr>
      <w:tr w14:paraId="4C095298" w14:textId="77777777" w:rsidTr="008D40F9">
        <w:tblPrEx>
          <w:tblW w:w="4715" w:type="pct"/>
          <w:tblInd w:w="420" w:type="dxa"/>
          <w:shd w:val="clear" w:color="auto" w:fill="F0F8F9"/>
          <w:tblLook w:val="04A0"/>
        </w:tblPrEx>
        <w:tc>
          <w:tcPr>
            <w:tcW w:w="1837" w:type="pct"/>
            <w:shd w:val="clear" w:color="auto" w:fill="DFECEF"/>
          </w:tcPr>
          <w:p w:rsidR="00F20E3F" w:rsidRPr="008D40F9" w:rsidP="008D40F9" w14:paraId="23114EDD" w14:textId="77777777">
            <w:pPr>
              <w:pStyle w:val="73R"/>
              <w:rPr>
                <w:rtl/>
              </w:rPr>
            </w:pPr>
            <w:r w:rsidRPr="008D40F9">
              <w:rPr>
                <w:rtl/>
              </w:rPr>
              <w:t xml:space="preserve">2019 </w:t>
            </w:r>
          </w:p>
        </w:tc>
        <w:tc>
          <w:tcPr>
            <w:tcW w:w="3163" w:type="pct"/>
            <w:shd w:val="clear" w:color="auto" w:fill="DFECEF"/>
          </w:tcPr>
          <w:p w:rsidR="00F20E3F" w:rsidRPr="008D40F9" w:rsidP="008D40F9" w14:paraId="6A0B3BFD" w14:textId="77777777">
            <w:pPr>
              <w:pStyle w:val="73R"/>
              <w:rPr>
                <w:rtl/>
              </w:rPr>
            </w:pPr>
            <w:r w:rsidRPr="008D40F9">
              <w:rPr>
                <w:rtl/>
              </w:rPr>
              <w:t>3,560</w:t>
            </w:r>
          </w:p>
        </w:tc>
      </w:tr>
      <w:tr w14:paraId="4FF25F86" w14:textId="77777777" w:rsidTr="008D40F9">
        <w:tblPrEx>
          <w:tblW w:w="4715" w:type="pct"/>
          <w:tblInd w:w="420" w:type="dxa"/>
          <w:shd w:val="clear" w:color="auto" w:fill="F0F8F9"/>
          <w:tblLook w:val="04A0"/>
        </w:tblPrEx>
        <w:tc>
          <w:tcPr>
            <w:tcW w:w="1837" w:type="pct"/>
            <w:shd w:val="clear" w:color="auto" w:fill="F0F8F9"/>
          </w:tcPr>
          <w:p w:rsidR="00F20E3F" w:rsidRPr="008D40F9" w:rsidP="008D40F9" w14:paraId="1CB26A76" w14:textId="77777777">
            <w:pPr>
              <w:pStyle w:val="73R"/>
              <w:rPr>
                <w:rtl/>
              </w:rPr>
            </w:pPr>
            <w:r w:rsidRPr="008D40F9">
              <w:rPr>
                <w:rtl/>
              </w:rPr>
              <w:t xml:space="preserve">2020 </w:t>
            </w:r>
          </w:p>
        </w:tc>
        <w:tc>
          <w:tcPr>
            <w:tcW w:w="3163" w:type="pct"/>
            <w:shd w:val="clear" w:color="auto" w:fill="F0F8F9"/>
          </w:tcPr>
          <w:p w:rsidR="00F20E3F" w:rsidRPr="008D40F9" w:rsidP="008D40F9" w14:paraId="03AAF129" w14:textId="77777777">
            <w:pPr>
              <w:pStyle w:val="73R"/>
              <w:rPr>
                <w:rtl/>
              </w:rPr>
            </w:pPr>
            <w:r w:rsidRPr="008D40F9">
              <w:rPr>
                <w:rtl/>
              </w:rPr>
              <w:t>3,382</w:t>
            </w:r>
          </w:p>
        </w:tc>
      </w:tr>
      <w:tr w14:paraId="4527FEA4" w14:textId="77777777" w:rsidTr="008D40F9">
        <w:tblPrEx>
          <w:tblW w:w="4715" w:type="pct"/>
          <w:tblInd w:w="420" w:type="dxa"/>
          <w:shd w:val="clear" w:color="auto" w:fill="F0F8F9"/>
          <w:tblLook w:val="04A0"/>
        </w:tblPrEx>
        <w:tc>
          <w:tcPr>
            <w:tcW w:w="1837" w:type="pct"/>
            <w:shd w:val="clear" w:color="auto" w:fill="DFECEF"/>
          </w:tcPr>
          <w:p w:rsidR="00F20E3F" w:rsidRPr="008D40F9" w:rsidP="008D40F9" w14:paraId="20478946" w14:textId="77777777">
            <w:pPr>
              <w:pStyle w:val="73R"/>
              <w:rPr>
                <w:rtl/>
              </w:rPr>
            </w:pPr>
            <w:r w:rsidRPr="008D40F9">
              <w:rPr>
                <w:rtl/>
              </w:rPr>
              <w:t xml:space="preserve">2021 </w:t>
            </w:r>
          </w:p>
        </w:tc>
        <w:tc>
          <w:tcPr>
            <w:tcW w:w="3163" w:type="pct"/>
            <w:shd w:val="clear" w:color="auto" w:fill="DFECEF"/>
          </w:tcPr>
          <w:p w:rsidR="00F20E3F" w:rsidRPr="008D40F9" w:rsidP="008D40F9" w14:paraId="736A03FD" w14:textId="77777777">
            <w:pPr>
              <w:pStyle w:val="73R"/>
              <w:rPr>
                <w:rtl/>
              </w:rPr>
            </w:pPr>
            <w:r w:rsidRPr="008D40F9">
              <w:rPr>
                <w:rtl/>
              </w:rPr>
              <w:t>3,182</w:t>
            </w:r>
          </w:p>
        </w:tc>
      </w:tr>
      <w:tr w14:paraId="27716642" w14:textId="77777777" w:rsidTr="008D40F9">
        <w:tblPrEx>
          <w:tblW w:w="4715" w:type="pct"/>
          <w:tblInd w:w="420" w:type="dxa"/>
          <w:shd w:val="clear" w:color="auto" w:fill="F0F8F9"/>
          <w:tblLook w:val="04A0"/>
        </w:tblPrEx>
        <w:tc>
          <w:tcPr>
            <w:tcW w:w="1837" w:type="pct"/>
            <w:shd w:val="clear" w:color="auto" w:fill="F0F8F9"/>
          </w:tcPr>
          <w:p w:rsidR="00F20E3F" w:rsidRPr="008D40F9" w:rsidP="008D40F9" w14:paraId="2A60ABA0" w14:textId="77777777">
            <w:pPr>
              <w:pStyle w:val="73R"/>
              <w:rPr>
                <w:rtl/>
              </w:rPr>
            </w:pPr>
            <w:r w:rsidRPr="008D40F9">
              <w:rPr>
                <w:rtl/>
              </w:rPr>
              <w:t xml:space="preserve">2022 </w:t>
            </w:r>
          </w:p>
        </w:tc>
        <w:tc>
          <w:tcPr>
            <w:tcW w:w="3163" w:type="pct"/>
            <w:shd w:val="clear" w:color="auto" w:fill="F0F8F9"/>
          </w:tcPr>
          <w:p w:rsidR="00F20E3F" w:rsidRPr="008D40F9" w:rsidP="008D40F9" w14:paraId="59A4EEFE" w14:textId="77777777">
            <w:pPr>
              <w:pStyle w:val="73R"/>
              <w:rPr>
                <w:rtl/>
              </w:rPr>
            </w:pPr>
            <w:r w:rsidRPr="008D40F9">
              <w:rPr>
                <w:rtl/>
              </w:rPr>
              <w:t>2,808</w:t>
            </w:r>
          </w:p>
        </w:tc>
      </w:tr>
      <w:tr w14:paraId="50D374CB" w14:textId="77777777" w:rsidTr="008D40F9">
        <w:tblPrEx>
          <w:tblW w:w="4715" w:type="pct"/>
          <w:tblInd w:w="420" w:type="dxa"/>
          <w:shd w:val="clear" w:color="auto" w:fill="F0F8F9"/>
          <w:tblLook w:val="04A0"/>
        </w:tblPrEx>
        <w:tc>
          <w:tcPr>
            <w:tcW w:w="1837" w:type="pct"/>
            <w:shd w:val="clear" w:color="auto" w:fill="DFECEF"/>
          </w:tcPr>
          <w:p w:rsidR="00F20E3F" w:rsidRPr="008D40F9" w:rsidP="008D40F9" w14:paraId="446CBF9A" w14:textId="77777777">
            <w:pPr>
              <w:pStyle w:val="73R"/>
              <w:rPr>
                <w:rtl/>
              </w:rPr>
            </w:pPr>
            <w:r w:rsidRPr="008D40F9">
              <w:rPr>
                <w:rtl/>
              </w:rPr>
              <w:t>2023</w:t>
            </w:r>
            <w:r w:rsidRPr="008D40F9">
              <w:rPr>
                <w:rFonts w:hint="cs"/>
                <w:rtl/>
              </w:rPr>
              <w:t>*</w:t>
            </w:r>
            <w:r w:rsidRPr="008D40F9">
              <w:rPr>
                <w:rtl/>
              </w:rPr>
              <w:t xml:space="preserve"> </w:t>
            </w:r>
          </w:p>
        </w:tc>
        <w:tc>
          <w:tcPr>
            <w:tcW w:w="3163" w:type="pct"/>
            <w:shd w:val="clear" w:color="auto" w:fill="DFECEF"/>
          </w:tcPr>
          <w:p w:rsidR="00F20E3F" w:rsidRPr="008D40F9" w:rsidP="008D40F9" w14:paraId="1AFF57AE" w14:textId="77777777">
            <w:pPr>
              <w:pStyle w:val="73R"/>
              <w:rPr>
                <w:rtl/>
              </w:rPr>
            </w:pPr>
            <w:r w:rsidRPr="008D40F9">
              <w:rPr>
                <w:rtl/>
              </w:rPr>
              <w:t>2,300</w:t>
            </w:r>
          </w:p>
        </w:tc>
      </w:tr>
      <w:tr w14:paraId="1BB387BF" w14:textId="77777777" w:rsidTr="008D40F9">
        <w:tblPrEx>
          <w:tblW w:w="4715" w:type="pct"/>
          <w:tblInd w:w="420" w:type="dxa"/>
          <w:shd w:val="clear" w:color="auto" w:fill="F0F8F9"/>
          <w:tblLook w:val="04A0"/>
        </w:tblPrEx>
        <w:tc>
          <w:tcPr>
            <w:tcW w:w="1837" w:type="pct"/>
            <w:shd w:val="clear" w:color="auto" w:fill="F0F8F9"/>
          </w:tcPr>
          <w:p w:rsidR="00F20E3F" w:rsidRPr="008D40F9" w:rsidP="008D40F9" w14:paraId="5B346DA1" w14:textId="77777777">
            <w:pPr>
              <w:pStyle w:val="73R"/>
              <w:rPr>
                <w:b/>
                <w:bCs/>
                <w:rtl/>
              </w:rPr>
            </w:pPr>
            <w:r w:rsidRPr="008D40F9">
              <w:rPr>
                <w:rFonts w:hint="cs"/>
                <w:b/>
                <w:bCs/>
                <w:rtl/>
              </w:rPr>
              <w:t>סה"כ</w:t>
            </w:r>
          </w:p>
        </w:tc>
        <w:tc>
          <w:tcPr>
            <w:tcW w:w="3163" w:type="pct"/>
            <w:shd w:val="clear" w:color="auto" w:fill="F0F8F9"/>
          </w:tcPr>
          <w:p w:rsidR="00F20E3F" w:rsidRPr="008D40F9" w:rsidP="008D40F9" w14:paraId="055EAA2F" w14:textId="77777777">
            <w:pPr>
              <w:pStyle w:val="73R"/>
              <w:rPr>
                <w:b/>
                <w:bCs/>
                <w:rtl/>
              </w:rPr>
            </w:pPr>
            <w:r w:rsidRPr="008D40F9">
              <w:rPr>
                <w:rFonts w:hint="cs"/>
                <w:b/>
                <w:bCs/>
                <w:rtl/>
              </w:rPr>
              <w:t>28,674</w:t>
            </w:r>
          </w:p>
        </w:tc>
      </w:tr>
    </w:tbl>
    <w:p w:rsidR="00F20E3F" w:rsidRPr="008D40F9" w:rsidP="008D40F9" w14:paraId="516B667A" w14:textId="77777777">
      <w:pPr>
        <w:pStyle w:val="737"/>
        <w:spacing w:after="0"/>
        <w:ind w:left="397"/>
        <w:rPr>
          <w:rtl/>
        </w:rPr>
      </w:pPr>
      <w:r w:rsidRPr="008D40F9">
        <w:rPr>
          <w:rFonts w:hint="cs"/>
          <w:rtl/>
        </w:rPr>
        <w:t>על פי נתוני אגף הכלכלנית הראשית במשרד האוצר, בעיבוד משרד מבקר המדינה.</w:t>
      </w:r>
    </w:p>
    <w:p w:rsidR="00F20E3F" w:rsidRPr="008D40F9" w:rsidP="008D40F9" w14:paraId="20474A16" w14:textId="52CDB2F7">
      <w:pPr>
        <w:pStyle w:val="737"/>
        <w:spacing w:before="0"/>
        <w:ind w:left="707" w:hanging="310"/>
        <w:rPr>
          <w:rtl/>
        </w:rPr>
      </w:pPr>
      <w:r w:rsidRPr="008D40F9">
        <w:rPr>
          <w:rFonts w:hint="cs"/>
          <w:rtl/>
        </w:rPr>
        <w:t xml:space="preserve">* </w:t>
      </w:r>
      <w:r w:rsidR="008D40F9">
        <w:rPr>
          <w:rtl/>
        </w:rPr>
        <w:tab/>
      </w:r>
      <w:r w:rsidRPr="008D40F9">
        <w:rPr>
          <w:rFonts w:hint="cs"/>
          <w:rtl/>
        </w:rPr>
        <w:t xml:space="preserve">תחזית משרד הכלכלה. הירידה הצפויה בשל המשך יישום המתווה לביטול חלק </w:t>
      </w:r>
      <w:r w:rsidRPr="008D40F9">
        <w:rPr>
          <w:rFonts w:hint="cs"/>
          <w:rtl/>
        </w:rPr>
        <w:t>מההישבונים</w:t>
      </w:r>
      <w:r w:rsidRPr="008D40F9">
        <w:rPr>
          <w:rFonts w:hint="cs"/>
          <w:rtl/>
        </w:rPr>
        <w:t>.</w:t>
      </w:r>
    </w:p>
    <w:p w:rsidR="00F20E3F" w:rsidRPr="008D40F9" w:rsidP="008D40F9" w14:paraId="69F1F9D1" w14:textId="4C6A678F">
      <w:pPr>
        <w:pStyle w:val="739"/>
        <w:rPr>
          <w:rtl/>
        </w:rPr>
      </w:pPr>
      <w:r w:rsidRPr="008D40F9">
        <w:rPr>
          <w:rFonts w:hint="cs"/>
          <w:rtl/>
        </w:rPr>
        <w:t xml:space="preserve">מנתוני הלוח עולה כי בשנים 2015 עד 2023 נגרעו ממדינת ישראל הכנסות פוטנציאליות בסך של כמעט 30 מיליארד ש"ח בגין </w:t>
      </w:r>
      <w:r w:rsidRPr="008D40F9">
        <w:rPr>
          <w:rFonts w:hint="cs"/>
          <w:rtl/>
        </w:rPr>
        <w:t>הישבונים</w:t>
      </w:r>
      <w:r w:rsidRPr="008D40F9">
        <w:rPr>
          <w:rFonts w:hint="cs"/>
          <w:rtl/>
        </w:rPr>
        <w:t xml:space="preserve"> על הסולר. עוד עלה כי על אף מגמת ירידה מסוימת בקצב אובדן ההכנסות בשל ההפחתה ההדרגתית בשיעור </w:t>
      </w:r>
      <w:r w:rsidRPr="008D40F9">
        <w:rPr>
          <w:rFonts w:hint="cs"/>
          <w:rtl/>
        </w:rPr>
        <w:t>ההישבונים</w:t>
      </w:r>
      <w:r w:rsidRPr="008D40F9">
        <w:rPr>
          <w:rFonts w:hint="cs"/>
          <w:rtl/>
        </w:rPr>
        <w:t xml:space="preserve">, שבשנת 2023 כבר מוצתה ברובה, אובדן ההכנסות נותר גבוה בשנים 2022 עד 2023: גריעת הכנסה של 2.8 מיליארד בשנת 2022, ואובדן של 2.3 מיליארד בשנת 2023. גריעת ההכנסה תמשיך להיות משמעותית שכן המתווה לביטול </w:t>
      </w:r>
      <w:r w:rsidRPr="008D40F9">
        <w:rPr>
          <w:rFonts w:hint="cs"/>
          <w:rtl/>
        </w:rPr>
        <w:t>ההישבונים</w:t>
      </w:r>
      <w:r w:rsidRPr="008D40F9">
        <w:rPr>
          <w:rFonts w:hint="cs"/>
          <w:rtl/>
        </w:rPr>
        <w:t xml:space="preserve"> לא חל למשל על סולר למפעלי תעשייה, ציוד הנדסי, טרקטורים ורכבי עבודה </w:t>
      </w:r>
      <w:r w:rsidR="00482892">
        <w:rPr>
          <w:rFonts w:hint="cs"/>
          <w:rtl/>
        </w:rPr>
        <w:t>שמשקלם הוא</w:t>
      </w:r>
      <w:r w:rsidRPr="008D40F9">
        <w:rPr>
          <w:rFonts w:hint="cs"/>
          <w:rtl/>
        </w:rPr>
        <w:t xml:space="preserve"> יותר מ-4.5 טונה, שלהם הישבון בלו על הסולר בשיעור גדול הנע בין 45% ל-69%.</w:t>
      </w:r>
    </w:p>
    <w:p w:rsidR="00F20E3F" w:rsidRPr="00BA2A4C" w:rsidP="00C44928" w14:paraId="0309C03D" w14:textId="77777777">
      <w:pPr>
        <w:pStyle w:val="7114"/>
        <w:numPr>
          <w:ilvl w:val="0"/>
          <w:numId w:val="78"/>
        </w:numPr>
      </w:pPr>
      <w:r w:rsidRPr="008D40F9">
        <w:rPr>
          <w:rStyle w:val="7371"/>
          <w:rFonts w:hint="eastAsia"/>
          <w:rtl/>
        </w:rPr>
        <w:t>ביטול</w:t>
      </w:r>
      <w:r w:rsidRPr="008D40F9">
        <w:rPr>
          <w:rStyle w:val="7371"/>
          <w:rtl/>
        </w:rPr>
        <w:t xml:space="preserve"> </w:t>
      </w:r>
      <w:r w:rsidRPr="008D40F9">
        <w:rPr>
          <w:rStyle w:val="7371"/>
          <w:rFonts w:hint="eastAsia"/>
          <w:rtl/>
        </w:rPr>
        <w:t>הבלו</w:t>
      </w:r>
      <w:r w:rsidRPr="008D40F9">
        <w:rPr>
          <w:rStyle w:val="7371"/>
          <w:rtl/>
        </w:rPr>
        <w:t xml:space="preserve"> </w:t>
      </w:r>
      <w:r w:rsidRPr="008D40F9">
        <w:rPr>
          <w:rStyle w:val="7371"/>
          <w:rFonts w:hint="eastAsia"/>
          <w:rtl/>
        </w:rPr>
        <w:t>על</w:t>
      </w:r>
      <w:r w:rsidRPr="008D40F9">
        <w:rPr>
          <w:rStyle w:val="7371"/>
          <w:rtl/>
        </w:rPr>
        <w:t xml:space="preserve"> </w:t>
      </w:r>
      <w:r w:rsidRPr="008D40F9">
        <w:rPr>
          <w:rStyle w:val="7371"/>
          <w:rFonts w:hint="eastAsia"/>
          <w:rtl/>
        </w:rPr>
        <w:t>הפחם</w:t>
      </w:r>
      <w:r w:rsidRPr="008D40F9">
        <w:rPr>
          <w:rStyle w:val="7371"/>
          <w:rFonts w:hint="cs"/>
          <w:rtl/>
        </w:rPr>
        <w:t>:</w:t>
      </w:r>
      <w:r>
        <w:rPr>
          <w:rFonts w:hint="cs"/>
          <w:rtl/>
        </w:rPr>
        <w:t xml:space="preserve"> כאמור, במהלך שנת 2022 מחירי הפחם והגז התייקרו מאוד בשל הפלישה לאוקראינה. כחלק מתוכנית לצמצום יוקר המחיה שעליה החליטה הממשלה קבע משרד האוצר כי הוא "</w:t>
      </w:r>
      <w:r>
        <w:rPr>
          <w:rtl/>
        </w:rPr>
        <w:t xml:space="preserve">מפחית באופן חד פעמי לשנת </w:t>
      </w:r>
      <w:r w:rsidRPr="008D40F9">
        <w:rPr>
          <w:rStyle w:val="7"/>
          <w:rFonts w:eastAsiaTheme="minorHAnsi"/>
          <w:b/>
          <w:bCs w:val="0"/>
          <w:spacing w:val="0"/>
          <w:rtl/>
        </w:rPr>
        <w:t>2022 את הבלו על הפחם.</w:t>
      </w:r>
      <w:r w:rsidRPr="008D40F9">
        <w:rPr>
          <w:rStyle w:val="7"/>
          <w:rFonts w:eastAsiaTheme="minorHAnsi" w:hint="cs"/>
          <w:b/>
          <w:bCs w:val="0"/>
          <w:spacing w:val="0"/>
          <w:rtl/>
        </w:rPr>
        <w:t xml:space="preserve">.. </w:t>
      </w:r>
      <w:r w:rsidRPr="008D40F9">
        <w:rPr>
          <w:rStyle w:val="7"/>
          <w:rFonts w:eastAsiaTheme="minorHAnsi"/>
          <w:b/>
          <w:bCs w:val="0"/>
          <w:spacing w:val="0"/>
          <w:rtl/>
        </w:rPr>
        <w:t>זאת, לצד מחויבות הממשלה לגמילה משימוש בפחם וצמצום השימוש בדלקים</w:t>
      </w:r>
      <w:r>
        <w:rPr>
          <w:rtl/>
        </w:rPr>
        <w:t xml:space="preserve"> מזהמים בשנים </w:t>
      </w:r>
      <w:r>
        <w:rPr>
          <w:rtl/>
        </w:rPr>
        <w:t>הקרובות</w:t>
      </w:r>
      <w:r>
        <w:rPr>
          <w:rFonts w:hint="cs"/>
          <w:rtl/>
        </w:rPr>
        <w:t>"</w:t>
      </w:r>
      <w:r>
        <w:rPr>
          <w:rtl/>
        </w:rPr>
        <w:t>.</w:t>
      </w:r>
      <w:r>
        <w:rPr>
          <w:rFonts w:hint="cs"/>
          <w:rtl/>
        </w:rPr>
        <w:t xml:space="preserve"> </w:t>
      </w:r>
      <w:r>
        <w:rPr>
          <w:rtl/>
        </w:rPr>
        <w:t xml:space="preserve">עלות הצעד </w:t>
      </w:r>
      <w:r>
        <w:rPr>
          <w:rFonts w:hint="cs"/>
          <w:rtl/>
        </w:rPr>
        <w:t xml:space="preserve">שתוכנן לביצוע </w:t>
      </w:r>
      <w:r>
        <w:rPr>
          <w:rtl/>
        </w:rPr>
        <w:t>נאמד</w:t>
      </w:r>
      <w:r>
        <w:rPr>
          <w:rFonts w:hint="cs"/>
          <w:rtl/>
        </w:rPr>
        <w:t>ה</w:t>
      </w:r>
      <w:r>
        <w:rPr>
          <w:rtl/>
        </w:rPr>
        <w:t xml:space="preserve"> ב-600 מיליון ש</w:t>
      </w:r>
      <w:r>
        <w:rPr>
          <w:rFonts w:hint="cs"/>
          <w:rtl/>
        </w:rPr>
        <w:t>"ח לשנה</w:t>
      </w:r>
      <w:r>
        <w:rPr>
          <w:rStyle w:val="FootnoteReference2"/>
          <w:rtl/>
        </w:rPr>
        <w:footnoteReference w:id="102"/>
      </w:r>
      <w:r w:rsidRPr="00BA2A4C">
        <w:rPr>
          <w:rtl/>
        </w:rPr>
        <w:t xml:space="preserve">. </w:t>
      </w:r>
      <w:r>
        <w:rPr>
          <w:rFonts w:hint="cs"/>
          <w:rtl/>
        </w:rPr>
        <w:t>בינואר 2023</w:t>
      </w:r>
      <w:r w:rsidRPr="00BA2A4C">
        <w:rPr>
          <w:rtl/>
        </w:rPr>
        <w:t xml:space="preserve"> </w:t>
      </w:r>
      <w:r w:rsidRPr="00BA2A4C">
        <w:rPr>
          <w:rFonts w:hint="cs"/>
          <w:rtl/>
        </w:rPr>
        <w:t>פורסם</w:t>
      </w:r>
      <w:r w:rsidRPr="00BA2A4C">
        <w:rPr>
          <w:rtl/>
        </w:rPr>
        <w:t xml:space="preserve"> להתייחסות </w:t>
      </w:r>
      <w:r w:rsidRPr="00BA2A4C">
        <w:rPr>
          <w:rFonts w:hint="cs"/>
          <w:rtl/>
        </w:rPr>
        <w:t>ה</w:t>
      </w:r>
      <w:r w:rsidRPr="00BA2A4C">
        <w:rPr>
          <w:rtl/>
        </w:rPr>
        <w:t>ציבור צו חדש להארכת ביטול המס עד סוף</w:t>
      </w:r>
      <w:r>
        <w:rPr>
          <w:rFonts w:hint="cs"/>
          <w:rtl/>
        </w:rPr>
        <w:t xml:space="preserve"> שנת</w:t>
      </w:r>
      <w:r w:rsidRPr="00BA2A4C">
        <w:rPr>
          <w:rtl/>
        </w:rPr>
        <w:t xml:space="preserve"> 2023, במטרה למתן עלייה במחיר החשמל ב-2% עד סוף השנה או </w:t>
      </w:r>
      <w:r w:rsidRPr="00BA2A4C">
        <w:rPr>
          <w:rFonts w:hint="cs"/>
          <w:rtl/>
        </w:rPr>
        <w:t>להקפיא</w:t>
      </w:r>
      <w:r>
        <w:rPr>
          <w:rFonts w:hint="cs"/>
          <w:rtl/>
        </w:rPr>
        <w:t>ו</w:t>
      </w:r>
      <w:r w:rsidRPr="00BA2A4C">
        <w:rPr>
          <w:rtl/>
        </w:rPr>
        <w:t xml:space="preserve"> למשך </w:t>
      </w:r>
      <w:r>
        <w:rPr>
          <w:rFonts w:hint="cs"/>
          <w:rtl/>
        </w:rPr>
        <w:t>שלושה</w:t>
      </w:r>
      <w:r w:rsidRPr="00BA2A4C">
        <w:rPr>
          <w:rtl/>
        </w:rPr>
        <w:t xml:space="preserve"> חודשים</w:t>
      </w:r>
      <w:r>
        <w:rPr>
          <w:rFonts w:hint="cs"/>
          <w:rtl/>
        </w:rPr>
        <w:t>,</w:t>
      </w:r>
      <w:r w:rsidRPr="00FA52A1">
        <w:rPr>
          <w:rFonts w:hint="cs"/>
          <w:rtl/>
        </w:rPr>
        <w:t xml:space="preserve"> </w:t>
      </w:r>
      <w:r>
        <w:rPr>
          <w:rFonts w:hint="cs"/>
          <w:rtl/>
        </w:rPr>
        <w:t>זאת אף ש</w:t>
      </w:r>
      <w:r w:rsidRPr="00FA52A1">
        <w:rPr>
          <w:rtl/>
        </w:rPr>
        <w:t>בסוף שנת 2022 חלה ירידה במחירי הפחם העולמיים</w:t>
      </w:r>
      <w:r w:rsidRPr="00BA2A4C">
        <w:rPr>
          <w:rtl/>
        </w:rPr>
        <w:t xml:space="preserve">. הפסד הכנסות המדינה </w:t>
      </w:r>
      <w:r w:rsidRPr="00BA2A4C">
        <w:rPr>
          <w:rFonts w:hint="cs"/>
          <w:rtl/>
        </w:rPr>
        <w:t>כתוצאה מכך</w:t>
      </w:r>
      <w:r w:rsidRPr="00BA2A4C">
        <w:rPr>
          <w:rtl/>
        </w:rPr>
        <w:t xml:space="preserve"> צפוי ל</w:t>
      </w:r>
      <w:r>
        <w:rPr>
          <w:rFonts w:hint="cs"/>
          <w:rtl/>
        </w:rPr>
        <w:t>היות</w:t>
      </w:r>
      <w:r w:rsidRPr="00BA2A4C">
        <w:rPr>
          <w:rtl/>
        </w:rPr>
        <w:t xml:space="preserve"> 440 מיליון ש</w:t>
      </w:r>
      <w:r>
        <w:rPr>
          <w:rFonts w:hint="cs"/>
          <w:rtl/>
        </w:rPr>
        <w:t>"ח</w:t>
      </w:r>
      <w:r w:rsidRPr="00BA2A4C">
        <w:rPr>
          <w:rtl/>
        </w:rPr>
        <w:t>.</w:t>
      </w:r>
    </w:p>
    <w:p w:rsidR="00F20E3F" w:rsidRPr="008D40F9" w:rsidP="008D40F9" w14:paraId="28209A8F" w14:textId="77777777">
      <w:pPr>
        <w:pStyle w:val="739"/>
        <w:rPr>
          <w:rtl/>
        </w:rPr>
      </w:pPr>
      <w:r w:rsidRPr="008D40F9">
        <w:rPr>
          <w:rFonts w:hint="cs"/>
          <w:rtl/>
        </w:rPr>
        <w:t>ביטול הבלו על הפחם הביא לגריעת הכנסה של 800 מיליון ש"ח מקופת המדינה בחודשים פברואר 2022 עד מאי 2023. נתונים אלו מצטרפים לנזקים הכלכליים הנובעים מאי-סגירת היחידות הפחמיות 1 - 4 בתחנת הכוח אורות רבין בסך 5.8 מיליארד ש"ח בשנים 2022 עד 2023, הכוללים את עלויות התייקרות הפחם</w:t>
      </w:r>
      <w:r>
        <w:rPr>
          <w:vertAlign w:val="superscript"/>
          <w:rtl/>
        </w:rPr>
        <w:footnoteReference w:id="103"/>
      </w:r>
      <w:r w:rsidRPr="008D40F9">
        <w:rPr>
          <w:rFonts w:hint="cs"/>
          <w:rtl/>
        </w:rPr>
        <w:t xml:space="preserve"> המושתות על הציבור - עלויות חיצוניות שיכלו להימנע לו היו מושבתות יחידות אלו, ואת הפסד ההכנסות</w:t>
      </w:r>
      <w:r>
        <w:rPr>
          <w:vertAlign w:val="superscript"/>
          <w:rtl/>
        </w:rPr>
        <w:footnoteReference w:id="104"/>
      </w:r>
      <w:r w:rsidRPr="008D40F9">
        <w:rPr>
          <w:rFonts w:hint="cs"/>
          <w:rtl/>
        </w:rPr>
        <w:t xml:space="preserve">. </w:t>
      </w:r>
    </w:p>
    <w:p w:rsidR="00F20E3F" w:rsidP="00C44928" w14:paraId="05D634D9" w14:textId="77777777">
      <w:pPr>
        <w:pStyle w:val="7114"/>
        <w:numPr>
          <w:ilvl w:val="0"/>
          <w:numId w:val="79"/>
        </w:numPr>
        <w:rPr>
          <w:rStyle w:val="5"/>
          <w:rFonts w:eastAsiaTheme="minorHAnsi"/>
          <w:bCs w:val="0"/>
          <w:spacing w:val="0"/>
        </w:rPr>
      </w:pPr>
      <w:r w:rsidRPr="008D40F9">
        <w:rPr>
          <w:rStyle w:val="7371"/>
          <w:rFonts w:hint="eastAsia"/>
          <w:rtl/>
        </w:rPr>
        <w:t>הפחתת</w:t>
      </w:r>
      <w:r w:rsidRPr="008D40F9">
        <w:rPr>
          <w:rStyle w:val="7371"/>
          <w:rtl/>
        </w:rPr>
        <w:t xml:space="preserve"> </w:t>
      </w:r>
      <w:r w:rsidRPr="008D40F9">
        <w:rPr>
          <w:rStyle w:val="7371"/>
          <w:rFonts w:hint="eastAsia"/>
          <w:rtl/>
        </w:rPr>
        <w:t>הבלו</w:t>
      </w:r>
      <w:r w:rsidRPr="008D40F9">
        <w:rPr>
          <w:rStyle w:val="7371"/>
          <w:rtl/>
        </w:rPr>
        <w:t xml:space="preserve"> </w:t>
      </w:r>
      <w:r w:rsidRPr="008D40F9">
        <w:rPr>
          <w:rStyle w:val="7371"/>
          <w:rFonts w:hint="eastAsia"/>
          <w:rtl/>
        </w:rPr>
        <w:t>ומס</w:t>
      </w:r>
      <w:r w:rsidRPr="008D40F9">
        <w:rPr>
          <w:rStyle w:val="7371"/>
          <w:rtl/>
        </w:rPr>
        <w:t xml:space="preserve"> </w:t>
      </w:r>
      <w:r w:rsidRPr="008D40F9">
        <w:rPr>
          <w:rStyle w:val="7371"/>
          <w:rFonts w:hint="eastAsia"/>
          <w:rtl/>
        </w:rPr>
        <w:t>קני</w:t>
      </w:r>
      <w:r w:rsidRPr="008D40F9">
        <w:rPr>
          <w:rStyle w:val="7371"/>
          <w:rFonts w:hint="cs"/>
          <w:rtl/>
        </w:rPr>
        <w:t>י</w:t>
      </w:r>
      <w:r w:rsidRPr="008D40F9">
        <w:rPr>
          <w:rStyle w:val="7371"/>
          <w:rFonts w:hint="eastAsia"/>
          <w:rtl/>
        </w:rPr>
        <w:t>ה</w:t>
      </w:r>
      <w:r w:rsidRPr="008D40F9">
        <w:rPr>
          <w:rStyle w:val="7371"/>
          <w:rtl/>
        </w:rPr>
        <w:t xml:space="preserve"> </w:t>
      </w:r>
      <w:r w:rsidRPr="008D40F9">
        <w:rPr>
          <w:rStyle w:val="7371"/>
          <w:rFonts w:hint="eastAsia"/>
          <w:rtl/>
        </w:rPr>
        <w:t>על</w:t>
      </w:r>
      <w:r w:rsidRPr="008D40F9">
        <w:rPr>
          <w:rStyle w:val="7371"/>
          <w:rtl/>
        </w:rPr>
        <w:t xml:space="preserve"> </w:t>
      </w:r>
      <w:r w:rsidRPr="008D40F9">
        <w:rPr>
          <w:rStyle w:val="7371"/>
          <w:rFonts w:hint="eastAsia"/>
          <w:rtl/>
        </w:rPr>
        <w:t>בנזין</w:t>
      </w:r>
      <w:r w:rsidRPr="008D40F9">
        <w:rPr>
          <w:rStyle w:val="7371"/>
          <w:rFonts w:hint="cs"/>
          <w:rtl/>
        </w:rPr>
        <w:t>:</w:t>
      </w:r>
      <w:r w:rsidRPr="00FE1498">
        <w:rPr>
          <w:rStyle w:val="5"/>
          <w:rFonts w:eastAsiaTheme="minorHAnsi" w:hint="cs"/>
          <w:bCs w:val="0"/>
          <w:spacing w:val="0"/>
          <w:rtl/>
        </w:rPr>
        <w:t xml:space="preserve"> </w:t>
      </w:r>
      <w:r>
        <w:rPr>
          <w:rStyle w:val="5"/>
          <w:rFonts w:eastAsiaTheme="minorHAnsi" w:hint="cs"/>
          <w:bCs w:val="0"/>
          <w:spacing w:val="0"/>
          <w:rtl/>
        </w:rPr>
        <w:t>לנוכח</w:t>
      </w:r>
      <w:r w:rsidRPr="00C02E35">
        <w:rPr>
          <w:rStyle w:val="5"/>
          <w:rFonts w:eastAsiaTheme="minorHAnsi"/>
          <w:bCs w:val="0"/>
          <w:spacing w:val="0"/>
          <w:rtl/>
        </w:rPr>
        <w:t xml:space="preserve"> העלייה במחירי הדלק מאז אפריל 2022 חלות ברציפות הוראות שעה המפחיתות את מס הקני</w:t>
      </w:r>
      <w:r>
        <w:rPr>
          <w:rStyle w:val="5"/>
          <w:rFonts w:eastAsiaTheme="minorHAnsi" w:hint="cs"/>
          <w:bCs w:val="0"/>
          <w:spacing w:val="0"/>
          <w:rtl/>
        </w:rPr>
        <w:t>י</w:t>
      </w:r>
      <w:r w:rsidRPr="00C02E35">
        <w:rPr>
          <w:rStyle w:val="5"/>
          <w:rFonts w:eastAsiaTheme="minorHAnsi"/>
          <w:bCs w:val="0"/>
          <w:spacing w:val="0"/>
          <w:rtl/>
        </w:rPr>
        <w:t>ה ו</w:t>
      </w:r>
      <w:r>
        <w:rPr>
          <w:rStyle w:val="5"/>
          <w:rFonts w:eastAsiaTheme="minorHAnsi" w:hint="cs"/>
          <w:bCs w:val="0"/>
          <w:spacing w:val="0"/>
          <w:rtl/>
        </w:rPr>
        <w:t xml:space="preserve">את </w:t>
      </w:r>
      <w:r w:rsidRPr="00C02E35">
        <w:rPr>
          <w:rStyle w:val="5"/>
          <w:rFonts w:eastAsiaTheme="minorHAnsi"/>
          <w:bCs w:val="0"/>
          <w:spacing w:val="0"/>
          <w:rtl/>
        </w:rPr>
        <w:t>מס הבלו החלים על בנזין</w:t>
      </w:r>
      <w:r>
        <w:rPr>
          <w:rStyle w:val="5"/>
          <w:rFonts w:eastAsiaTheme="minorHAnsi" w:hint="cs"/>
          <w:bCs w:val="0"/>
          <w:spacing w:val="0"/>
          <w:rtl/>
        </w:rPr>
        <w:t>, שמטרתן</w:t>
      </w:r>
      <w:r w:rsidRPr="00C02E35">
        <w:rPr>
          <w:rStyle w:val="5"/>
          <w:rFonts w:eastAsiaTheme="minorHAnsi"/>
          <w:bCs w:val="0"/>
          <w:spacing w:val="0"/>
          <w:rtl/>
        </w:rPr>
        <w:t xml:space="preserve"> </w:t>
      </w:r>
      <w:r w:rsidRPr="00FE1498">
        <w:rPr>
          <w:rStyle w:val="5"/>
          <w:rFonts w:eastAsiaTheme="minorHAnsi"/>
          <w:bCs w:val="0"/>
          <w:spacing w:val="0"/>
          <w:rtl/>
        </w:rPr>
        <w:t xml:space="preserve">למתן את התייקרות </w:t>
      </w:r>
      <w:r w:rsidRPr="00203293">
        <w:rPr>
          <w:rtl/>
        </w:rPr>
        <w:t>הדלקים</w:t>
      </w:r>
      <w:r w:rsidRPr="00C02E35">
        <w:rPr>
          <w:rStyle w:val="5"/>
          <w:rFonts w:eastAsiaTheme="minorHAnsi"/>
          <w:bCs w:val="0"/>
          <w:spacing w:val="0"/>
          <w:rtl/>
        </w:rPr>
        <w:t xml:space="preserve">. </w:t>
      </w:r>
      <w:r>
        <w:rPr>
          <w:rStyle w:val="5"/>
          <w:rFonts w:eastAsiaTheme="minorHAnsi" w:hint="cs"/>
          <w:bCs w:val="0"/>
          <w:spacing w:val="0"/>
          <w:rtl/>
        </w:rPr>
        <w:t>למשל, בדצמבר 2022 הופחת</w:t>
      </w:r>
      <w:r w:rsidRPr="00FE1498">
        <w:rPr>
          <w:rStyle w:val="5"/>
          <w:rFonts w:eastAsiaTheme="minorHAnsi"/>
          <w:bCs w:val="0"/>
          <w:spacing w:val="0"/>
          <w:rtl/>
        </w:rPr>
        <w:t xml:space="preserve"> שיעור מס </w:t>
      </w:r>
      <w:r>
        <w:rPr>
          <w:rStyle w:val="5"/>
          <w:rFonts w:eastAsiaTheme="minorHAnsi" w:hint="cs"/>
          <w:bCs w:val="0"/>
          <w:spacing w:val="0"/>
          <w:rtl/>
        </w:rPr>
        <w:t>הקנייה</w:t>
      </w:r>
      <w:r w:rsidRPr="00FE1498">
        <w:rPr>
          <w:rStyle w:val="5"/>
          <w:rFonts w:eastAsiaTheme="minorHAnsi"/>
          <w:bCs w:val="0"/>
          <w:spacing w:val="0"/>
          <w:rtl/>
        </w:rPr>
        <w:t xml:space="preserve"> ומס </w:t>
      </w:r>
      <w:r>
        <w:rPr>
          <w:rStyle w:val="5"/>
          <w:rFonts w:eastAsiaTheme="minorHAnsi" w:hint="cs"/>
          <w:bCs w:val="0"/>
          <w:spacing w:val="0"/>
          <w:rtl/>
        </w:rPr>
        <w:t>הבלו</w:t>
      </w:r>
      <w:r w:rsidRPr="00FE1498">
        <w:rPr>
          <w:rStyle w:val="5"/>
          <w:rFonts w:eastAsiaTheme="minorHAnsi"/>
          <w:bCs w:val="0"/>
          <w:spacing w:val="0"/>
          <w:rtl/>
        </w:rPr>
        <w:t xml:space="preserve"> </w:t>
      </w:r>
      <w:r w:rsidRPr="00FE1498">
        <w:rPr>
          <w:rtl/>
        </w:rPr>
        <w:t>על</w:t>
      </w:r>
      <w:r w:rsidRPr="00FE1498">
        <w:rPr>
          <w:rStyle w:val="5"/>
          <w:rFonts w:eastAsiaTheme="minorHAnsi"/>
          <w:bCs w:val="0"/>
          <w:spacing w:val="0"/>
          <w:rtl/>
        </w:rPr>
        <w:t xml:space="preserve"> בנזין </w:t>
      </w:r>
      <w:r>
        <w:rPr>
          <w:rStyle w:val="5"/>
          <w:rFonts w:eastAsiaTheme="minorHAnsi" w:hint="cs"/>
          <w:bCs w:val="0"/>
          <w:spacing w:val="0"/>
          <w:rtl/>
        </w:rPr>
        <w:t>באמצעות צו שתוקפו</w:t>
      </w:r>
      <w:r w:rsidRPr="00FE1498">
        <w:rPr>
          <w:rStyle w:val="5"/>
          <w:rFonts w:eastAsiaTheme="minorHAnsi"/>
          <w:bCs w:val="0"/>
          <w:spacing w:val="0"/>
          <w:rtl/>
        </w:rPr>
        <w:t xml:space="preserve"> עד </w:t>
      </w:r>
      <w:r>
        <w:rPr>
          <w:rStyle w:val="5"/>
          <w:rFonts w:eastAsiaTheme="minorHAnsi" w:hint="cs"/>
          <w:bCs w:val="0"/>
          <w:spacing w:val="0"/>
          <w:rtl/>
        </w:rPr>
        <w:t>סוף שנה זו.</w:t>
      </w:r>
      <w:r w:rsidRPr="00C02E35">
        <w:rPr>
          <w:rStyle w:val="5"/>
          <w:rFonts w:eastAsiaTheme="minorHAnsi" w:hint="cs"/>
          <w:bCs w:val="0"/>
          <w:spacing w:val="0"/>
          <w:rtl/>
        </w:rPr>
        <w:t xml:space="preserve"> </w:t>
      </w:r>
      <w:r>
        <w:rPr>
          <w:rStyle w:val="5"/>
          <w:rFonts w:eastAsiaTheme="minorHAnsi" w:hint="cs"/>
          <w:bCs w:val="0"/>
          <w:spacing w:val="0"/>
          <w:rtl/>
        </w:rPr>
        <w:t xml:space="preserve">לפי רשות המיסים, </w:t>
      </w:r>
      <w:r w:rsidRPr="00FE1498">
        <w:rPr>
          <w:rStyle w:val="5"/>
          <w:rFonts w:eastAsiaTheme="minorHAnsi"/>
          <w:bCs w:val="0"/>
          <w:spacing w:val="0"/>
          <w:rtl/>
        </w:rPr>
        <w:t>הפסד הכנסות המדינה ממ</w:t>
      </w:r>
      <w:r>
        <w:rPr>
          <w:rStyle w:val="5"/>
          <w:rFonts w:eastAsiaTheme="minorHAnsi" w:hint="cs"/>
          <w:bCs w:val="0"/>
          <w:spacing w:val="0"/>
          <w:rtl/>
        </w:rPr>
        <w:t>י</w:t>
      </w:r>
      <w:r w:rsidRPr="00FE1498">
        <w:rPr>
          <w:rStyle w:val="5"/>
          <w:rFonts w:eastAsiaTheme="minorHAnsi"/>
          <w:bCs w:val="0"/>
          <w:spacing w:val="0"/>
          <w:rtl/>
        </w:rPr>
        <w:t>סים כתוצאה מהפחתת מס הקנייה והבלו במהלך חודש דצמבר</w:t>
      </w:r>
      <w:r>
        <w:rPr>
          <w:rStyle w:val="5"/>
          <w:rFonts w:eastAsiaTheme="minorHAnsi" w:hint="cs"/>
          <w:bCs w:val="0"/>
          <w:spacing w:val="0"/>
          <w:rtl/>
        </w:rPr>
        <w:t xml:space="preserve"> 2022 לבדו הוערך בכ-</w:t>
      </w:r>
      <w:r w:rsidRPr="00FE1498">
        <w:rPr>
          <w:rStyle w:val="5"/>
          <w:rFonts w:eastAsiaTheme="minorHAnsi"/>
          <w:bCs w:val="0"/>
          <w:spacing w:val="0"/>
          <w:rtl/>
        </w:rPr>
        <w:t xml:space="preserve">100 מיליון </w:t>
      </w:r>
      <w:r>
        <w:rPr>
          <w:rStyle w:val="5"/>
          <w:rFonts w:eastAsiaTheme="minorHAnsi" w:hint="cs"/>
          <w:bCs w:val="0"/>
          <w:spacing w:val="0"/>
          <w:rtl/>
        </w:rPr>
        <w:t>ש"ח</w:t>
      </w:r>
      <w:r w:rsidRPr="00FE1498">
        <w:rPr>
          <w:rStyle w:val="5"/>
          <w:rFonts w:eastAsiaTheme="minorHAnsi"/>
          <w:bCs w:val="0"/>
          <w:spacing w:val="0"/>
          <w:rtl/>
        </w:rPr>
        <w:t xml:space="preserve">. </w:t>
      </w:r>
    </w:p>
    <w:p w:rsidR="00F20E3F" w:rsidRPr="008D40F9" w:rsidP="008D40F9" w14:paraId="05B62B99" w14:textId="77777777">
      <w:pPr>
        <w:pStyle w:val="739"/>
        <w:rPr>
          <w:rtl/>
        </w:rPr>
      </w:pPr>
      <w:r w:rsidRPr="008D40F9">
        <w:rPr>
          <w:rFonts w:hint="cs"/>
          <w:rtl/>
        </w:rPr>
        <w:t>הפחתת שיעור הבלו על בנזין מאפריל 2022 עד סוף שנת 2023 הביאה לגריעת הכנסה מוערכת של 2.6 מיליארד ש"ח מקופת המדינה, כדלקמן: מאפריל עד דצמבר 2022 אובדן של 1.76 מיליארד ש"ח, ובשנת 2023 גריעת הכנסה המוערכת בכ-830 מיליון ש"ח.</w:t>
      </w:r>
    </w:p>
    <w:p w:rsidR="00F20E3F" w:rsidP="00C44928" w14:paraId="38B339FD" w14:textId="77777777">
      <w:pPr>
        <w:pStyle w:val="7114"/>
        <w:numPr>
          <w:ilvl w:val="0"/>
          <w:numId w:val="80"/>
        </w:numPr>
        <w:rPr>
          <w:rStyle w:val="5"/>
          <w:rFonts w:eastAsiaTheme="minorHAnsi"/>
          <w:bCs w:val="0"/>
          <w:spacing w:val="0"/>
        </w:rPr>
      </w:pPr>
      <w:r w:rsidRPr="008D40F9">
        <w:rPr>
          <w:rStyle w:val="7371"/>
          <w:rFonts w:hint="eastAsia"/>
          <w:rtl/>
        </w:rPr>
        <w:t>החזרי</w:t>
      </w:r>
      <w:r w:rsidRPr="008D40F9">
        <w:rPr>
          <w:rStyle w:val="7371"/>
          <w:rtl/>
        </w:rPr>
        <w:t xml:space="preserve"> </w:t>
      </w:r>
      <w:r w:rsidRPr="008D40F9">
        <w:rPr>
          <w:rStyle w:val="7371"/>
          <w:rFonts w:hint="eastAsia"/>
          <w:rtl/>
        </w:rPr>
        <w:t>מס</w:t>
      </w:r>
      <w:r w:rsidRPr="008D40F9">
        <w:rPr>
          <w:rStyle w:val="7371"/>
          <w:rtl/>
        </w:rPr>
        <w:t xml:space="preserve"> </w:t>
      </w:r>
      <w:r w:rsidRPr="008D40F9">
        <w:rPr>
          <w:rStyle w:val="7371"/>
          <w:rFonts w:hint="eastAsia"/>
          <w:rtl/>
        </w:rPr>
        <w:t>על</w:t>
      </w:r>
      <w:r w:rsidRPr="008D40F9">
        <w:rPr>
          <w:rStyle w:val="7371"/>
          <w:rtl/>
        </w:rPr>
        <w:t xml:space="preserve"> </w:t>
      </w:r>
      <w:r w:rsidRPr="008D40F9">
        <w:rPr>
          <w:rStyle w:val="7371"/>
          <w:rFonts w:hint="eastAsia"/>
          <w:rtl/>
        </w:rPr>
        <w:t>רכבי</w:t>
      </w:r>
      <w:r w:rsidRPr="008D40F9">
        <w:rPr>
          <w:rStyle w:val="7371"/>
          <w:rtl/>
        </w:rPr>
        <w:t xml:space="preserve"> </w:t>
      </w:r>
      <w:r w:rsidRPr="008D40F9">
        <w:rPr>
          <w:rStyle w:val="7371"/>
          <w:rFonts w:hint="eastAsia"/>
          <w:rtl/>
        </w:rPr>
        <w:t>חברה</w:t>
      </w:r>
      <w:r w:rsidRPr="008D40F9">
        <w:rPr>
          <w:rStyle w:val="7371"/>
          <w:rFonts w:hint="cs"/>
          <w:rtl/>
        </w:rPr>
        <w:t>:</w:t>
      </w:r>
      <w:r w:rsidRPr="00F85ED2">
        <w:rPr>
          <w:rStyle w:val="5"/>
          <w:rFonts w:eastAsiaTheme="minorHAnsi" w:hint="cs"/>
          <w:bCs w:val="0"/>
          <w:spacing w:val="0"/>
          <w:rtl/>
        </w:rPr>
        <w:t xml:space="preserve"> בישראל ניתן לנכות מהמס הוצאות על רכבים בבעלות חברה, לרבות בגין דלק ללא תקרה. בסקיר</w:t>
      </w:r>
      <w:r>
        <w:rPr>
          <w:rStyle w:val="5"/>
          <w:rFonts w:eastAsiaTheme="minorHAnsi" w:hint="cs"/>
          <w:bCs w:val="0"/>
          <w:spacing w:val="0"/>
          <w:rtl/>
        </w:rPr>
        <w:t>ת הביצועים</w:t>
      </w:r>
      <w:r w:rsidRPr="00F85ED2">
        <w:rPr>
          <w:rStyle w:val="5"/>
          <w:rFonts w:eastAsiaTheme="minorHAnsi" w:hint="cs"/>
          <w:bCs w:val="0"/>
          <w:spacing w:val="0"/>
          <w:rtl/>
        </w:rPr>
        <w:t xml:space="preserve"> הסביבתי</w:t>
      </w:r>
      <w:r>
        <w:rPr>
          <w:rStyle w:val="5"/>
          <w:rFonts w:eastAsiaTheme="minorHAnsi" w:hint="cs"/>
          <w:bCs w:val="0"/>
          <w:spacing w:val="0"/>
          <w:rtl/>
        </w:rPr>
        <w:t>ים</w:t>
      </w:r>
      <w:r w:rsidRPr="00F85ED2">
        <w:rPr>
          <w:rStyle w:val="5"/>
          <w:rFonts w:eastAsiaTheme="minorHAnsi" w:hint="cs"/>
          <w:bCs w:val="0"/>
          <w:spacing w:val="0"/>
          <w:rtl/>
        </w:rPr>
        <w:t xml:space="preserve"> של </w:t>
      </w:r>
      <w:r>
        <w:rPr>
          <w:rStyle w:val="5"/>
          <w:rFonts w:eastAsiaTheme="minorHAnsi" w:hint="cs"/>
          <w:bCs w:val="0"/>
          <w:spacing w:val="0"/>
          <w:rtl/>
        </w:rPr>
        <w:t xml:space="preserve">ארגון </w:t>
      </w:r>
      <w:r w:rsidRPr="00F85ED2">
        <w:rPr>
          <w:rStyle w:val="5"/>
          <w:rFonts w:eastAsiaTheme="minorHAnsi" w:hint="cs"/>
          <w:bCs w:val="0"/>
          <w:spacing w:val="0"/>
          <w:rtl/>
        </w:rPr>
        <w:t>ה-</w:t>
      </w:r>
      <w:r w:rsidRPr="00F85ED2">
        <w:rPr>
          <w:rStyle w:val="5"/>
          <w:rFonts w:eastAsiaTheme="minorHAnsi" w:hint="cs"/>
          <w:bCs w:val="0"/>
          <w:spacing w:val="0"/>
        </w:rPr>
        <w:t>OECD</w:t>
      </w:r>
      <w:r w:rsidRPr="00F85ED2">
        <w:rPr>
          <w:rStyle w:val="5"/>
          <w:rFonts w:eastAsiaTheme="minorHAnsi" w:hint="cs"/>
          <w:bCs w:val="0"/>
          <w:spacing w:val="0"/>
          <w:rtl/>
        </w:rPr>
        <w:t xml:space="preserve"> </w:t>
      </w:r>
      <w:r>
        <w:rPr>
          <w:rStyle w:val="5"/>
          <w:rFonts w:eastAsiaTheme="minorHAnsi" w:hint="cs"/>
          <w:bCs w:val="0"/>
          <w:spacing w:val="0"/>
          <w:rtl/>
        </w:rPr>
        <w:t>2023</w:t>
      </w:r>
      <w:r w:rsidRPr="00F85ED2">
        <w:rPr>
          <w:rStyle w:val="5"/>
          <w:rFonts w:eastAsiaTheme="minorHAnsi" w:hint="cs"/>
          <w:bCs w:val="0"/>
          <w:spacing w:val="0"/>
          <w:rtl/>
        </w:rPr>
        <w:t xml:space="preserve"> ציין הארגון כי המלצתו </w:t>
      </w:r>
      <w:r>
        <w:rPr>
          <w:rStyle w:val="5"/>
          <w:rFonts w:eastAsiaTheme="minorHAnsi" w:hint="cs"/>
          <w:bCs w:val="0"/>
          <w:spacing w:val="0"/>
          <w:rtl/>
        </w:rPr>
        <w:t xml:space="preserve">משנת 2011 </w:t>
      </w:r>
      <w:r w:rsidRPr="00F85ED2">
        <w:rPr>
          <w:rStyle w:val="5"/>
          <w:rFonts w:eastAsiaTheme="minorHAnsi" w:hint="cs"/>
          <w:bCs w:val="0"/>
          <w:spacing w:val="0"/>
          <w:rtl/>
        </w:rPr>
        <w:t>לבחון מחדש היבט מיסויי זה לא בוצעה</w:t>
      </w:r>
      <w:r>
        <w:rPr>
          <w:rStyle w:val="FootnoteReference2"/>
          <w:rtl/>
        </w:rPr>
        <w:footnoteReference w:id="105"/>
      </w:r>
      <w:r>
        <w:rPr>
          <w:rStyle w:val="5"/>
          <w:rFonts w:eastAsiaTheme="minorHAnsi" w:hint="cs"/>
          <w:bCs w:val="0"/>
          <w:spacing w:val="0"/>
          <w:rtl/>
        </w:rPr>
        <w:t>.</w:t>
      </w:r>
    </w:p>
    <w:p w:rsidR="00F20E3F" w:rsidP="00C44928" w14:paraId="4EC47B99" w14:textId="77777777">
      <w:pPr>
        <w:pStyle w:val="7114"/>
        <w:numPr>
          <w:ilvl w:val="0"/>
          <w:numId w:val="81"/>
        </w:numPr>
      </w:pPr>
      <w:r w:rsidRPr="008D40F9">
        <w:rPr>
          <w:rStyle w:val="7371"/>
          <w:rFonts w:hint="eastAsia"/>
          <w:rtl/>
        </w:rPr>
        <w:t>הטבות</w:t>
      </w:r>
      <w:r w:rsidRPr="008D40F9">
        <w:rPr>
          <w:rStyle w:val="7371"/>
          <w:rtl/>
        </w:rPr>
        <w:t xml:space="preserve"> </w:t>
      </w:r>
      <w:r w:rsidRPr="008D40F9">
        <w:rPr>
          <w:rStyle w:val="7371"/>
          <w:rFonts w:hint="eastAsia"/>
          <w:rtl/>
        </w:rPr>
        <w:t>מס</w:t>
      </w:r>
      <w:r w:rsidRPr="008D40F9">
        <w:rPr>
          <w:rStyle w:val="7371"/>
          <w:rtl/>
        </w:rPr>
        <w:t xml:space="preserve"> </w:t>
      </w:r>
      <w:r w:rsidRPr="008D40F9">
        <w:rPr>
          <w:rStyle w:val="7371"/>
          <w:rFonts w:hint="eastAsia"/>
          <w:rtl/>
        </w:rPr>
        <w:t>בחוק</w:t>
      </w:r>
      <w:r w:rsidRPr="008D40F9">
        <w:rPr>
          <w:rStyle w:val="7371"/>
          <w:rtl/>
        </w:rPr>
        <w:t xml:space="preserve"> </w:t>
      </w:r>
      <w:r w:rsidRPr="008D40F9">
        <w:rPr>
          <w:rStyle w:val="7371"/>
          <w:rFonts w:hint="eastAsia"/>
          <w:rtl/>
        </w:rPr>
        <w:t>הנפט</w:t>
      </w:r>
      <w:r w:rsidRPr="008D40F9">
        <w:rPr>
          <w:rStyle w:val="7371"/>
          <w:rFonts w:hint="cs"/>
          <w:rtl/>
        </w:rPr>
        <w:t>:</w:t>
      </w:r>
      <w:r>
        <w:rPr>
          <w:rFonts w:hint="cs"/>
          <w:rtl/>
        </w:rPr>
        <w:t xml:space="preserve"> </w:t>
      </w:r>
      <w:r w:rsidRPr="00FC7470">
        <w:rPr>
          <w:rtl/>
        </w:rPr>
        <w:t>חוק הנפט</w:t>
      </w:r>
      <w:r>
        <w:rPr>
          <w:rStyle w:val="FootnoteReference2"/>
          <w:rtl/>
        </w:rPr>
        <w:footnoteReference w:id="106"/>
      </w:r>
      <w:r w:rsidRPr="00FC7470">
        <w:rPr>
          <w:rtl/>
        </w:rPr>
        <w:t xml:space="preserve">, </w:t>
      </w:r>
      <w:r>
        <w:rPr>
          <w:rFonts w:hint="cs"/>
          <w:rtl/>
        </w:rPr>
        <w:t>ה</w:t>
      </w:r>
      <w:r w:rsidRPr="00FC7470">
        <w:rPr>
          <w:rtl/>
        </w:rPr>
        <w:t>תשי"ב-1952</w:t>
      </w:r>
      <w:r>
        <w:rPr>
          <w:rFonts w:hint="cs"/>
          <w:rtl/>
        </w:rPr>
        <w:t>,</w:t>
      </w:r>
      <w:r w:rsidRPr="00FC7470">
        <w:rPr>
          <w:rtl/>
        </w:rPr>
        <w:t xml:space="preserve"> </w:t>
      </w:r>
      <w:r>
        <w:rPr>
          <w:rFonts w:hint="cs"/>
          <w:rtl/>
        </w:rPr>
        <w:t xml:space="preserve">מקנה שורה של הטבות כלכליות בתחום הדלקים </w:t>
      </w:r>
      <w:r>
        <w:rPr>
          <w:rFonts w:hint="cs"/>
          <w:rtl/>
        </w:rPr>
        <w:t>הפוסיליים</w:t>
      </w:r>
      <w:r>
        <w:rPr>
          <w:rFonts w:hint="cs"/>
          <w:rtl/>
        </w:rPr>
        <w:t xml:space="preserve"> לבעלי זכות נפט: יבוא</w:t>
      </w:r>
      <w:r>
        <w:rPr>
          <w:rtl/>
        </w:rPr>
        <w:t xml:space="preserve"> ללא תשלום מכס ומס יבוא אחר</w:t>
      </w:r>
      <w:r>
        <w:rPr>
          <w:rFonts w:hint="cs"/>
          <w:rtl/>
        </w:rPr>
        <w:t xml:space="preserve"> של</w:t>
      </w:r>
      <w:r>
        <w:rPr>
          <w:rtl/>
        </w:rPr>
        <w:t xml:space="preserve"> מכונות, ציוד, מתקנים, דלק </w:t>
      </w:r>
      <w:r>
        <w:rPr>
          <w:rFonts w:hint="cs"/>
          <w:rtl/>
        </w:rPr>
        <w:t>ועוד</w:t>
      </w:r>
      <w:r>
        <w:rPr>
          <w:rtl/>
        </w:rPr>
        <w:t xml:space="preserve"> הדרושים לו למטרות נפט</w:t>
      </w:r>
      <w:r>
        <w:rPr>
          <w:rFonts w:hint="cs"/>
          <w:rtl/>
        </w:rPr>
        <w:t xml:space="preserve">; </w:t>
      </w:r>
      <w:r>
        <w:rPr>
          <w:rtl/>
        </w:rPr>
        <w:t>מכירת</w:t>
      </w:r>
      <w:r>
        <w:rPr>
          <w:rFonts w:hint="cs"/>
          <w:rtl/>
        </w:rPr>
        <w:t>ם</w:t>
      </w:r>
      <w:r>
        <w:rPr>
          <w:rtl/>
        </w:rPr>
        <w:t xml:space="preserve"> לבעל זכות נפט תהיה פטורה ממס קני</w:t>
      </w:r>
      <w:r>
        <w:rPr>
          <w:rFonts w:hint="cs"/>
          <w:rtl/>
        </w:rPr>
        <w:t>י</w:t>
      </w:r>
      <w:r>
        <w:rPr>
          <w:rtl/>
        </w:rPr>
        <w:t>ה</w:t>
      </w:r>
      <w:r>
        <w:rPr>
          <w:rFonts w:hint="cs"/>
          <w:rtl/>
        </w:rPr>
        <w:t xml:space="preserve">; החזרת הבלו על ייצור </w:t>
      </w:r>
      <w:r w:rsidRPr="0010185F">
        <w:rPr>
          <w:rtl/>
        </w:rPr>
        <w:t xml:space="preserve">מלט, דלק או צמיגים בלתי משומשים </w:t>
      </w:r>
      <w:r>
        <w:rPr>
          <w:rFonts w:hint="cs"/>
          <w:rtl/>
        </w:rPr>
        <w:t>אם היו לשימוש</w:t>
      </w:r>
      <w:r w:rsidRPr="0010185F">
        <w:rPr>
          <w:rtl/>
        </w:rPr>
        <w:t xml:space="preserve"> למטרות נפט</w:t>
      </w:r>
      <w:r>
        <w:rPr>
          <w:rFonts w:hint="cs"/>
          <w:rtl/>
        </w:rPr>
        <w:t xml:space="preserve">, ועוד. </w:t>
      </w:r>
    </w:p>
    <w:p w:rsidR="00F20E3F" w:rsidRPr="008D40F9" w:rsidP="008D40F9" w14:paraId="62C66A81" w14:textId="77777777">
      <w:pPr>
        <w:pStyle w:val="7392"/>
        <w:rPr>
          <w:rtl/>
        </w:rPr>
      </w:pPr>
      <w:r w:rsidRPr="008D40F9">
        <w:rPr>
          <w:rFonts w:hint="cs"/>
          <w:rtl/>
        </w:rPr>
        <w:t>להלן שני תרשימים של ארגון ה-</w:t>
      </w:r>
      <w:r w:rsidRPr="008D40F9">
        <w:rPr>
          <w:rFonts w:hint="cs"/>
        </w:rPr>
        <w:t>OECD</w:t>
      </w:r>
      <w:r w:rsidRPr="008D40F9">
        <w:rPr>
          <w:rFonts w:hint="cs"/>
          <w:rtl/>
        </w:rPr>
        <w:t xml:space="preserve"> עם נתונים על אודות תמיכות בדלקים </w:t>
      </w:r>
      <w:r w:rsidRPr="008D40F9">
        <w:rPr>
          <w:rFonts w:hint="cs"/>
          <w:rtl/>
        </w:rPr>
        <w:t>פוסיליים</w:t>
      </w:r>
      <w:r w:rsidRPr="008D40F9">
        <w:rPr>
          <w:rFonts w:hint="cs"/>
          <w:rtl/>
        </w:rPr>
        <w:t xml:space="preserve"> לפי סוג הדלק ותרשים בפילוח לפי סוג התמיכה (ישירה או עקיפה). על פי הארגון, תמיכות אלו מזיקות לסביבה כמזיקות סביבתית (</w:t>
      </w:r>
      <w:r w:rsidRPr="008D40F9">
        <w:t>environmentally harmful subsidies and incentives</w:t>
      </w:r>
      <w:r w:rsidRPr="008D40F9">
        <w:rPr>
          <w:rFonts w:hint="cs"/>
          <w:rtl/>
        </w:rPr>
        <w:t>)</w:t>
      </w:r>
      <w:r>
        <w:rPr>
          <w:rStyle w:val="FootnoteReference2"/>
          <w:rtl/>
        </w:rPr>
        <w:footnoteReference w:id="107"/>
      </w:r>
      <w:r w:rsidRPr="008D40F9">
        <w:rPr>
          <w:rFonts w:hint="cs"/>
          <w:rtl/>
        </w:rPr>
        <w:t xml:space="preserve">. יש להדגיש כי הנתונים המוצגים בתרשימים אלו אינם כוללים את התמיכות שניתנו בשנים 2022 עד 2023 לפחם ולבנזין: </w:t>
      </w:r>
    </w:p>
    <w:p w:rsidR="00F20E3F" w:rsidP="00AF2544" w14:paraId="61ED7F0E" w14:textId="52AD9593">
      <w:pPr>
        <w:pStyle w:val="7113"/>
        <w:rPr>
          <w:rtl/>
        </w:rPr>
      </w:pPr>
      <w:r w:rsidRPr="00AF2544">
        <w:rPr>
          <w:rFonts w:hint="eastAsia"/>
          <w:b w:val="0"/>
          <w:bCs w:val="0"/>
          <w:rtl/>
        </w:rPr>
        <w:t>תרשים</w:t>
      </w:r>
      <w:r w:rsidRPr="00AF2544">
        <w:rPr>
          <w:rFonts w:hint="cs"/>
          <w:b w:val="0"/>
          <w:bCs w:val="0"/>
          <w:rtl/>
        </w:rPr>
        <w:t xml:space="preserve"> 43</w:t>
      </w:r>
      <w:r w:rsidRPr="00AF2544">
        <w:rPr>
          <w:b w:val="0"/>
          <w:bCs w:val="0"/>
          <w:rtl/>
        </w:rPr>
        <w:t>:</w:t>
      </w:r>
      <w:r w:rsidRPr="00137017">
        <w:rPr>
          <w:rFonts w:hint="cs"/>
          <w:rtl/>
        </w:rPr>
        <w:t xml:space="preserve"> נתוני </w:t>
      </w:r>
      <w:r>
        <w:rPr>
          <w:rFonts w:hint="cs"/>
          <w:rtl/>
        </w:rPr>
        <w:t xml:space="preserve">ארגון </w:t>
      </w:r>
      <w:r w:rsidRPr="00137017">
        <w:rPr>
          <w:rFonts w:hint="cs"/>
          <w:rtl/>
        </w:rPr>
        <w:t>ה-</w:t>
      </w:r>
      <w:r w:rsidRPr="00137017">
        <w:rPr>
          <w:rFonts w:hint="cs"/>
        </w:rPr>
        <w:t>OECD</w:t>
      </w:r>
      <w:r w:rsidRPr="00137017">
        <w:rPr>
          <w:rFonts w:hint="cs"/>
          <w:rtl/>
        </w:rPr>
        <w:t xml:space="preserve"> על </w:t>
      </w:r>
      <w:r>
        <w:rPr>
          <w:rFonts w:hint="cs"/>
          <w:rtl/>
        </w:rPr>
        <w:t>ה</w:t>
      </w:r>
      <w:r w:rsidRPr="00137017">
        <w:rPr>
          <w:rtl/>
        </w:rPr>
        <w:t xml:space="preserve">תמיכה </w:t>
      </w:r>
      <w:r>
        <w:rPr>
          <w:rFonts w:hint="cs"/>
          <w:rtl/>
        </w:rPr>
        <w:t>ה</w:t>
      </w:r>
      <w:r w:rsidRPr="00137017">
        <w:rPr>
          <w:rtl/>
        </w:rPr>
        <w:t xml:space="preserve">ממשלתית </w:t>
      </w:r>
      <w:r>
        <w:rPr>
          <w:rFonts w:hint="cs"/>
          <w:rtl/>
        </w:rPr>
        <w:t xml:space="preserve">בישראל </w:t>
      </w:r>
      <w:r w:rsidRPr="00137017">
        <w:rPr>
          <w:rtl/>
        </w:rPr>
        <w:t>בדלקי</w:t>
      </w:r>
      <w:r>
        <w:rPr>
          <w:rFonts w:hint="cs"/>
          <w:rtl/>
        </w:rPr>
        <w:t>ם, לפי סוג הדלק</w:t>
      </w:r>
      <w:r w:rsidRPr="00137017">
        <w:rPr>
          <w:rtl/>
        </w:rPr>
        <w:t xml:space="preserve"> </w:t>
      </w:r>
      <w:r>
        <w:rPr>
          <w:rFonts w:hint="cs"/>
          <w:rtl/>
        </w:rPr>
        <w:t>(</w:t>
      </w:r>
      <w:r w:rsidRPr="00137017">
        <w:rPr>
          <w:rtl/>
        </w:rPr>
        <w:t>ב</w:t>
      </w:r>
      <w:r>
        <w:rPr>
          <w:rFonts w:hint="cs"/>
          <w:rtl/>
        </w:rPr>
        <w:t>מיליוני</w:t>
      </w:r>
      <w:r w:rsidRPr="00137017">
        <w:rPr>
          <w:rtl/>
        </w:rPr>
        <w:t xml:space="preserve"> </w:t>
      </w:r>
      <w:r>
        <w:rPr>
          <w:rFonts w:hint="cs"/>
          <w:rtl/>
        </w:rPr>
        <w:t>ש"ח)</w:t>
      </w:r>
    </w:p>
    <w:p w:rsidR="00F20E3F" w:rsidRPr="00AF2544" w:rsidP="00AF2544" w14:paraId="6F301B9E" w14:textId="61502C3C">
      <w:pPr>
        <w:rPr>
          <w:rtl/>
        </w:rPr>
      </w:pPr>
      <w:r>
        <w:rPr>
          <w:noProof/>
          <w:rtl/>
          <w:lang w:val="he-IL"/>
        </w:rPr>
        <w:drawing>
          <wp:inline distT="0" distB="0" distL="0" distR="0">
            <wp:extent cx="4674235" cy="3082159"/>
            <wp:effectExtent l="0" t="0" r="0" b="0"/>
            <wp:docPr id="167812417" name="תמונה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365813" name="תמונה 18"/>
                    <pic:cNvPicPr/>
                  </pic:nvPicPr>
                  <pic:blipFill>
                    <a:blip xmlns:r="http://schemas.openxmlformats.org/officeDocument/2006/relationships" r:embed="rId47">
                      <a:extLst>
                        <a:ext xmlns:a="http://schemas.openxmlformats.org/drawingml/2006/main" uri="{28A0092B-C50C-407E-A947-70E740481C1C}">
                          <a14:useLocalDpi xmlns:a14="http://schemas.microsoft.com/office/drawing/2010/main" val="0"/>
                        </a:ext>
                      </a:extLst>
                    </a:blip>
                    <a:stretch>
                      <a:fillRect/>
                    </a:stretch>
                  </pic:blipFill>
                  <pic:spPr>
                    <a:xfrm>
                      <a:off x="0" y="0"/>
                      <a:ext cx="4698842" cy="3098385"/>
                    </a:xfrm>
                    <a:prstGeom prst="rect">
                      <a:avLst/>
                    </a:prstGeom>
                  </pic:spPr>
                </pic:pic>
              </a:graphicData>
            </a:graphic>
          </wp:inline>
        </w:drawing>
      </w:r>
    </w:p>
    <w:p w:rsidR="00AF2544" w:rsidP="00AF2544" w14:paraId="26CC1776" w14:textId="77777777">
      <w:pPr>
        <w:pStyle w:val="737"/>
        <w:rPr>
          <w:rtl/>
        </w:rPr>
      </w:pPr>
      <w:r w:rsidRPr="00AF2544">
        <w:rPr>
          <w:rFonts w:hint="cs"/>
          <w:rtl/>
        </w:rPr>
        <w:t>המקור: ארגון ה-</w:t>
      </w:r>
      <w:r w:rsidRPr="00AF2544">
        <w:rPr>
          <w:rFonts w:hint="cs"/>
        </w:rPr>
        <w:t>OECD</w:t>
      </w:r>
      <w:r w:rsidRPr="00AF2544">
        <w:rPr>
          <w:rFonts w:hint="cs"/>
          <w:rtl/>
        </w:rPr>
        <w:t>.</w:t>
      </w:r>
    </w:p>
    <w:p w:rsidR="008D40F9" w:rsidRPr="008D40F9" w:rsidP="008D40F9" w14:paraId="46BC4D34" w14:textId="46750EC0">
      <w:pPr>
        <w:pStyle w:val="719"/>
        <w:rPr>
          <w:rtl/>
        </w:rPr>
      </w:pPr>
      <w:r>
        <w:rPr>
          <w:rFonts w:hint="cs"/>
          <w:rtl/>
        </w:rPr>
        <w:t xml:space="preserve">את מגמת העלייה </w:t>
      </w:r>
      <w:r w:rsidRPr="00AF2544">
        <w:rPr>
          <w:rFonts w:hint="cs"/>
          <w:rtl/>
        </w:rPr>
        <w:t>בתמיכה בדלקי מאובנים לאורך השנים ניתן לראות גם בתרשים שלהל</w:t>
      </w:r>
      <w:r>
        <w:rPr>
          <w:rFonts w:hint="cs"/>
          <w:rtl/>
        </w:rPr>
        <w:t>ן:</w:t>
      </w:r>
    </w:p>
    <w:p w:rsidR="00F20E3F" w:rsidRPr="00AF2544" w:rsidP="00AF2544" w14:paraId="3C436062" w14:textId="13C3ACE6">
      <w:pPr>
        <w:pStyle w:val="7113"/>
        <w:rPr>
          <w:rtl/>
        </w:rPr>
      </w:pPr>
      <w:r w:rsidRPr="00AF2544">
        <w:rPr>
          <w:rFonts w:hint="eastAsia"/>
          <w:b w:val="0"/>
          <w:bCs w:val="0"/>
          <w:rtl/>
        </w:rPr>
        <w:t>תרשים</w:t>
      </w:r>
      <w:r w:rsidRPr="00AF2544">
        <w:rPr>
          <w:rFonts w:hint="cs"/>
          <w:b w:val="0"/>
          <w:bCs w:val="0"/>
          <w:rtl/>
        </w:rPr>
        <w:t xml:space="preserve"> 44</w:t>
      </w:r>
      <w:r w:rsidRPr="00AF2544">
        <w:rPr>
          <w:b w:val="0"/>
          <w:bCs w:val="0"/>
          <w:rtl/>
        </w:rPr>
        <w:t>:</w:t>
      </w:r>
      <w:r w:rsidRPr="00010747">
        <w:rPr>
          <w:rFonts w:hint="cs"/>
          <w:rtl/>
        </w:rPr>
        <w:t xml:space="preserve"> נתוני</w:t>
      </w:r>
      <w:r w:rsidRPr="00137017">
        <w:rPr>
          <w:rFonts w:hint="cs"/>
          <w:rtl/>
        </w:rPr>
        <w:t xml:space="preserve"> </w:t>
      </w:r>
      <w:r>
        <w:rPr>
          <w:rFonts w:hint="cs"/>
          <w:rtl/>
        </w:rPr>
        <w:t xml:space="preserve">ארגון </w:t>
      </w:r>
      <w:r w:rsidRPr="00137017">
        <w:rPr>
          <w:rFonts w:hint="cs"/>
          <w:rtl/>
        </w:rPr>
        <w:t>ה-</w:t>
      </w:r>
      <w:r w:rsidRPr="00137017">
        <w:rPr>
          <w:rFonts w:hint="cs"/>
        </w:rPr>
        <w:t>OECD</w:t>
      </w:r>
      <w:r w:rsidRPr="00137017">
        <w:rPr>
          <w:rFonts w:hint="cs"/>
          <w:rtl/>
        </w:rPr>
        <w:t xml:space="preserve"> על </w:t>
      </w:r>
      <w:r>
        <w:rPr>
          <w:rFonts w:hint="cs"/>
          <w:rtl/>
        </w:rPr>
        <w:t>ה</w:t>
      </w:r>
      <w:r w:rsidRPr="00137017">
        <w:rPr>
          <w:rtl/>
        </w:rPr>
        <w:t xml:space="preserve">תמיכה </w:t>
      </w:r>
      <w:r>
        <w:rPr>
          <w:rFonts w:hint="cs"/>
          <w:rtl/>
        </w:rPr>
        <w:t>ה</w:t>
      </w:r>
      <w:r w:rsidRPr="00137017">
        <w:rPr>
          <w:rtl/>
        </w:rPr>
        <w:t>ממשלתית בדלקי</w:t>
      </w:r>
      <w:r>
        <w:rPr>
          <w:rFonts w:hint="cs"/>
          <w:rtl/>
        </w:rPr>
        <w:t>ם, לפי סוג התמיכה</w:t>
      </w:r>
      <w:r w:rsidRPr="00137017">
        <w:rPr>
          <w:rtl/>
        </w:rPr>
        <w:t xml:space="preserve"> </w:t>
      </w:r>
      <w:r>
        <w:rPr>
          <w:rFonts w:hint="cs"/>
          <w:rtl/>
        </w:rPr>
        <w:t>(</w:t>
      </w:r>
      <w:r w:rsidRPr="00137017">
        <w:rPr>
          <w:rtl/>
        </w:rPr>
        <w:t>במיליארדי ש"ח</w:t>
      </w:r>
      <w:r>
        <w:rPr>
          <w:rFonts w:hint="cs"/>
          <w:rtl/>
        </w:rPr>
        <w:t>)*</w:t>
      </w:r>
    </w:p>
    <w:p w:rsidR="00F20E3F" w:rsidRPr="00AF2544" w:rsidP="00AF2544" w14:paraId="7FD55402" w14:textId="7EE5915D">
      <w:pPr>
        <w:rPr>
          <w:rtl/>
        </w:rPr>
      </w:pPr>
      <w:r>
        <w:rPr>
          <w:noProof/>
          <w:rtl/>
          <w:lang w:val="he-IL"/>
        </w:rPr>
        <w:drawing>
          <wp:inline distT="0" distB="0" distL="0" distR="0">
            <wp:extent cx="4694289" cy="2355574"/>
            <wp:effectExtent l="0" t="0" r="0" b="0"/>
            <wp:docPr id="1376193586" name="תמונה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3489776" name="תמונה 19"/>
                    <pic:cNvPicPr/>
                  </pic:nvPicPr>
                  <pic:blipFill>
                    <a:blip xmlns:r="http://schemas.openxmlformats.org/officeDocument/2006/relationships" r:embed="rId48">
                      <a:extLst>
                        <a:ext xmlns:a="http://schemas.openxmlformats.org/drawingml/2006/main" uri="{28A0092B-C50C-407E-A947-70E740481C1C}">
                          <a14:useLocalDpi xmlns:a14="http://schemas.microsoft.com/office/drawing/2010/main" val="0"/>
                        </a:ext>
                      </a:extLst>
                    </a:blip>
                    <a:stretch>
                      <a:fillRect/>
                    </a:stretch>
                  </pic:blipFill>
                  <pic:spPr>
                    <a:xfrm>
                      <a:off x="0" y="0"/>
                      <a:ext cx="4695438" cy="2356151"/>
                    </a:xfrm>
                    <a:prstGeom prst="rect">
                      <a:avLst/>
                    </a:prstGeom>
                  </pic:spPr>
                </pic:pic>
              </a:graphicData>
            </a:graphic>
          </wp:inline>
        </w:drawing>
      </w:r>
    </w:p>
    <w:p w:rsidR="00F20E3F" w:rsidRPr="00AF2544" w:rsidP="008D40F9" w14:paraId="70E176DD" w14:textId="77777777">
      <w:pPr>
        <w:pStyle w:val="737"/>
        <w:spacing w:after="0"/>
        <w:rPr>
          <w:rtl/>
        </w:rPr>
      </w:pPr>
      <w:r w:rsidRPr="00AF2544">
        <w:rPr>
          <w:rFonts w:hint="cs"/>
          <w:rtl/>
        </w:rPr>
        <w:t>המקור: ארגון ה-</w:t>
      </w:r>
      <w:r w:rsidRPr="00AF2544">
        <w:rPr>
          <w:rFonts w:hint="cs"/>
        </w:rPr>
        <w:t>OECD</w:t>
      </w:r>
      <w:r w:rsidRPr="00AF2544">
        <w:rPr>
          <w:rFonts w:hint="cs"/>
          <w:rtl/>
        </w:rPr>
        <w:t>.</w:t>
      </w:r>
    </w:p>
    <w:p w:rsidR="00F20E3F" w:rsidRPr="00AF2544" w:rsidP="008D40F9" w14:paraId="1499F8D2" w14:textId="3C923C5D">
      <w:pPr>
        <w:pStyle w:val="737"/>
        <w:spacing w:before="0" w:after="0"/>
        <w:ind w:left="424" w:hanging="424"/>
        <w:rPr>
          <w:rtl/>
        </w:rPr>
      </w:pPr>
      <w:r w:rsidRPr="00AF2544">
        <w:rPr>
          <w:rFonts w:hint="cs"/>
          <w:rtl/>
        </w:rPr>
        <w:t xml:space="preserve">* </w:t>
      </w:r>
      <w:r w:rsidR="008D40F9">
        <w:rPr>
          <w:rtl/>
        </w:rPr>
        <w:tab/>
      </w:r>
      <w:r w:rsidRPr="00523140" w:rsidR="00523140">
        <w:rPr>
          <w:rtl/>
        </w:rPr>
        <w:t>נתוני שנת 2020 הושפעו ממגפת הקורונה</w:t>
      </w:r>
      <w:r w:rsidRPr="00AF2544">
        <w:rPr>
          <w:rFonts w:hint="cs"/>
          <w:rtl/>
        </w:rPr>
        <w:t xml:space="preserve">. </w:t>
      </w:r>
    </w:p>
    <w:p w:rsidR="00F20E3F" w:rsidRPr="00AF2544" w:rsidP="008D40F9" w14:paraId="71EB3F91" w14:textId="551E8BA2">
      <w:pPr>
        <w:pStyle w:val="737"/>
        <w:spacing w:before="0" w:after="0"/>
        <w:ind w:left="424" w:hanging="424"/>
        <w:rPr>
          <w:rtl/>
        </w:rPr>
      </w:pPr>
      <w:r w:rsidRPr="00AF2544">
        <w:rPr>
          <w:rFonts w:hint="cs"/>
          <w:rtl/>
        </w:rPr>
        <w:t xml:space="preserve">** </w:t>
      </w:r>
      <w:r w:rsidR="008D40F9">
        <w:rPr>
          <w:rtl/>
        </w:rPr>
        <w:tab/>
      </w:r>
      <w:r w:rsidRPr="00AF2544">
        <w:rPr>
          <w:rFonts w:hint="cs"/>
          <w:rtl/>
        </w:rPr>
        <w:t xml:space="preserve">העברות ישירות הן סכום שניתן </w:t>
      </w:r>
      <w:r w:rsidRPr="00AF2544">
        <w:rPr>
          <w:rFonts w:hint="cs"/>
          <w:rtl/>
        </w:rPr>
        <w:t>לחח"י</w:t>
      </w:r>
      <w:r w:rsidRPr="00AF2544">
        <w:rPr>
          <w:rFonts w:hint="cs"/>
          <w:rtl/>
        </w:rPr>
        <w:t xml:space="preserve"> </w:t>
      </w:r>
      <w:r w:rsidRPr="00AF2544">
        <w:rPr>
          <w:rtl/>
        </w:rPr>
        <w:t xml:space="preserve">להתאמת המפעלים לשימוש בגז טבעי כמקור </w:t>
      </w:r>
      <w:r w:rsidRPr="00AF2544">
        <w:rPr>
          <w:rtl/>
        </w:rPr>
        <w:t>אנרגייה</w:t>
      </w:r>
      <w:r w:rsidRPr="00AF2544">
        <w:rPr>
          <w:rFonts w:hint="cs"/>
          <w:rtl/>
        </w:rPr>
        <w:t xml:space="preserve"> וגם דרך הסכמי הגז מ</w:t>
      </w:r>
      <w:r w:rsidRPr="00AF2544">
        <w:rPr>
          <w:rtl/>
        </w:rPr>
        <w:t xml:space="preserve">שנת 2012 </w:t>
      </w:r>
      <w:r w:rsidRPr="00AF2544">
        <w:rPr>
          <w:rFonts w:hint="cs"/>
          <w:rtl/>
        </w:rPr>
        <w:t>עם</w:t>
      </w:r>
      <w:r w:rsidRPr="00AF2544">
        <w:rPr>
          <w:rtl/>
        </w:rPr>
        <w:t xml:space="preserve"> שדה גז תמר (תמר) </w:t>
      </w:r>
      <w:r w:rsidRPr="00AF2544">
        <w:rPr>
          <w:rFonts w:hint="cs"/>
          <w:rtl/>
        </w:rPr>
        <w:t xml:space="preserve">ולפיהם </w:t>
      </w:r>
      <w:r w:rsidRPr="00AF2544">
        <w:rPr>
          <w:rFonts w:hint="cs"/>
          <w:rtl/>
        </w:rPr>
        <w:t>חח"י</w:t>
      </w:r>
      <w:r w:rsidRPr="00AF2544">
        <w:rPr>
          <w:rtl/>
        </w:rPr>
        <w:t xml:space="preserve"> </w:t>
      </w:r>
      <w:r w:rsidRPr="00AF2544">
        <w:rPr>
          <w:rFonts w:hint="cs"/>
          <w:rtl/>
        </w:rPr>
        <w:t>ת</w:t>
      </w:r>
      <w:r w:rsidRPr="00AF2544">
        <w:rPr>
          <w:rtl/>
        </w:rPr>
        <w:t>רכוש גז טבעי מפרויקט תמר</w:t>
      </w:r>
      <w:r w:rsidRPr="00AF2544">
        <w:rPr>
          <w:rFonts w:hint="cs"/>
          <w:rtl/>
        </w:rPr>
        <w:t xml:space="preserve"> </w:t>
      </w:r>
      <w:r w:rsidRPr="00AF2544">
        <w:rPr>
          <w:rtl/>
        </w:rPr>
        <w:t xml:space="preserve">על פני 15 שנה מתחילת יצוא גז מפרויקט תמר, או עד </w:t>
      </w:r>
      <w:r w:rsidRPr="00AF2544">
        <w:rPr>
          <w:rtl/>
        </w:rPr>
        <w:t>שח</w:t>
      </w:r>
      <w:r w:rsidRPr="00AF2544">
        <w:rPr>
          <w:rFonts w:hint="cs"/>
          <w:rtl/>
        </w:rPr>
        <w:t>ח"י</w:t>
      </w:r>
      <w:r w:rsidRPr="00AF2544">
        <w:rPr>
          <w:rtl/>
        </w:rPr>
        <w:t xml:space="preserve"> תרכוש את הסכום החוזי הכולל, המוקדם ביותר.</w:t>
      </w:r>
    </w:p>
    <w:p w:rsidR="00F20E3F" w:rsidP="003C4225" w14:paraId="68F28F1D" w14:textId="0FDF9F18">
      <w:pPr>
        <w:pStyle w:val="737"/>
        <w:spacing w:before="0"/>
        <w:ind w:left="424" w:hanging="424"/>
      </w:pPr>
      <w:r w:rsidRPr="00AF2544">
        <w:rPr>
          <w:rFonts w:hint="cs"/>
          <w:rtl/>
        </w:rPr>
        <w:t xml:space="preserve">*** </w:t>
      </w:r>
      <w:r w:rsidR="008D40F9">
        <w:rPr>
          <w:rtl/>
        </w:rPr>
        <w:tab/>
      </w:r>
      <w:r w:rsidRPr="00AF2544">
        <w:rPr>
          <w:rFonts w:hint="cs"/>
          <w:rtl/>
        </w:rPr>
        <w:t>הטבות המס הן בעיקר פטור מס הבלו על הסולר (</w:t>
      </w:r>
      <w:r w:rsidRPr="00AF2544">
        <w:rPr>
          <w:rFonts w:hint="cs"/>
          <w:rtl/>
        </w:rPr>
        <w:t>הישבונים</w:t>
      </w:r>
      <w:r w:rsidRPr="00AF2544">
        <w:rPr>
          <w:rFonts w:hint="cs"/>
          <w:rtl/>
        </w:rPr>
        <w:t>) והפחתה בתשלומי תמלוגים ובמיסוי לפי חוק הנפט.</w:t>
      </w:r>
    </w:p>
    <w:p w:rsidR="00F20E3F" w:rsidP="00AF2544" w14:paraId="3C694C0A" w14:textId="60C17751">
      <w:pPr>
        <w:pStyle w:val="7317"/>
        <w:rPr>
          <w:rtl/>
        </w:rPr>
      </w:pPr>
      <w:r>
        <w:rPr>
          <w:rFonts w:hint="cs"/>
          <w:rtl/>
        </w:rPr>
        <w:t xml:space="preserve">נתוני התרשימים מלמדים כי התמיכות הממשלתיות </w:t>
      </w:r>
      <w:r w:rsidRPr="006C4177">
        <w:rPr>
          <w:rFonts w:hint="eastAsia"/>
          <w:rtl/>
        </w:rPr>
        <w:t>השנתיות</w:t>
      </w:r>
      <w:r>
        <w:rPr>
          <w:rFonts w:hint="cs"/>
          <w:rtl/>
        </w:rPr>
        <w:t xml:space="preserve"> בדלקים </w:t>
      </w:r>
      <w:r>
        <w:rPr>
          <w:rFonts w:hint="cs"/>
          <w:rtl/>
        </w:rPr>
        <w:t>פוסיליים</w:t>
      </w:r>
      <w:r>
        <w:rPr>
          <w:rFonts w:hint="cs"/>
          <w:rtl/>
        </w:rPr>
        <w:t xml:space="preserve"> מצויות במגמת עלייה קבועה (למעט בשנת 2020 בשל מגפת הקורונה). תמיכה זו כמעט הוכפלה ועלתה מכ-2.2 מיליארד ש"ח בשנת 2010 לשיא של 4.2 מיליארד ש"ח בשנת 2019, ואף שירדה בשנת 2020 (בשל </w:t>
      </w:r>
      <w:r w:rsidR="00C257D4">
        <w:rPr>
          <w:rFonts w:hint="cs"/>
          <w:rtl/>
        </w:rPr>
        <w:t xml:space="preserve">מגפת </w:t>
      </w:r>
      <w:r>
        <w:rPr>
          <w:rFonts w:hint="cs"/>
          <w:rtl/>
        </w:rPr>
        <w:t>הקורונה), הרי שבשנת 2021 חזרה מגמת העליי</w:t>
      </w:r>
      <w:r>
        <w:rPr>
          <w:rFonts w:hint="eastAsia"/>
          <w:rtl/>
        </w:rPr>
        <w:t>ה</w:t>
      </w:r>
      <w:r>
        <w:rPr>
          <w:rFonts w:hint="cs"/>
          <w:rtl/>
        </w:rPr>
        <w:t xml:space="preserve"> - וזאת אף שהמתווה לביטול </w:t>
      </w:r>
      <w:r>
        <w:rPr>
          <w:rFonts w:hint="cs"/>
          <w:rtl/>
        </w:rPr>
        <w:t>ההישבון</w:t>
      </w:r>
      <w:r>
        <w:rPr>
          <w:rFonts w:hint="cs"/>
          <w:rtl/>
        </w:rPr>
        <w:t xml:space="preserve"> על הסולר מיושם בהדרגה כבר משנת 2017. נתוני התמיכות לשנים 2022 עד 2023 צפויים לעלות אף יותר לנוכח הפטור על הבלו לפחם וההנחה על הבלו לבנזין בסכום מצטבר </w:t>
      </w:r>
      <w:r w:rsidRPr="00207E25">
        <w:rPr>
          <w:rFonts w:hint="cs"/>
          <w:rtl/>
        </w:rPr>
        <w:t>של כ-3.5 מיליארד ש"ח. תמיכות אלו פועלות</w:t>
      </w:r>
      <w:r w:rsidRPr="00207E25">
        <w:rPr>
          <w:rtl/>
        </w:rPr>
        <w:t xml:space="preserve"> כתמריץ כלכלי</w:t>
      </w:r>
      <w:r w:rsidRPr="00207E25">
        <w:rPr>
          <w:rFonts w:hint="cs"/>
          <w:rtl/>
        </w:rPr>
        <w:t>, וככאלו הן מגבי</w:t>
      </w:r>
      <w:r>
        <w:rPr>
          <w:rFonts w:hint="cs"/>
          <w:rtl/>
        </w:rPr>
        <w:t>רות</w:t>
      </w:r>
      <w:r w:rsidRPr="005D6BC7">
        <w:rPr>
          <w:rtl/>
        </w:rPr>
        <w:t xml:space="preserve"> את ה</w:t>
      </w:r>
      <w:r>
        <w:rPr>
          <w:rFonts w:hint="cs"/>
          <w:rtl/>
        </w:rPr>
        <w:t>ביקוש ל</w:t>
      </w:r>
      <w:r w:rsidRPr="005D6BC7">
        <w:rPr>
          <w:rtl/>
        </w:rPr>
        <w:t>שימוש ב</w:t>
      </w:r>
      <w:r>
        <w:rPr>
          <w:rFonts w:hint="cs"/>
          <w:rtl/>
        </w:rPr>
        <w:t xml:space="preserve">דלקים </w:t>
      </w:r>
      <w:r>
        <w:rPr>
          <w:rFonts w:hint="cs"/>
          <w:rtl/>
        </w:rPr>
        <w:t>פוסיליים</w:t>
      </w:r>
      <w:r>
        <w:rPr>
          <w:rFonts w:hint="cs"/>
          <w:rtl/>
        </w:rPr>
        <w:t xml:space="preserve"> במקום להסיט את הביקוש לחלופות אחרות או להתייעל אנרגטית</w:t>
      </w:r>
      <w:r w:rsidRPr="005D6BC7">
        <w:rPr>
          <w:rtl/>
        </w:rPr>
        <w:t xml:space="preserve">. תמיכות בהיקפים נרחבים אלו אינן עולות בקנה אחד עם יעדי הפחתת פליטות </w:t>
      </w:r>
      <w:r>
        <w:rPr>
          <w:rFonts w:hint="cs"/>
          <w:rtl/>
        </w:rPr>
        <w:t>ה</w:t>
      </w:r>
      <w:r w:rsidRPr="005D6BC7">
        <w:rPr>
          <w:rtl/>
        </w:rPr>
        <w:t>גז"ח</w:t>
      </w:r>
      <w:r w:rsidRPr="005D6BC7">
        <w:rPr>
          <w:rtl/>
        </w:rPr>
        <w:t xml:space="preserve"> ומזהמים</w:t>
      </w:r>
      <w:r>
        <w:rPr>
          <w:rFonts w:hint="cs"/>
          <w:rtl/>
        </w:rPr>
        <w:t xml:space="preserve"> אחרים</w:t>
      </w:r>
      <w:r w:rsidRPr="005D6BC7">
        <w:rPr>
          <w:rtl/>
        </w:rPr>
        <w:t xml:space="preserve"> שקבעה ישראל לאורך השנים, ו</w:t>
      </w:r>
      <w:r>
        <w:rPr>
          <w:rFonts w:hint="cs"/>
          <w:rtl/>
        </w:rPr>
        <w:t xml:space="preserve">הן </w:t>
      </w:r>
      <w:r w:rsidRPr="005D6BC7">
        <w:rPr>
          <w:rtl/>
        </w:rPr>
        <w:t>חותר</w:t>
      </w:r>
      <w:r>
        <w:rPr>
          <w:rFonts w:hint="cs"/>
          <w:rtl/>
        </w:rPr>
        <w:t>ות</w:t>
      </w:r>
      <w:r w:rsidRPr="005D6BC7">
        <w:rPr>
          <w:rtl/>
        </w:rPr>
        <w:t xml:space="preserve"> תחת מאמציה לעבור לכלכלה דלת פחמן.</w:t>
      </w:r>
      <w:r>
        <w:rPr>
          <w:rFonts w:hint="cs"/>
          <w:rtl/>
        </w:rPr>
        <w:t xml:space="preserve"> </w:t>
      </w:r>
    </w:p>
    <w:p w:rsidR="00F20E3F" w:rsidP="00AF2544" w14:paraId="2E96E2D1" w14:textId="34210BD6">
      <w:pPr>
        <w:pStyle w:val="7317"/>
        <w:rPr>
          <w:rtl/>
        </w:rPr>
      </w:pPr>
      <w:r>
        <w:rPr>
          <w:rFonts w:hint="cs"/>
          <w:rtl/>
        </w:rPr>
        <w:t xml:space="preserve">לאור המלצות </w:t>
      </w:r>
      <w:r w:rsidRPr="005C7C48">
        <w:rPr>
          <w:rtl/>
        </w:rPr>
        <w:t>קואליציית שרי האוצר</w:t>
      </w:r>
      <w:r w:rsidRPr="005C7C48">
        <w:rPr>
          <w:rFonts w:hint="cs"/>
          <w:rtl/>
        </w:rPr>
        <w:t xml:space="preserve"> </w:t>
      </w:r>
      <w:r>
        <w:rPr>
          <w:rFonts w:hint="cs"/>
          <w:rtl/>
        </w:rPr>
        <w:t>וארגון ה-</w:t>
      </w:r>
      <w:r>
        <w:rPr>
          <w:rFonts w:hint="cs"/>
        </w:rPr>
        <w:t>OECD</w:t>
      </w:r>
      <w:r>
        <w:rPr>
          <w:rFonts w:hint="cs"/>
          <w:rtl/>
        </w:rPr>
        <w:t xml:space="preserve"> להתאמת תהליכי הכנסות והוצאות הלאומיים כך שיעלו בקנה אחד עם יעדי האקלים ועם המלצות ארגון ה-</w:t>
      </w:r>
      <w:r>
        <w:t>OECD</w:t>
      </w:r>
      <w:r>
        <w:rPr>
          <w:rFonts w:hint="cs"/>
          <w:rtl/>
        </w:rPr>
        <w:t xml:space="preserve"> לישראל לביטול ההטבות על דלקים </w:t>
      </w:r>
      <w:r>
        <w:rPr>
          <w:rFonts w:hint="cs"/>
          <w:rtl/>
        </w:rPr>
        <w:t>פוסיליים</w:t>
      </w:r>
      <w:r>
        <w:rPr>
          <w:rStyle w:val="FootnoteReference2"/>
          <w:b/>
          <w:bCs/>
          <w:rtl/>
        </w:rPr>
        <w:footnoteReference w:id="108"/>
      </w:r>
      <w:r>
        <w:rPr>
          <w:rFonts w:hint="cs"/>
          <w:rtl/>
        </w:rPr>
        <w:t xml:space="preserve">, מוצע כי משרד האוצר ורשות המיסים, בהיוועצות עם המשרד </w:t>
      </w:r>
      <w:r>
        <w:rPr>
          <w:rFonts w:hint="cs"/>
          <w:rtl/>
        </w:rPr>
        <w:t>להג"ס</w:t>
      </w:r>
      <w:r>
        <w:rPr>
          <w:rFonts w:hint="cs"/>
          <w:rtl/>
        </w:rPr>
        <w:t xml:space="preserve"> ומשרד הכלכלה, ינתחו את כל התמיכות והסובסידיות על דלקים </w:t>
      </w:r>
      <w:r>
        <w:rPr>
          <w:rFonts w:hint="cs"/>
          <w:rtl/>
        </w:rPr>
        <w:t>פוסיליים</w:t>
      </w:r>
      <w:r>
        <w:rPr>
          <w:rFonts w:hint="cs"/>
          <w:rtl/>
        </w:rPr>
        <w:t xml:space="preserve"> ואת האופן שבו הם מתמרצים ביקושים, ויבחנו להן חלופות. עוד מוצע כי בחינה זו תבוצע כחלק ממהלך מקיף יותר שימפה את כל כלי המדיניות במערך ההכנסות של המדינה, לרבות ממיסים, המשפיעים לשלילה על השגת יעדי האקלים, אשר בסופה יגבשו גורמים אלו כלי מדיניות חלופיים שיקדמו את השגתם. התבוננות הוליסטית על מערך ההכנסות של המדינה תאפשר לאתר תמריצים הפוגעים בהשגת יעדי האקלים ולטפל בהם מחד גיסא, ומאידך גיסא לאתר הזדמנויות להכנסות עבור אוצר המדינה אשר יסייעו בתקצוב פעולות אקלים (</w:t>
      </w:r>
      <w:r>
        <w:rPr>
          <w:rFonts w:hint="cs"/>
          <w:rtl/>
        </w:rPr>
        <w:t>מיטיגציה</w:t>
      </w:r>
      <w:r>
        <w:rPr>
          <w:rFonts w:hint="cs"/>
          <w:rtl/>
        </w:rPr>
        <w:t xml:space="preserve"> ואדפטציה), יפצו גורמים שייפגעו מהן, יתמכו באוכלוסיות ראויות לקידום ויאפשרו התמודדות מותאמת עם יוקר המחיה לאוכלוסיות אלו ואחרות, לפי סדרי עדיפויות. </w:t>
      </w:r>
    </w:p>
    <w:p w:rsidR="00F20E3F" w:rsidRPr="00DD0DC3" w:rsidP="00A168D9" w14:paraId="1D5F9F1B" w14:textId="6F5F9C26">
      <w:pPr>
        <w:pStyle w:val="733155"/>
        <w:rPr>
          <w:rtl/>
        </w:rPr>
      </w:pPr>
      <w:r w:rsidRPr="00F271A9">
        <w:rPr>
          <w:rFonts w:hint="cs"/>
          <w:rtl/>
        </w:rPr>
        <w:t>3.</w:t>
      </w:r>
      <w:r>
        <w:rPr>
          <w:rFonts w:hint="cs"/>
          <w:rtl/>
        </w:rPr>
        <w:t>4</w:t>
      </w:r>
      <w:r w:rsidRPr="00F271A9">
        <w:rPr>
          <w:rFonts w:hint="cs"/>
          <w:rtl/>
        </w:rPr>
        <w:t xml:space="preserve"> </w:t>
      </w:r>
      <w:r w:rsidRPr="00DD0DC3">
        <w:rPr>
          <w:rFonts w:hint="cs"/>
          <w:rtl/>
        </w:rPr>
        <w:t>חדשנות</w:t>
      </w:r>
      <w:r>
        <w:rPr>
          <w:rFonts w:hint="cs"/>
          <w:rtl/>
        </w:rPr>
        <w:t xml:space="preserve"> ומו"פ</w:t>
      </w:r>
      <w:r w:rsidRPr="00DD0DC3">
        <w:rPr>
          <w:rFonts w:hint="cs"/>
          <w:rtl/>
        </w:rPr>
        <w:t xml:space="preserve"> אקלים-טק</w:t>
      </w:r>
    </w:p>
    <w:p w:rsidR="00F20E3F" w:rsidRPr="00F7128C" w:rsidP="00F7128C" w14:paraId="78678C79" w14:textId="77777777">
      <w:pPr>
        <w:pStyle w:val="7392"/>
        <w:rPr>
          <w:rtl/>
        </w:rPr>
      </w:pPr>
      <w:r w:rsidRPr="00F7128C">
        <w:rPr>
          <w:rFonts w:hint="cs"/>
          <w:rtl/>
        </w:rPr>
        <w:t xml:space="preserve">הדוח הקודם פירט </w:t>
      </w:r>
      <w:r w:rsidRPr="00F7128C">
        <w:rPr>
          <w:rtl/>
        </w:rPr>
        <w:t>כי אתגר ההיערכות לשינוי</w:t>
      </w:r>
      <w:r w:rsidRPr="00F7128C">
        <w:rPr>
          <w:rFonts w:hint="cs"/>
          <w:rtl/>
        </w:rPr>
        <w:t>י</w:t>
      </w:r>
      <w:r w:rsidRPr="00F7128C">
        <w:rPr>
          <w:rtl/>
        </w:rPr>
        <w:t xml:space="preserve"> </w:t>
      </w:r>
      <w:r w:rsidRPr="00F7128C">
        <w:rPr>
          <w:rFonts w:hint="cs"/>
          <w:rtl/>
        </w:rPr>
        <w:t>ה</w:t>
      </w:r>
      <w:r w:rsidRPr="00F7128C">
        <w:rPr>
          <w:rtl/>
        </w:rPr>
        <w:t>אקלים מייצר הזדמנויות חדשות עבור חברות ותעשיות</w:t>
      </w:r>
      <w:r w:rsidRPr="00F7128C">
        <w:rPr>
          <w:rFonts w:hint="cs"/>
          <w:rtl/>
        </w:rPr>
        <w:t xml:space="preserve"> ישראליות</w:t>
      </w:r>
      <w:r w:rsidRPr="00F7128C">
        <w:rPr>
          <w:rtl/>
        </w:rPr>
        <w:t xml:space="preserve"> </w:t>
      </w:r>
      <w:r w:rsidRPr="00F7128C">
        <w:rPr>
          <w:rFonts w:hint="cs"/>
          <w:rtl/>
        </w:rPr>
        <w:t>ומ</w:t>
      </w:r>
      <w:r w:rsidRPr="00F7128C">
        <w:rPr>
          <w:rtl/>
        </w:rPr>
        <w:t>גביר את הביקוש לפתרונות טכנולוגיים במגוון תחומים</w:t>
      </w:r>
      <w:r w:rsidRPr="00F7128C">
        <w:rPr>
          <w:rFonts w:hint="cs"/>
          <w:rtl/>
        </w:rPr>
        <w:t xml:space="preserve"> הנוגעים באקלים בתחומי אדפטציה </w:t>
      </w:r>
      <w:r w:rsidRPr="00F7128C">
        <w:rPr>
          <w:rFonts w:hint="cs"/>
          <w:rtl/>
        </w:rPr>
        <w:t>ומיטיגציה</w:t>
      </w:r>
      <w:r w:rsidRPr="00F7128C">
        <w:rPr>
          <w:rtl/>
        </w:rPr>
        <w:t xml:space="preserve">, כגון בריאות הציבור, תשתיות, משק המים, חקלאות, מגוון ביולוגי, </w:t>
      </w:r>
      <w:r w:rsidRPr="00F7128C">
        <w:rPr>
          <w:rtl/>
        </w:rPr>
        <w:t>אנרגייה</w:t>
      </w:r>
      <w:r w:rsidRPr="00F7128C">
        <w:rPr>
          <w:rFonts w:hint="cs"/>
          <w:rtl/>
        </w:rPr>
        <w:t xml:space="preserve">, </w:t>
      </w:r>
      <w:r w:rsidRPr="00F7128C">
        <w:rPr>
          <w:rtl/>
        </w:rPr>
        <w:t>תחום הבינוי</w:t>
      </w:r>
      <w:r w:rsidRPr="00F7128C">
        <w:rPr>
          <w:rFonts w:hint="cs"/>
          <w:rtl/>
        </w:rPr>
        <w:t xml:space="preserve"> ועוד (להלן - טכנולוגיות האקלים-טק). עוד צוין בדוח הקודם כי </w:t>
      </w:r>
      <w:r w:rsidRPr="00F7128C">
        <w:rPr>
          <w:rtl/>
        </w:rPr>
        <w:t xml:space="preserve">בעקבות הסכם פריז צפויים לגדול משאבים שמוקצים למאבק לשינויי </w:t>
      </w:r>
      <w:r w:rsidRPr="00F7128C">
        <w:rPr>
          <w:rFonts w:hint="cs"/>
          <w:rtl/>
        </w:rPr>
        <w:t>ה</w:t>
      </w:r>
      <w:r w:rsidRPr="00F7128C">
        <w:rPr>
          <w:rtl/>
        </w:rPr>
        <w:t>אקלים</w:t>
      </w:r>
      <w:r w:rsidRPr="00F7128C">
        <w:rPr>
          <w:rFonts w:hint="cs"/>
          <w:rtl/>
        </w:rPr>
        <w:t>,</w:t>
      </w:r>
      <w:r w:rsidRPr="00F7128C">
        <w:rPr>
          <w:rtl/>
        </w:rPr>
        <w:t xml:space="preserve"> וישראל</w:t>
      </w:r>
      <w:r w:rsidRPr="00F7128C">
        <w:rPr>
          <w:rFonts w:hint="cs"/>
          <w:rtl/>
        </w:rPr>
        <w:t xml:space="preserve"> </w:t>
      </w:r>
      <w:r w:rsidRPr="00F7128C">
        <w:rPr>
          <w:rtl/>
        </w:rPr>
        <w:t>נמצאת בחזית הטכנולוגית בתחומים שונים שיכולים להיות רלוונטיים להפחת</w:t>
      </w:r>
      <w:r w:rsidRPr="00F7128C">
        <w:rPr>
          <w:rFonts w:hint="cs"/>
          <w:rtl/>
        </w:rPr>
        <w:t>ת</w:t>
      </w:r>
      <w:r w:rsidRPr="00F7128C">
        <w:rPr>
          <w:rtl/>
        </w:rPr>
        <w:t xml:space="preserve"> שינויי </w:t>
      </w:r>
      <w:r w:rsidRPr="00F7128C">
        <w:rPr>
          <w:rFonts w:hint="cs"/>
          <w:rtl/>
        </w:rPr>
        <w:t>ה</w:t>
      </w:r>
      <w:r w:rsidRPr="00F7128C">
        <w:rPr>
          <w:rtl/>
        </w:rPr>
        <w:t>אקלים</w:t>
      </w:r>
      <w:r w:rsidRPr="00F7128C">
        <w:rPr>
          <w:rFonts w:hint="cs"/>
          <w:rtl/>
        </w:rPr>
        <w:t xml:space="preserve"> ולהסתגלות אליהם; וכי בהחלטות ממשלה בנושא הועלה הצורך בקידום מחקר ופיתוח וחדשנות בנושא טכנולוגיות האקלים-טק שכן הפוטנציאל העסקי בתחום זה חורג מהשפעה מקומית בלבד ויכול לתרום להפיכת ישראל למרכז ידע ומצוינות עולמי בתחומים אלה</w:t>
      </w:r>
      <w:r>
        <w:rPr>
          <w:rStyle w:val="FootnoteReference2"/>
          <w:rtl/>
        </w:rPr>
        <w:footnoteReference w:id="109"/>
      </w:r>
      <w:r w:rsidRPr="00F7128C">
        <w:rPr>
          <w:rtl/>
        </w:rPr>
        <w:t>.</w:t>
      </w:r>
      <w:r w:rsidRPr="00F7128C">
        <w:rPr>
          <w:rFonts w:hint="cs"/>
          <w:rtl/>
        </w:rPr>
        <w:t xml:space="preserve"> </w:t>
      </w:r>
    </w:p>
    <w:p w:rsidR="00F20E3F" w:rsidRPr="00F7128C" w:rsidP="00F7128C" w14:paraId="0128FE79" w14:textId="77777777">
      <w:pPr>
        <w:pStyle w:val="73120"/>
        <w:rPr>
          <w:rtl/>
        </w:rPr>
      </w:pPr>
      <w:r w:rsidRPr="00F7128C">
        <w:rPr>
          <w:rtl/>
        </w:rPr>
        <w:t>הדוח הקודם</w:t>
      </w:r>
    </w:p>
    <w:p w:rsidR="00F20E3F" w:rsidRPr="00F7128C" w:rsidP="00F7128C" w14:paraId="1CB72A59" w14:textId="77777777">
      <w:pPr>
        <w:pStyle w:val="7392"/>
        <w:rPr>
          <w:rtl/>
        </w:rPr>
      </w:pPr>
      <w:r w:rsidRPr="00F7128C">
        <w:rPr>
          <w:rStyle w:val="7371"/>
          <w:rFonts w:hint="eastAsia"/>
          <w:color w:val="0073C3"/>
          <w:rtl/>
        </w:rPr>
        <w:t>הליקוי</w:t>
      </w:r>
      <w:r w:rsidRPr="00F7128C">
        <w:rPr>
          <w:rStyle w:val="7"/>
          <w:rFonts w:eastAsiaTheme="minorHAnsi"/>
          <w:bCs w:val="0"/>
          <w:spacing w:val="0"/>
          <w:rtl/>
        </w:rPr>
        <w:t>:</w:t>
      </w:r>
      <w:r w:rsidRPr="00F7128C">
        <w:rPr>
          <w:rFonts w:hint="cs"/>
          <w:rtl/>
        </w:rPr>
        <w:t xml:space="preserve"> </w:t>
      </w:r>
      <w:r w:rsidRPr="00F7128C">
        <w:rPr>
          <w:rtl/>
        </w:rPr>
        <w:t xml:space="preserve">בשנת 2018 </w:t>
      </w:r>
      <w:r w:rsidRPr="00F7128C">
        <w:rPr>
          <w:rFonts w:hint="cs"/>
          <w:rtl/>
        </w:rPr>
        <w:t xml:space="preserve">היה </w:t>
      </w:r>
      <w:r w:rsidRPr="00F7128C">
        <w:rPr>
          <w:rtl/>
        </w:rPr>
        <w:t xml:space="preserve">שיעור ההשקעה הציבורית של רשות החדשנות בתחומי </w:t>
      </w:r>
      <w:r w:rsidRPr="00F7128C">
        <w:rPr>
          <w:rtl/>
        </w:rPr>
        <w:t>האנרגייה</w:t>
      </w:r>
      <w:r w:rsidRPr="00F7128C">
        <w:rPr>
          <w:rtl/>
        </w:rPr>
        <w:t>, המים, הסביבה והקיימות 4%, השיעור השלישי ה</w:t>
      </w:r>
      <w:r w:rsidRPr="00F7128C">
        <w:rPr>
          <w:rFonts w:hint="cs"/>
          <w:rtl/>
        </w:rPr>
        <w:t>קטן</w:t>
      </w:r>
      <w:r w:rsidRPr="00F7128C">
        <w:rPr>
          <w:rtl/>
        </w:rPr>
        <w:t xml:space="preserve"> ביותר מבין התחומים שנסקרו אחרי הביטחון ושירותים. נתונים השוואתיים מהשנתיים האחרונות מלמדים כי בתחום הטכנולוגיות הקשורות באקלים ישראל מדורגת במקום נמוך בהשוואה למדינות אחרות. לפי ארגון ה-</w:t>
      </w:r>
      <w:r w:rsidRPr="00F7128C">
        <w:t>OECD</w:t>
      </w:r>
      <w:r w:rsidRPr="00F7128C">
        <w:rPr>
          <w:rtl/>
        </w:rPr>
        <w:t>, בכל הקשור לפיתוח טכנולוגיות הקשורות לשינוי</w:t>
      </w:r>
      <w:r w:rsidRPr="00F7128C">
        <w:rPr>
          <w:rFonts w:hint="cs"/>
          <w:rtl/>
        </w:rPr>
        <w:t>י</w:t>
      </w:r>
      <w:r w:rsidRPr="00F7128C">
        <w:rPr>
          <w:rtl/>
        </w:rPr>
        <w:t xml:space="preserve"> </w:t>
      </w:r>
      <w:r w:rsidRPr="00F7128C">
        <w:rPr>
          <w:rFonts w:hint="cs"/>
          <w:rtl/>
        </w:rPr>
        <w:t>ה</w:t>
      </w:r>
      <w:r w:rsidRPr="00F7128C">
        <w:rPr>
          <w:rtl/>
        </w:rPr>
        <w:t>אקלים מתוך כלל הטכנולוגיות במדינה נתונה, ישראל מדורגת בתחתית סולם הדירוג עם שלוש מדינות נוספות, והיא התקדמה בכ-2% בשנים 2016 עד 2018 לעומת הנתונים לשנים 2000 עד 2002</w:t>
      </w:r>
      <w:r w:rsidRPr="00F7128C">
        <w:rPr>
          <w:rFonts w:hint="cs"/>
          <w:rtl/>
        </w:rPr>
        <w:t>.</w:t>
      </w:r>
    </w:p>
    <w:p w:rsidR="00F20E3F" w:rsidRPr="00330C5F" w:rsidP="00F7128C" w14:paraId="39E04943" w14:textId="77777777">
      <w:pPr>
        <w:pStyle w:val="7392"/>
        <w:rPr>
          <w:rtl/>
        </w:rPr>
      </w:pPr>
      <w:r w:rsidRPr="00F7128C">
        <w:rPr>
          <w:rStyle w:val="7371"/>
          <w:rFonts w:hint="eastAsia"/>
          <w:color w:val="0073C3"/>
          <w:rtl/>
        </w:rPr>
        <w:t>ההמלצה</w:t>
      </w:r>
      <w:r w:rsidRPr="00F7128C">
        <w:rPr>
          <w:rStyle w:val="7371"/>
          <w:color w:val="0073C3"/>
          <w:rtl/>
        </w:rPr>
        <w:t>:</w:t>
      </w:r>
      <w:r w:rsidRPr="00734E17">
        <w:rPr>
          <w:rtl/>
        </w:rPr>
        <w:t xml:space="preserve"> </w:t>
      </w:r>
      <w:r>
        <w:rPr>
          <w:rFonts w:hint="cs"/>
          <w:rtl/>
        </w:rPr>
        <w:t>הומל</w:t>
      </w:r>
      <w:r w:rsidRPr="00330C5F">
        <w:rPr>
          <w:rtl/>
        </w:rPr>
        <w:t xml:space="preserve">ץ כי רשות החדשנות </w:t>
      </w:r>
      <w:r w:rsidRPr="00F7128C">
        <w:rPr>
          <w:rStyle w:val="7"/>
          <w:rFonts w:eastAsiaTheme="minorHAnsi"/>
          <w:bCs w:val="0"/>
          <w:spacing w:val="0"/>
          <w:rtl/>
        </w:rPr>
        <w:t>תבחן</w:t>
      </w:r>
      <w:r w:rsidRPr="00330C5F">
        <w:rPr>
          <w:rtl/>
        </w:rPr>
        <w:t xml:space="preserve"> כיצד ניתן לקדם באופן מיטבי פיתוח מדע יישומי-טכנולוגי שישמש תשתית מדעית לפיתוח טכנולוגיות בתחום </w:t>
      </w:r>
      <w:r w:rsidRPr="00330C5F">
        <w:rPr>
          <w:rtl/>
        </w:rPr>
        <w:t>הקלינטק</w:t>
      </w:r>
      <w:r w:rsidRPr="00330C5F">
        <w:rPr>
          <w:rtl/>
        </w:rPr>
        <w:t xml:space="preserve"> והאקלים, </w:t>
      </w:r>
      <w:r>
        <w:rPr>
          <w:rFonts w:hint="cs"/>
          <w:rtl/>
        </w:rPr>
        <w:t xml:space="preserve">וכן תבחן </w:t>
      </w:r>
      <w:r w:rsidRPr="00330C5F">
        <w:rPr>
          <w:rtl/>
        </w:rPr>
        <w:t>את היקף הקצאת התקציב לנושא ואת החסמים שפורטו</w:t>
      </w:r>
      <w:r>
        <w:rPr>
          <w:rFonts w:hint="cs"/>
          <w:rtl/>
        </w:rPr>
        <w:t xml:space="preserve"> ותפעל להסרתם; זאת </w:t>
      </w:r>
      <w:r w:rsidRPr="00330C5F">
        <w:rPr>
          <w:rtl/>
        </w:rPr>
        <w:t xml:space="preserve">כדי שמדינת ישראל תוכל למקסם את התועלות הקשורות לשינויי </w:t>
      </w:r>
      <w:r>
        <w:rPr>
          <w:rFonts w:hint="cs"/>
          <w:rtl/>
        </w:rPr>
        <w:t>ה</w:t>
      </w:r>
      <w:r w:rsidRPr="00330C5F">
        <w:rPr>
          <w:rtl/>
        </w:rPr>
        <w:t xml:space="preserve">אקלים, כפי שנקבע בהחלטת </w:t>
      </w:r>
      <w:r>
        <w:rPr>
          <w:rFonts w:hint="cs"/>
          <w:rtl/>
        </w:rPr>
        <w:t>ה</w:t>
      </w:r>
      <w:r w:rsidRPr="00330C5F">
        <w:rPr>
          <w:rtl/>
        </w:rPr>
        <w:t>ממשלה 4079 וכחלק מארגון מסגרת "מימון אקלים" שתביא בחשבון את רתימת השוק לנושא זה</w:t>
      </w:r>
      <w:r>
        <w:rPr>
          <w:rFonts w:hint="cs"/>
          <w:rtl/>
        </w:rPr>
        <w:t>.</w:t>
      </w:r>
      <w:r w:rsidRPr="00330C5F">
        <w:rPr>
          <w:rtl/>
        </w:rPr>
        <w:t xml:space="preserve"> </w:t>
      </w:r>
      <w:r>
        <w:rPr>
          <w:rFonts w:hint="cs"/>
          <w:rtl/>
        </w:rPr>
        <w:t>ה</w:t>
      </w:r>
      <w:r w:rsidRPr="00330C5F">
        <w:rPr>
          <w:rtl/>
        </w:rPr>
        <w:t xml:space="preserve">ומלץ עוד כי משרדי האוצר, </w:t>
      </w:r>
      <w:r w:rsidRPr="00330C5F">
        <w:rPr>
          <w:rtl/>
        </w:rPr>
        <w:t>הג"ס</w:t>
      </w:r>
      <w:r w:rsidRPr="00330C5F">
        <w:rPr>
          <w:rtl/>
        </w:rPr>
        <w:t xml:space="preserve">, הכלכלה, </w:t>
      </w:r>
      <w:r>
        <w:rPr>
          <w:rFonts w:hint="cs"/>
          <w:rtl/>
        </w:rPr>
        <w:t>החדשנות</w:t>
      </w:r>
      <w:r w:rsidRPr="00330C5F">
        <w:rPr>
          <w:rtl/>
        </w:rPr>
        <w:t xml:space="preserve"> והחוץ וכן רשות החדשנות, בשיתוף מגזר התעשייה והתאחדות התעשיינים, יבחנו את הצורך בפעולה בתחומים הללו: מיפוי התחומים שבהם יש לישראל יתרון יחסי; קידום פעולות ארוכות טווח מסונכרנות על בסיס תיעדוף יעדים כלל-ממשלתיים ואיגום משאבים המופנים לחדשנות </w:t>
      </w:r>
      <w:r w:rsidRPr="00330C5F">
        <w:rPr>
          <w:rtl/>
        </w:rPr>
        <w:t>בקלינטק</w:t>
      </w:r>
      <w:r w:rsidRPr="00330C5F">
        <w:rPr>
          <w:rtl/>
        </w:rPr>
        <w:t xml:space="preserve">; ואיתור פערי ידע בקרב גורמי המקצוע במשרדי הממשלה העוסקים בנושאים אלה. באופן זה תשתפר יכולתו של המשק הישראלי להתחרות בשוק העולמי של טכנולוגיות </w:t>
      </w:r>
      <w:r w:rsidRPr="00330C5F">
        <w:rPr>
          <w:rtl/>
        </w:rPr>
        <w:t>קלינטק</w:t>
      </w:r>
      <w:r w:rsidRPr="00330C5F">
        <w:rPr>
          <w:rtl/>
        </w:rPr>
        <w:t xml:space="preserve"> ואקלים ולמשוך השקעות; להסיט זרימת הון להשקעות ירוקות ובכך לסייע במימון </w:t>
      </w:r>
      <w:r>
        <w:rPr>
          <w:rFonts w:hint="cs"/>
          <w:rtl/>
        </w:rPr>
        <w:t>פעולות הקשורות לשינויי ה</w:t>
      </w:r>
      <w:r w:rsidRPr="00330C5F">
        <w:rPr>
          <w:rtl/>
        </w:rPr>
        <w:t>אקלים; ולנצל את ההזדמנויות הקשורות במנוע צמיחה פוטנציאלי זה.</w:t>
      </w:r>
    </w:p>
    <w:p w:rsidR="00F20E3F" w:rsidP="00F7128C" w14:paraId="6C6765C4" w14:textId="77777777">
      <w:pPr>
        <w:pStyle w:val="7392"/>
        <w:rPr>
          <w:rtl/>
        </w:rPr>
      </w:pPr>
      <w:r w:rsidRPr="00F7128C">
        <w:rPr>
          <w:rStyle w:val="7371"/>
          <w:color w:val="0073C3"/>
          <w:rtl/>
        </w:rPr>
        <w:t xml:space="preserve">תגובת </w:t>
      </w:r>
      <w:r w:rsidRPr="00F7128C">
        <w:rPr>
          <w:rStyle w:val="7371"/>
          <w:rFonts w:hint="cs"/>
          <w:color w:val="0073C3"/>
          <w:rtl/>
        </w:rPr>
        <w:t>רשות החדשנות</w:t>
      </w:r>
      <w:r w:rsidRPr="00F7128C">
        <w:rPr>
          <w:rStyle w:val="7371"/>
          <w:color w:val="0073C3"/>
          <w:rtl/>
        </w:rPr>
        <w:t xml:space="preserve"> על הדוח הקודם</w:t>
      </w:r>
      <w:r w:rsidRPr="00F7128C">
        <w:rPr>
          <w:rStyle w:val="7371"/>
          <w:rFonts w:hint="cs"/>
          <w:color w:val="0073C3"/>
          <w:rtl/>
        </w:rPr>
        <w:t>:</w:t>
      </w:r>
      <w:r w:rsidRPr="00F7128C">
        <w:rPr>
          <w:rStyle w:val="7"/>
          <w:rFonts w:eastAsiaTheme="majorEastAsia" w:hint="cs"/>
          <w:color w:val="0073C3"/>
          <w:rtl/>
        </w:rPr>
        <w:t xml:space="preserve"> </w:t>
      </w:r>
      <w:r>
        <w:rPr>
          <w:rtl/>
        </w:rPr>
        <w:t xml:space="preserve">הרשות שותפה למאמצי הממשלה בתחום האקלים לפיתוח כלכלה ירוקה בישראל, </w:t>
      </w:r>
      <w:r>
        <w:rPr>
          <w:rFonts w:hint="cs"/>
          <w:rtl/>
        </w:rPr>
        <w:t xml:space="preserve">והיא </w:t>
      </w:r>
      <w:r>
        <w:rPr>
          <w:rtl/>
        </w:rPr>
        <w:t>פועלת בשיתוף פעולה עם גופי ממשלה</w:t>
      </w:r>
      <w:r>
        <w:rPr>
          <w:rFonts w:hint="cs"/>
          <w:rtl/>
        </w:rPr>
        <w:t xml:space="preserve"> ו</w:t>
      </w:r>
      <w:r>
        <w:rPr>
          <w:rtl/>
        </w:rPr>
        <w:t>תעשייה, ובוחנת ת</w:t>
      </w:r>
      <w:r>
        <w:rPr>
          <w:rFonts w:hint="cs"/>
          <w:rtl/>
        </w:rPr>
        <w:t>ו</w:t>
      </w:r>
      <w:r>
        <w:rPr>
          <w:rtl/>
        </w:rPr>
        <w:t xml:space="preserve">כנית להאצת </w:t>
      </w:r>
      <w:r>
        <w:rPr>
          <w:rtl/>
        </w:rPr>
        <w:t>האקוסיסטם</w:t>
      </w:r>
      <w:r>
        <w:rPr>
          <w:rtl/>
        </w:rPr>
        <w:t xml:space="preserve"> </w:t>
      </w:r>
      <w:r w:rsidRPr="00F7128C">
        <w:rPr>
          <w:rStyle w:val="7"/>
          <w:rFonts w:eastAsiaTheme="minorHAnsi"/>
          <w:bCs w:val="0"/>
          <w:spacing w:val="0"/>
          <w:rtl/>
        </w:rPr>
        <w:t>בתחום</w:t>
      </w:r>
      <w:r>
        <w:rPr>
          <w:rtl/>
        </w:rPr>
        <w:t xml:space="preserve">. </w:t>
      </w:r>
      <w:r>
        <w:rPr>
          <w:rFonts w:hint="cs"/>
          <w:rtl/>
        </w:rPr>
        <w:t xml:space="preserve">עוד מסרה הרשות כי </w:t>
      </w:r>
      <w:r>
        <w:rPr>
          <w:rtl/>
        </w:rPr>
        <w:t xml:space="preserve">בהמשך להחלטת </w:t>
      </w:r>
      <w:r>
        <w:rPr>
          <w:rFonts w:hint="cs"/>
          <w:rtl/>
        </w:rPr>
        <w:t>ה</w:t>
      </w:r>
      <w:r>
        <w:rPr>
          <w:rtl/>
        </w:rPr>
        <w:t xml:space="preserve">ממשלה 171 </w:t>
      </w:r>
      <w:r>
        <w:rPr>
          <w:rFonts w:hint="cs"/>
          <w:rtl/>
        </w:rPr>
        <w:t xml:space="preserve">מיולי 2021, </w:t>
      </w:r>
      <w:r>
        <w:rPr>
          <w:rtl/>
        </w:rPr>
        <w:t>מונה צוות בין</w:t>
      </w:r>
      <w:r>
        <w:rPr>
          <w:rFonts w:hint="cs"/>
          <w:rtl/>
        </w:rPr>
        <w:t>-</w:t>
      </w:r>
      <w:r>
        <w:rPr>
          <w:rtl/>
        </w:rPr>
        <w:t xml:space="preserve">משרדי שמתפקידו להגיש המלצות לבחינת הדרכים והכלים לקידום יוזמות חכמות ופתרונות טכנולוגים שיסייעו להשגת יעדים לאומיים להפחתת פליטות </w:t>
      </w:r>
      <w:r>
        <w:rPr>
          <w:rtl/>
        </w:rPr>
        <w:t>גז</w:t>
      </w:r>
      <w:r>
        <w:rPr>
          <w:rFonts w:hint="cs"/>
          <w:rtl/>
        </w:rPr>
        <w:t>"ח</w:t>
      </w:r>
      <w:r>
        <w:rPr>
          <w:rtl/>
        </w:rPr>
        <w:t xml:space="preserve"> ויתרמו לפריצת דרך בתחום תוך רתימת גופי המחקר ותעשיית החדשנות הישראלית. </w:t>
      </w:r>
    </w:p>
    <w:p w:rsidR="00F20E3F" w:rsidP="00F7128C" w14:paraId="55B8113B" w14:textId="77777777">
      <w:pPr>
        <w:pStyle w:val="7392"/>
        <w:rPr>
          <w:rtl/>
        </w:rPr>
      </w:pPr>
      <w:r>
        <w:rPr>
          <w:rFonts w:hint="cs"/>
          <w:rtl/>
        </w:rPr>
        <w:t xml:space="preserve">נוסף על כך </w:t>
      </w:r>
      <w:r w:rsidRPr="00F7128C">
        <w:rPr>
          <w:rStyle w:val="7"/>
          <w:rFonts w:eastAsiaTheme="minorHAnsi" w:hint="cs"/>
          <w:bCs w:val="0"/>
          <w:spacing w:val="0"/>
          <w:rtl/>
        </w:rPr>
        <w:t>צוין</w:t>
      </w:r>
      <w:r>
        <w:rPr>
          <w:rFonts w:hint="cs"/>
          <w:rtl/>
        </w:rPr>
        <w:t xml:space="preserve"> כי </w:t>
      </w:r>
      <w:r>
        <w:rPr>
          <w:rtl/>
        </w:rPr>
        <w:t>הרשות שוקדת על ת</w:t>
      </w:r>
      <w:r>
        <w:rPr>
          <w:rFonts w:hint="cs"/>
          <w:rtl/>
        </w:rPr>
        <w:t>ו</w:t>
      </w:r>
      <w:r>
        <w:rPr>
          <w:rtl/>
        </w:rPr>
        <w:t xml:space="preserve">כנית כוללת להאצת </w:t>
      </w:r>
      <w:r>
        <w:rPr>
          <w:rtl/>
        </w:rPr>
        <w:t>אקוסיסטם</w:t>
      </w:r>
      <w:r>
        <w:rPr>
          <w:rtl/>
        </w:rPr>
        <w:t xml:space="preserve"> האקלים-טק בישראל. הת</w:t>
      </w:r>
      <w:r>
        <w:rPr>
          <w:rFonts w:hint="cs"/>
          <w:rtl/>
        </w:rPr>
        <w:t>ו</w:t>
      </w:r>
      <w:r>
        <w:rPr>
          <w:rtl/>
        </w:rPr>
        <w:t>כנית צפויה לכלול יצירת כלים חדשים ומיקוד כלים קיימים למטר</w:t>
      </w:r>
      <w:r>
        <w:rPr>
          <w:rFonts w:hint="cs"/>
          <w:rtl/>
        </w:rPr>
        <w:t>ו</w:t>
      </w:r>
      <w:r>
        <w:rPr>
          <w:rtl/>
        </w:rPr>
        <w:t>ת</w:t>
      </w:r>
      <w:r>
        <w:rPr>
          <w:rFonts w:hint="cs"/>
          <w:rtl/>
        </w:rPr>
        <w:t xml:space="preserve"> האלו: י</w:t>
      </w:r>
      <w:r>
        <w:rPr>
          <w:rtl/>
        </w:rPr>
        <w:t xml:space="preserve">דע - </w:t>
      </w:r>
      <w:r>
        <w:rPr>
          <w:rtl/>
        </w:rPr>
        <w:t>תמרוץ</w:t>
      </w:r>
      <w:r>
        <w:rPr>
          <w:rtl/>
        </w:rPr>
        <w:t xml:space="preserve"> מחקר יישומי איכותי באקדמיה ועידוד העברתו לתעשייה בישראל</w:t>
      </w:r>
      <w:r>
        <w:rPr>
          <w:rFonts w:hint="cs"/>
          <w:rtl/>
        </w:rPr>
        <w:t>; ה</w:t>
      </w:r>
      <w:r>
        <w:rPr>
          <w:rtl/>
        </w:rPr>
        <w:t>נבטה - עידוד הקמת חברות הזנק חדשות</w:t>
      </w:r>
      <w:r>
        <w:rPr>
          <w:rFonts w:hint="cs"/>
          <w:rtl/>
        </w:rPr>
        <w:t>; ה</w:t>
      </w:r>
      <w:r>
        <w:rPr>
          <w:rtl/>
        </w:rPr>
        <w:t xml:space="preserve">טמעה - </w:t>
      </w:r>
      <w:r>
        <w:rPr>
          <w:rtl/>
        </w:rPr>
        <w:t>תמרוץ</w:t>
      </w:r>
      <w:r>
        <w:rPr>
          <w:rtl/>
        </w:rPr>
        <w:t xml:space="preserve"> הטמעת טכנולוגיות בתעשייה ובחברות ממשלתיות</w:t>
      </w:r>
      <w:r>
        <w:rPr>
          <w:rFonts w:hint="cs"/>
          <w:rtl/>
        </w:rPr>
        <w:t xml:space="preserve">; </w:t>
      </w:r>
      <w:r>
        <w:rPr>
          <w:rtl/>
        </w:rPr>
        <w:t>מימון - יצירת פתרונות מימון "סבלניים" ומגוונים</w:t>
      </w:r>
      <w:r>
        <w:rPr>
          <w:rFonts w:hint="cs"/>
          <w:rtl/>
        </w:rPr>
        <w:t>; במ</w:t>
      </w:r>
      <w:r>
        <w:rPr>
          <w:rtl/>
        </w:rPr>
        <w:t xml:space="preserve">ישור </w:t>
      </w:r>
      <w:r>
        <w:rPr>
          <w:rFonts w:hint="cs"/>
          <w:rtl/>
        </w:rPr>
        <w:t>ה</w:t>
      </w:r>
      <w:r>
        <w:rPr>
          <w:rtl/>
        </w:rPr>
        <w:t>בין-לאומי - יצירת שיתופי פעולה בין-מדינתיים והבאת חברות רב-לאומיות לישראל, וכן סיוע לחברות</w:t>
      </w:r>
      <w:r>
        <w:rPr>
          <w:rFonts w:hint="cs"/>
          <w:rtl/>
        </w:rPr>
        <w:t xml:space="preserve"> </w:t>
      </w:r>
      <w:r>
        <w:rPr>
          <w:rtl/>
        </w:rPr>
        <w:t>ישראליות לזכות במענקים במסגרת ת</w:t>
      </w:r>
      <w:r>
        <w:rPr>
          <w:rFonts w:hint="cs"/>
          <w:rtl/>
        </w:rPr>
        <w:t>ו</w:t>
      </w:r>
      <w:r>
        <w:rPr>
          <w:rtl/>
        </w:rPr>
        <w:t xml:space="preserve">כנית </w:t>
      </w:r>
      <w:r>
        <w:t>Horizon - 2021 - 2027</w:t>
      </w:r>
      <w:r>
        <w:rPr>
          <w:rtl/>
        </w:rPr>
        <w:t xml:space="preserve"> ותוכנית </w:t>
      </w:r>
      <w:r>
        <w:t>European Green Deal</w:t>
      </w:r>
      <w:r>
        <w:rPr>
          <w:rFonts w:hint="cs"/>
          <w:rtl/>
        </w:rPr>
        <w:t>; וש</w:t>
      </w:r>
      <w:r>
        <w:rPr>
          <w:rtl/>
        </w:rPr>
        <w:t>יתוף פעולה ממשלתי - עידוד שיתוף פעולה בין</w:t>
      </w:r>
      <w:r>
        <w:rPr>
          <w:rFonts w:hint="cs"/>
          <w:rtl/>
        </w:rPr>
        <w:t xml:space="preserve"> </w:t>
      </w:r>
      <w:r>
        <w:rPr>
          <w:rtl/>
        </w:rPr>
        <w:t>גופי הממשלה וגופים ציבוריים לקידום מטרות</w:t>
      </w:r>
      <w:r>
        <w:rPr>
          <w:rFonts w:hint="cs"/>
          <w:rtl/>
        </w:rPr>
        <w:t xml:space="preserve"> </w:t>
      </w:r>
      <w:r>
        <w:rPr>
          <w:rtl/>
        </w:rPr>
        <w:t>התוכנית תוך יצירת אתרי "הרצה" לבחינת</w:t>
      </w:r>
      <w:r>
        <w:rPr>
          <w:rFonts w:hint="cs"/>
          <w:rtl/>
        </w:rPr>
        <w:t xml:space="preserve"> </w:t>
      </w:r>
      <w:r>
        <w:rPr>
          <w:rtl/>
        </w:rPr>
        <w:t xml:space="preserve">טכנולוגיות חדשניות. </w:t>
      </w:r>
    </w:p>
    <w:p w:rsidR="00F20E3F" w:rsidRPr="00F7128C" w:rsidP="00F7128C" w14:paraId="1179D62F" w14:textId="77777777">
      <w:pPr>
        <w:pStyle w:val="73120"/>
        <w:rPr>
          <w:rtl/>
        </w:rPr>
      </w:pPr>
      <w:r w:rsidRPr="00F7128C">
        <w:rPr>
          <w:rFonts w:hint="cs"/>
          <w:rtl/>
        </w:rPr>
        <w:t xml:space="preserve">ביקורת המעקב </w:t>
      </w:r>
    </w:p>
    <w:p w:rsidR="00F20E3F" w:rsidP="00086C6B" w14:paraId="0A1A8313" w14:textId="77777777">
      <w:pPr>
        <w:pStyle w:val="7392"/>
      </w:pPr>
      <w:r w:rsidRPr="00086C6B">
        <w:rPr>
          <w:rFonts w:hint="cs"/>
          <w:rtl/>
        </w:rPr>
        <w:t xml:space="preserve">מאז הדוח הקודם התקבלו כמה החלטות ממשלה שעניינן </w:t>
      </w:r>
      <w:r w:rsidRPr="00086C6B">
        <w:rPr>
          <w:rtl/>
        </w:rPr>
        <w:t>עידוד חדשנות טכנולוגית ישראלית</w:t>
      </w:r>
      <w:r w:rsidRPr="00086C6B">
        <w:rPr>
          <w:rFonts w:hint="cs"/>
          <w:rtl/>
        </w:rPr>
        <w:t xml:space="preserve"> כתמיכה במחויבות ישראל להפחתת פליטות </w:t>
      </w:r>
      <w:r w:rsidRPr="00086C6B">
        <w:rPr>
          <w:rFonts w:hint="cs"/>
          <w:rtl/>
        </w:rPr>
        <w:t>גז</w:t>
      </w:r>
      <w:r w:rsidRPr="00086C6B">
        <w:rPr>
          <w:rtl/>
        </w:rPr>
        <w:t>"</w:t>
      </w:r>
      <w:r w:rsidRPr="00086C6B">
        <w:rPr>
          <w:rFonts w:hint="cs"/>
          <w:rtl/>
        </w:rPr>
        <w:t>ח</w:t>
      </w:r>
      <w:r w:rsidRPr="00086C6B">
        <w:rPr>
          <w:rFonts w:hint="cs"/>
          <w:rtl/>
        </w:rPr>
        <w:t xml:space="preserve"> ובהיערכות לשינויי האקלים: החלטת הממשלה 544 מאוקטובר 2021 בנושא "עידוד </w:t>
      </w:r>
      <w:r w:rsidRPr="00086C6B">
        <w:rPr>
          <w:rtl/>
        </w:rPr>
        <w:t>חדשנות טכנולוגית למאבק בשינויי האקלים</w:t>
      </w:r>
      <w:r w:rsidRPr="00086C6B">
        <w:rPr>
          <w:rFonts w:hint="cs"/>
          <w:rtl/>
        </w:rPr>
        <w:t>" (להלן - החלטת הממשלה 544) והחלטת הממשלה 1685 מיוני 2022 בנושא</w:t>
      </w:r>
      <w:r w:rsidRPr="00086C6B">
        <w:rPr>
          <w:rtl/>
        </w:rPr>
        <w:t xml:space="preserve"> </w:t>
      </w:r>
      <w:r w:rsidRPr="00086C6B">
        <w:rPr>
          <w:rFonts w:hint="cs"/>
          <w:rtl/>
        </w:rPr>
        <w:t>"עידוד חדשנות טכנולוגית ישראלית ו</w:t>
      </w:r>
      <w:r w:rsidRPr="00086C6B">
        <w:rPr>
          <w:rtl/>
        </w:rPr>
        <w:t>רתימת תעשיית ההייטק למאבק בשינויי האקלים</w:t>
      </w:r>
      <w:r w:rsidRPr="00086C6B">
        <w:rPr>
          <w:rFonts w:hint="cs"/>
          <w:rtl/>
        </w:rPr>
        <w:t xml:space="preserve"> ולעמידה ביעדים הלאומיים"</w:t>
      </w:r>
      <w:r w:rsidRPr="00086C6B">
        <w:rPr>
          <w:rtl/>
        </w:rPr>
        <w:t xml:space="preserve"> </w:t>
      </w:r>
      <w:r w:rsidRPr="00086C6B">
        <w:rPr>
          <w:rFonts w:hint="cs"/>
          <w:rtl/>
        </w:rPr>
        <w:t xml:space="preserve">(להלן - החלטת הממשלה 1685) </w:t>
      </w:r>
      <w:r w:rsidRPr="00086C6B">
        <w:rPr>
          <w:rtl/>
        </w:rPr>
        <w:t>ולעמידה ביעדים הלאומיים</w:t>
      </w:r>
      <w:r w:rsidRPr="00086C6B">
        <w:rPr>
          <w:rFonts w:hint="cs"/>
          <w:rtl/>
        </w:rPr>
        <w:t xml:space="preserve"> להפחתת פליטות ברמה הכלל-משקית והסקטוריאלית, כפי שנקבעו כאמור בהחלטת הממשלה 171 (להלן גם - </w:t>
      </w:r>
      <w:r w:rsidRPr="00086C6B">
        <w:rPr>
          <w:rFonts w:hint="cs"/>
          <w:rtl/>
        </w:rPr>
        <w:t>החלטות הממשלה בתחום האקלים-טק)</w:t>
      </w:r>
      <w:r>
        <w:rPr>
          <w:rStyle w:val="FootnoteReference2"/>
          <w:rtl/>
        </w:rPr>
        <w:footnoteReference w:id="110"/>
      </w:r>
      <w:r w:rsidRPr="007D523E">
        <w:rPr>
          <w:rFonts w:hint="cs"/>
          <w:rtl/>
        </w:rPr>
        <w:t>.</w:t>
      </w:r>
      <w:r w:rsidRPr="00086C6B">
        <w:rPr>
          <w:rFonts w:hint="cs"/>
          <w:rtl/>
        </w:rPr>
        <w:t xml:space="preserve"> במוקד החלטות אלה עומדים כמה עקרונות מרכזיים:</w:t>
      </w:r>
    </w:p>
    <w:tbl>
      <w:tblPr>
        <w:tblpPr w:leftFromText="180" w:rightFromText="180" w:vertAnchor="text" w:tblpXSpec="right" w:tblpY="1"/>
        <w:bidiVisual/>
        <w:tblW w:w="5000" w:type="pct"/>
        <w:tblBorders>
          <w:left w:val="single" w:sz="4" w:space="0" w:color="auto"/>
          <w:right w:val="single" w:sz="4" w:space="0" w:color="auto"/>
          <w:insideV w:val="single" w:sz="4" w:space="0" w:color="000000" w:themeColor="text1"/>
        </w:tblBorders>
        <w:shd w:val="clear" w:color="auto" w:fill="F0F8F9"/>
        <w:tblCellMar>
          <w:left w:w="0" w:type="dxa"/>
          <w:right w:w="0" w:type="dxa"/>
        </w:tblCellMar>
        <w:tblLook w:val="04A0"/>
      </w:tblPr>
      <w:tblGrid>
        <w:gridCol w:w="952"/>
        <w:gridCol w:w="6408"/>
      </w:tblGrid>
      <w:tr w14:paraId="26E2E87A" w14:textId="77777777" w:rsidTr="006009D7">
        <w:tblPrEx>
          <w:tblW w:w="5000" w:type="pct"/>
          <w:tblBorders>
            <w:left w:val="single" w:sz="4" w:space="0" w:color="auto"/>
            <w:right w:val="single" w:sz="4" w:space="0" w:color="auto"/>
            <w:insideV w:val="single" w:sz="4" w:space="0" w:color="000000" w:themeColor="text1"/>
          </w:tblBorders>
          <w:shd w:val="clear" w:color="auto" w:fill="F0F8F9"/>
          <w:tblCellMar>
            <w:left w:w="0" w:type="dxa"/>
            <w:right w:w="0" w:type="dxa"/>
          </w:tblCellMar>
          <w:tblLook w:val="04A0"/>
        </w:tblPrEx>
        <w:tc>
          <w:tcPr>
            <w:tcW w:w="647" w:type="pct"/>
            <w:shd w:val="clear" w:color="auto" w:fill="DFECEF"/>
          </w:tcPr>
          <w:p w:rsidR="00086C6B" w:rsidRPr="006D266D" w:rsidP="006009D7" w14:paraId="09FBA1CD" w14:textId="30F36DFA">
            <w:pPr>
              <w:pStyle w:val="73R"/>
              <w:spacing w:before="360" w:after="0"/>
              <w:jc w:val="center"/>
              <w:rPr>
                <w:rtl/>
              </w:rPr>
            </w:pPr>
            <w:r>
              <w:rPr>
                <w:rFonts w:hint="cs"/>
                <w:noProof/>
                <w:rtl/>
                <w:lang w:val="he-IL"/>
              </w:rPr>
              <w:drawing>
                <wp:inline distT="0" distB="0" distL="0" distR="0">
                  <wp:extent cx="417510" cy="200726"/>
                  <wp:effectExtent l="0" t="0" r="1905" b="2540"/>
                  <wp:docPr id="2048063112" name="גרפיקה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792066" name="גרפיקה 16"/>
                          <pic:cNvPicPr/>
                        </pic:nvPicPr>
                        <pic:blipFill>
                          <a:blip xmlns:r="http://schemas.openxmlformats.org/officeDocument/2006/relationships" r:embed="rId49"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417510" cy="200726"/>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tc>
        <w:tc>
          <w:tcPr>
            <w:tcW w:w="4353" w:type="pct"/>
            <w:shd w:val="clear" w:color="auto" w:fill="DFECEF"/>
            <w:tcMar>
              <w:top w:w="0" w:type="dxa"/>
              <w:left w:w="108" w:type="dxa"/>
              <w:bottom w:w="0" w:type="dxa"/>
              <w:right w:w="108" w:type="dxa"/>
            </w:tcMar>
            <w:hideMark/>
          </w:tcPr>
          <w:p w:rsidR="00086C6B" w:rsidRPr="006D266D" w:rsidP="006009D7" w14:paraId="157AE654" w14:textId="1A442947">
            <w:pPr>
              <w:pStyle w:val="73R"/>
              <w:spacing w:line="240" w:lineRule="auto"/>
            </w:pPr>
            <w:r w:rsidRPr="008B7F19">
              <w:rPr>
                <w:rFonts w:hint="eastAsia"/>
                <w:rtl/>
              </w:rPr>
              <w:t>הכר</w:t>
            </w:r>
            <w:r w:rsidRPr="008B7F19">
              <w:rPr>
                <w:rFonts w:hint="cs"/>
                <w:rtl/>
              </w:rPr>
              <w:t>ה</w:t>
            </w:r>
            <w:r w:rsidRPr="008B7F19">
              <w:rPr>
                <w:rtl/>
              </w:rPr>
              <w:t xml:space="preserve"> בכך שלמחקר, פיתוח והטמעה של טכנולוגיות תפקיד מפתח בהפחתת פליטות </w:t>
            </w:r>
            <w:r w:rsidRPr="008B7F19">
              <w:rPr>
                <w:rtl/>
              </w:rPr>
              <w:t>גז</w:t>
            </w:r>
            <w:r w:rsidRPr="008B7F19">
              <w:rPr>
                <w:rFonts w:hint="cs"/>
                <w:rtl/>
              </w:rPr>
              <w:t>"ח</w:t>
            </w:r>
            <w:r w:rsidRPr="008B7F19">
              <w:rPr>
                <w:rtl/>
              </w:rPr>
              <w:t xml:space="preserve"> ובהיערכות לשינויי האקלים בעולם ובישראל</w:t>
            </w:r>
            <w:r w:rsidRPr="006D266D">
              <w:rPr>
                <w:rFonts w:hint="cs"/>
                <w:rtl/>
              </w:rPr>
              <w:t xml:space="preserve">. </w:t>
            </w:r>
          </w:p>
        </w:tc>
      </w:tr>
      <w:tr w14:paraId="1548D02C" w14:textId="77777777" w:rsidTr="00086C6B">
        <w:tblPrEx>
          <w:tblW w:w="5000" w:type="pct"/>
          <w:shd w:val="clear" w:color="auto" w:fill="F0F8F9"/>
          <w:tblCellMar>
            <w:left w:w="0" w:type="dxa"/>
            <w:right w:w="0" w:type="dxa"/>
          </w:tblCellMar>
          <w:tblLook w:val="04A0"/>
        </w:tblPrEx>
        <w:tc>
          <w:tcPr>
            <w:tcW w:w="647" w:type="pct"/>
            <w:shd w:val="clear" w:color="auto" w:fill="F0F8F9"/>
          </w:tcPr>
          <w:p w:rsidR="00086C6B" w:rsidRPr="006D266D" w:rsidP="00F7128C" w14:paraId="69FD607E" w14:textId="1F600557">
            <w:pPr>
              <w:pStyle w:val="73R"/>
              <w:spacing w:before="600" w:after="0"/>
              <w:jc w:val="center"/>
              <w:rPr>
                <w:rtl/>
              </w:rPr>
            </w:pPr>
            <w:r>
              <w:rPr>
                <w:rFonts w:hint="cs"/>
                <w:noProof/>
                <w:rtl/>
                <w:lang w:val="he-IL"/>
              </w:rPr>
              <w:drawing>
                <wp:inline distT="0" distB="0" distL="0" distR="0">
                  <wp:extent cx="462179" cy="444403"/>
                  <wp:effectExtent l="0" t="0" r="0" b="635"/>
                  <wp:docPr id="1225340613" name="גרפיקה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804229" name="גרפיקה 13"/>
                          <pic:cNvPicPr/>
                        </pic:nvPicPr>
                        <pic:blipFill>
                          <a:blip xmlns:r="http://schemas.openxmlformats.org/officeDocument/2006/relationships" r:embed="rId50" cstate="print">
                            <a:extLst>
                              <a:ext xmlns:a="http://schemas.openxmlformats.org/drawingml/2006/main" uri="{28A0092B-C50C-407E-A947-70E740481C1C}">
                                <a14:useLocalDpi xmlns:a14="http://schemas.microsoft.com/office/drawing/2010/main" val="0"/>
                              </a:ext>
                            </a:extLst>
                          </a:blip>
                          <a:stretch>
                            <a:fillRect/>
                          </a:stretch>
                        </pic:blipFill>
                        <pic:spPr>
                          <a:xfrm>
                            <a:off x="0" y="0"/>
                            <a:ext cx="462179" cy="444403"/>
                          </a:xfrm>
                          <a:prstGeom prst="rect">
                            <a:avLst/>
                          </a:prstGeom>
                        </pic:spPr>
                      </pic:pic>
                    </a:graphicData>
                  </a:graphic>
                </wp:inline>
              </w:drawing>
            </w:r>
          </w:p>
        </w:tc>
        <w:tc>
          <w:tcPr>
            <w:tcW w:w="4353" w:type="pct"/>
            <w:shd w:val="clear" w:color="auto" w:fill="F0F8F9"/>
            <w:tcMar>
              <w:top w:w="0" w:type="dxa"/>
              <w:left w:w="108" w:type="dxa"/>
              <w:bottom w:w="0" w:type="dxa"/>
              <w:right w:w="108" w:type="dxa"/>
            </w:tcMar>
            <w:hideMark/>
          </w:tcPr>
          <w:p w:rsidR="00086C6B" w:rsidRPr="006D266D" w:rsidP="006009D7" w14:paraId="386BA940" w14:textId="382E625D">
            <w:pPr>
              <w:pStyle w:val="73R"/>
              <w:spacing w:line="240" w:lineRule="auto"/>
              <w:rPr>
                <w:rtl/>
              </w:rPr>
            </w:pPr>
            <w:r w:rsidRPr="008B7F19">
              <w:rPr>
                <w:rFonts w:hint="eastAsia"/>
                <w:rtl/>
              </w:rPr>
              <w:t>עידוד</w:t>
            </w:r>
            <w:r w:rsidRPr="008B7F19">
              <w:rPr>
                <w:rtl/>
              </w:rPr>
              <w:t xml:space="preserve"> מחקר ופיתוח תעשייתי והקמת חברות הזנק חדשות בתחום האקלים, הכפלת מספר חברות </w:t>
            </w:r>
            <w:r w:rsidRPr="008B7F19">
              <w:rPr>
                <w:rFonts w:hint="eastAsia"/>
                <w:rtl/>
              </w:rPr>
              <w:t>ההזנק</w:t>
            </w:r>
            <w:r w:rsidRPr="008B7F19">
              <w:rPr>
                <w:rtl/>
              </w:rPr>
              <w:t xml:space="preserve"> החדשות, יצירת ידע יישומי, זיהוי טכנולוגיות מפציעות במחקר וקידום ניסוי והטמעת טכנולוגיות אקלים בישראל</w:t>
            </w:r>
            <w:r w:rsidRPr="006D266D">
              <w:rPr>
                <w:rFonts w:hint="cs"/>
                <w:rtl/>
              </w:rPr>
              <w:t>.</w:t>
            </w:r>
          </w:p>
        </w:tc>
      </w:tr>
      <w:tr w14:paraId="2C43A208" w14:textId="77777777" w:rsidTr="00086C6B">
        <w:tblPrEx>
          <w:tblW w:w="5000" w:type="pct"/>
          <w:shd w:val="clear" w:color="auto" w:fill="F0F8F9"/>
          <w:tblCellMar>
            <w:left w:w="0" w:type="dxa"/>
            <w:right w:w="0" w:type="dxa"/>
          </w:tblCellMar>
          <w:tblLook w:val="04A0"/>
        </w:tblPrEx>
        <w:tc>
          <w:tcPr>
            <w:tcW w:w="647" w:type="pct"/>
            <w:shd w:val="clear" w:color="auto" w:fill="DFECEF"/>
          </w:tcPr>
          <w:p w:rsidR="00086C6B" w:rsidRPr="006D266D" w:rsidP="00F7128C" w14:paraId="2566EC3F" w14:textId="34686528">
            <w:pPr>
              <w:pStyle w:val="73R"/>
              <w:spacing w:before="720" w:after="0"/>
              <w:jc w:val="center"/>
              <w:rPr>
                <w:rtl/>
              </w:rPr>
            </w:pPr>
            <w:r>
              <w:rPr>
                <w:rFonts w:hint="cs"/>
                <w:noProof/>
                <w:rtl/>
                <w:lang w:val="he-IL"/>
              </w:rPr>
              <w:drawing>
                <wp:inline distT="0" distB="0" distL="0" distR="0">
                  <wp:extent cx="401518" cy="486454"/>
                  <wp:effectExtent l="0" t="0" r="5080" b="0"/>
                  <wp:docPr id="566782060" name="גרפיקה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8087799" name="גרפיקה 14"/>
                          <pic:cNvPicPr/>
                        </pic:nvPicPr>
                        <pic:blipFill>
                          <a:blip xmlns:r="http://schemas.openxmlformats.org/officeDocument/2006/relationships" r:embed="rId51" cstate="print">
                            <a:extLst>
                              <a:ext xmlns:a="http://schemas.openxmlformats.org/drawingml/2006/main" uri="{28A0092B-C50C-407E-A947-70E740481C1C}">
                                <a14:useLocalDpi xmlns:a14="http://schemas.microsoft.com/office/drawing/2010/main" val="0"/>
                              </a:ext>
                            </a:extLst>
                          </a:blip>
                          <a:stretch>
                            <a:fillRect/>
                          </a:stretch>
                        </pic:blipFill>
                        <pic:spPr>
                          <a:xfrm>
                            <a:off x="0" y="0"/>
                            <a:ext cx="401518" cy="486454"/>
                          </a:xfrm>
                          <a:prstGeom prst="rect">
                            <a:avLst/>
                          </a:prstGeom>
                        </pic:spPr>
                      </pic:pic>
                    </a:graphicData>
                  </a:graphic>
                </wp:inline>
              </w:drawing>
            </w:r>
          </w:p>
        </w:tc>
        <w:tc>
          <w:tcPr>
            <w:tcW w:w="4353" w:type="pct"/>
            <w:shd w:val="clear" w:color="auto" w:fill="DFECEF"/>
            <w:tcMar>
              <w:top w:w="0" w:type="dxa"/>
              <w:left w:w="108" w:type="dxa"/>
              <w:bottom w:w="0" w:type="dxa"/>
              <w:right w:w="108" w:type="dxa"/>
            </w:tcMar>
            <w:hideMark/>
          </w:tcPr>
          <w:p w:rsidR="00086C6B" w:rsidRPr="006D266D" w:rsidP="006009D7" w14:paraId="7881F291" w14:textId="44DBB697">
            <w:pPr>
              <w:pStyle w:val="73R"/>
              <w:spacing w:line="240" w:lineRule="auto"/>
              <w:rPr>
                <w:rtl/>
              </w:rPr>
            </w:pPr>
            <w:r w:rsidRPr="008B7F19">
              <w:rPr>
                <w:rFonts w:hint="eastAsia"/>
                <w:rtl/>
              </w:rPr>
              <w:t>הנחיה</w:t>
            </w:r>
            <w:r w:rsidRPr="008B7F19">
              <w:rPr>
                <w:rtl/>
              </w:rPr>
              <w:t xml:space="preserve"> </w:t>
            </w:r>
            <w:r w:rsidRPr="008B7F19">
              <w:rPr>
                <w:rFonts w:hint="eastAsia"/>
                <w:rtl/>
              </w:rPr>
              <w:t>להקמת</w:t>
            </w:r>
            <w:r w:rsidRPr="008B7F19">
              <w:rPr>
                <w:rtl/>
              </w:rPr>
              <w:t xml:space="preserve"> </w:t>
            </w:r>
            <w:r w:rsidRPr="008B7F19">
              <w:rPr>
                <w:rFonts w:hint="eastAsia"/>
                <w:rtl/>
              </w:rPr>
              <w:t>צוו</w:t>
            </w:r>
            <w:r w:rsidRPr="008B7F19">
              <w:rPr>
                <w:rtl/>
              </w:rPr>
              <w:t xml:space="preserve">ת משימה להאצת טכנולוגיות אשר יפעל להסרת חסמים, </w:t>
            </w:r>
            <w:r w:rsidRPr="008B7F19">
              <w:rPr>
                <w:rFonts w:hint="cs"/>
                <w:rtl/>
              </w:rPr>
              <w:t xml:space="preserve">ולקביעת </w:t>
            </w:r>
            <w:r w:rsidRPr="008B7F19">
              <w:rPr>
                <w:rFonts w:hint="eastAsia"/>
                <w:rtl/>
              </w:rPr>
              <w:t>יעדים</w:t>
            </w:r>
            <w:r w:rsidRPr="008B7F19">
              <w:rPr>
                <w:rtl/>
              </w:rPr>
              <w:t xml:space="preserve"> </w:t>
            </w:r>
            <w:r w:rsidRPr="008B7F19">
              <w:rPr>
                <w:rFonts w:hint="eastAsia"/>
                <w:rtl/>
              </w:rPr>
              <w:t>לה</w:t>
            </w:r>
            <w:r w:rsidRPr="008B7F19">
              <w:rPr>
                <w:rtl/>
              </w:rPr>
              <w:t xml:space="preserve">כפלת מספר חברות </w:t>
            </w:r>
            <w:r w:rsidRPr="008B7F19">
              <w:rPr>
                <w:rtl/>
              </w:rPr>
              <w:t>ההזנק</w:t>
            </w:r>
            <w:r w:rsidRPr="008B7F19">
              <w:rPr>
                <w:rtl/>
              </w:rPr>
              <w:t xml:space="preserve"> החדשות הקמות בכל שנה, </w:t>
            </w:r>
            <w:r w:rsidRPr="008B7F19">
              <w:rPr>
                <w:rFonts w:hint="eastAsia"/>
                <w:rtl/>
              </w:rPr>
              <w:t>יצירת</w:t>
            </w:r>
            <w:r w:rsidRPr="008B7F19">
              <w:rPr>
                <w:rtl/>
              </w:rPr>
              <w:t xml:space="preserve"> </w:t>
            </w:r>
            <w:r w:rsidRPr="008B7F19">
              <w:rPr>
                <w:rFonts w:hint="eastAsia"/>
                <w:rtl/>
              </w:rPr>
              <w:t>ידע</w:t>
            </w:r>
            <w:r w:rsidRPr="008B7F19">
              <w:rPr>
                <w:rtl/>
              </w:rPr>
              <w:t xml:space="preserve"> </w:t>
            </w:r>
            <w:r w:rsidRPr="008B7F19">
              <w:rPr>
                <w:rFonts w:hint="eastAsia"/>
                <w:rtl/>
              </w:rPr>
              <w:t>יישומי</w:t>
            </w:r>
            <w:r w:rsidRPr="008B7F19">
              <w:rPr>
                <w:rtl/>
              </w:rPr>
              <w:t xml:space="preserve">, עידוד מו"פ תעשייתי והקמת חברות הזנק חדשות, הטמעת טכנולוגיות אקלים בישראל, הגדלה וגיוון </w:t>
            </w:r>
            <w:r w:rsidRPr="008B7F19">
              <w:rPr>
                <w:rFonts w:hint="cs"/>
                <w:rtl/>
              </w:rPr>
              <w:t xml:space="preserve">של </w:t>
            </w:r>
            <w:r w:rsidRPr="008B7F19">
              <w:rPr>
                <w:rtl/>
              </w:rPr>
              <w:t xml:space="preserve">מקורות המימון למיזמים </w:t>
            </w:r>
            <w:r w:rsidRPr="008B7F19">
              <w:rPr>
                <w:rFonts w:hint="eastAsia"/>
                <w:rtl/>
              </w:rPr>
              <w:t>ו</w:t>
            </w:r>
            <w:r w:rsidRPr="008B7F19">
              <w:rPr>
                <w:rtl/>
              </w:rPr>
              <w:t>שיתוף פעולה בין-לאומי</w:t>
            </w:r>
            <w:r w:rsidRPr="006D266D">
              <w:rPr>
                <w:rFonts w:hint="cs"/>
                <w:rtl/>
              </w:rPr>
              <w:t>.</w:t>
            </w:r>
          </w:p>
        </w:tc>
      </w:tr>
      <w:tr w14:paraId="6EB4BE2D" w14:textId="77777777" w:rsidTr="00086C6B">
        <w:tblPrEx>
          <w:tblW w:w="5000" w:type="pct"/>
          <w:shd w:val="clear" w:color="auto" w:fill="F0F8F9"/>
          <w:tblCellMar>
            <w:left w:w="0" w:type="dxa"/>
            <w:right w:w="0" w:type="dxa"/>
          </w:tblCellMar>
          <w:tblLook w:val="04A0"/>
        </w:tblPrEx>
        <w:tc>
          <w:tcPr>
            <w:tcW w:w="647" w:type="pct"/>
            <w:shd w:val="clear" w:color="auto" w:fill="F0F8F9"/>
          </w:tcPr>
          <w:p w:rsidR="00086C6B" w:rsidRPr="006D266D" w:rsidP="00170E7D" w14:paraId="39ABE266" w14:textId="6A9CF763">
            <w:pPr>
              <w:pStyle w:val="73R"/>
              <w:spacing w:before="600" w:after="0"/>
              <w:jc w:val="center"/>
              <w:rPr>
                <w:rtl/>
              </w:rPr>
            </w:pPr>
            <w:r>
              <w:rPr>
                <w:rFonts w:hint="cs"/>
                <w:noProof/>
                <w:rtl/>
                <w:lang w:val="he-IL"/>
              </w:rPr>
              <w:drawing>
                <wp:inline distT="0" distB="0" distL="0" distR="0">
                  <wp:extent cx="320510" cy="388311"/>
                  <wp:effectExtent l="0" t="0" r="0" b="5715"/>
                  <wp:docPr id="101244262" name="גרפיקה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838197" name="גרפיקה 15"/>
                          <pic:cNvPicPr/>
                        </pic:nvPicPr>
                        <pic:blipFill>
                          <a:blip xmlns:r="http://schemas.openxmlformats.org/officeDocument/2006/relationships" r:embed="rId5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20510" cy="388311"/>
                          </a:xfrm>
                          <a:prstGeom prst="rect">
                            <a:avLst/>
                          </a:prstGeom>
                        </pic:spPr>
                      </pic:pic>
                    </a:graphicData>
                  </a:graphic>
                </wp:inline>
              </w:drawing>
            </w:r>
          </w:p>
        </w:tc>
        <w:tc>
          <w:tcPr>
            <w:tcW w:w="4353" w:type="pct"/>
            <w:shd w:val="clear" w:color="auto" w:fill="F0F8F9"/>
            <w:tcMar>
              <w:top w:w="0" w:type="dxa"/>
              <w:left w:w="108" w:type="dxa"/>
              <w:bottom w:w="0" w:type="dxa"/>
              <w:right w:w="108" w:type="dxa"/>
            </w:tcMar>
            <w:hideMark/>
          </w:tcPr>
          <w:p w:rsidR="00086C6B" w:rsidRPr="006D266D" w:rsidP="006009D7" w14:paraId="12194690" w14:textId="352E45DE">
            <w:pPr>
              <w:pStyle w:val="73R"/>
              <w:spacing w:line="240" w:lineRule="auto"/>
              <w:rPr>
                <w:rtl/>
              </w:rPr>
            </w:pPr>
            <w:r w:rsidRPr="008B7F19">
              <w:rPr>
                <w:rFonts w:hint="eastAsia"/>
                <w:rtl/>
              </w:rPr>
              <w:t>הגדר</w:t>
            </w:r>
            <w:r w:rsidRPr="008B7F19">
              <w:rPr>
                <w:rFonts w:hint="cs"/>
                <w:rtl/>
              </w:rPr>
              <w:t>ת</w:t>
            </w:r>
            <w:r w:rsidRPr="008B7F19">
              <w:rPr>
                <w:rtl/>
              </w:rPr>
              <w:t xml:space="preserve"> "אתגרי </w:t>
            </w:r>
            <w:r w:rsidRPr="008B7F19">
              <w:rPr>
                <w:rFonts w:hint="eastAsia"/>
                <w:rtl/>
              </w:rPr>
              <w:t>אקלים</w:t>
            </w:r>
            <w:r w:rsidRPr="008B7F19">
              <w:rPr>
                <w:rtl/>
              </w:rPr>
              <w:t xml:space="preserve"> </w:t>
            </w:r>
            <w:r w:rsidRPr="008B7F19">
              <w:rPr>
                <w:rFonts w:hint="eastAsia"/>
                <w:rtl/>
              </w:rPr>
              <w:t>לאומיים</w:t>
            </w:r>
            <w:r w:rsidRPr="008B7F19">
              <w:rPr>
                <w:rtl/>
              </w:rPr>
              <w:t xml:space="preserve">" </w:t>
            </w:r>
            <w:r w:rsidRPr="008B7F19">
              <w:rPr>
                <w:rFonts w:hint="eastAsia"/>
                <w:rtl/>
              </w:rPr>
              <w:t>שיש</w:t>
            </w:r>
            <w:r w:rsidRPr="008B7F19">
              <w:rPr>
                <w:rtl/>
              </w:rPr>
              <w:t xml:space="preserve"> </w:t>
            </w:r>
            <w:r w:rsidRPr="008B7F19">
              <w:rPr>
                <w:rFonts w:hint="eastAsia"/>
                <w:rtl/>
              </w:rPr>
              <w:t>חשיבות</w:t>
            </w:r>
            <w:r w:rsidRPr="008B7F19">
              <w:rPr>
                <w:rtl/>
              </w:rPr>
              <w:t xml:space="preserve"> </w:t>
            </w:r>
            <w:r w:rsidRPr="008B7F19">
              <w:rPr>
                <w:rFonts w:hint="eastAsia"/>
                <w:rtl/>
              </w:rPr>
              <w:t>בפתרונם</w:t>
            </w:r>
            <w:r w:rsidRPr="008B7F19">
              <w:rPr>
                <w:rtl/>
              </w:rPr>
              <w:t xml:space="preserve"> </w:t>
            </w:r>
            <w:r w:rsidRPr="008B7F19">
              <w:rPr>
                <w:rFonts w:hint="eastAsia"/>
                <w:rtl/>
              </w:rPr>
              <w:t>למאבק</w:t>
            </w:r>
            <w:r w:rsidRPr="008B7F19">
              <w:rPr>
                <w:rtl/>
              </w:rPr>
              <w:t xml:space="preserve"> </w:t>
            </w:r>
            <w:r w:rsidRPr="008B7F19">
              <w:rPr>
                <w:rFonts w:hint="eastAsia"/>
                <w:rtl/>
              </w:rPr>
              <w:t>בשינוי</w:t>
            </w:r>
            <w:r w:rsidRPr="008B7F19">
              <w:rPr>
                <w:rFonts w:hint="cs"/>
                <w:rtl/>
              </w:rPr>
              <w:t>י</w:t>
            </w:r>
            <w:r w:rsidRPr="008B7F19">
              <w:rPr>
                <w:rtl/>
              </w:rPr>
              <w:t xml:space="preserve"> </w:t>
            </w:r>
            <w:r w:rsidRPr="008B7F19">
              <w:rPr>
                <w:rFonts w:hint="cs"/>
                <w:rtl/>
              </w:rPr>
              <w:t>ה</w:t>
            </w:r>
            <w:r w:rsidRPr="008B7F19">
              <w:rPr>
                <w:rFonts w:hint="eastAsia"/>
                <w:rtl/>
              </w:rPr>
              <w:t>אקלים</w:t>
            </w:r>
            <w:r w:rsidRPr="008B7F19">
              <w:rPr>
                <w:rtl/>
              </w:rPr>
              <w:t xml:space="preserve">, </w:t>
            </w:r>
            <w:r w:rsidRPr="008B7F19">
              <w:rPr>
                <w:rFonts w:hint="eastAsia"/>
                <w:rtl/>
              </w:rPr>
              <w:t>ג</w:t>
            </w:r>
            <w:r w:rsidRPr="008B7F19">
              <w:rPr>
                <w:rFonts w:hint="cs"/>
                <w:rtl/>
              </w:rPr>
              <w:t>י</w:t>
            </w:r>
            <w:r w:rsidRPr="008B7F19">
              <w:rPr>
                <w:rFonts w:hint="eastAsia"/>
                <w:rtl/>
              </w:rPr>
              <w:t>ב</w:t>
            </w:r>
            <w:r w:rsidRPr="008B7F19">
              <w:rPr>
                <w:rFonts w:hint="cs"/>
                <w:rtl/>
              </w:rPr>
              <w:t>ו</w:t>
            </w:r>
            <w:r w:rsidRPr="008B7F19">
              <w:rPr>
                <w:rFonts w:hint="eastAsia"/>
                <w:rtl/>
              </w:rPr>
              <w:t>ש</w:t>
            </w:r>
            <w:r w:rsidRPr="008B7F19">
              <w:rPr>
                <w:rtl/>
              </w:rPr>
              <w:t xml:space="preserve"> </w:t>
            </w:r>
            <w:r w:rsidRPr="008B7F19">
              <w:rPr>
                <w:rFonts w:hint="eastAsia"/>
                <w:rtl/>
              </w:rPr>
              <w:t>מתווה</w:t>
            </w:r>
            <w:r w:rsidRPr="008B7F19">
              <w:rPr>
                <w:rtl/>
              </w:rPr>
              <w:t xml:space="preserve"> </w:t>
            </w:r>
            <w:r w:rsidRPr="008B7F19">
              <w:rPr>
                <w:rFonts w:hint="eastAsia"/>
                <w:rtl/>
              </w:rPr>
              <w:t>לתחרות</w:t>
            </w:r>
            <w:r w:rsidRPr="008B7F19">
              <w:rPr>
                <w:rtl/>
              </w:rPr>
              <w:t xml:space="preserve"> </w:t>
            </w:r>
            <w:r w:rsidRPr="008B7F19">
              <w:rPr>
                <w:rFonts w:hint="eastAsia"/>
                <w:rtl/>
              </w:rPr>
              <w:t>חדשנות</w:t>
            </w:r>
            <w:r w:rsidRPr="008B7F19">
              <w:rPr>
                <w:rtl/>
              </w:rPr>
              <w:t xml:space="preserve"> </w:t>
            </w:r>
            <w:r w:rsidRPr="008B7F19">
              <w:rPr>
                <w:rFonts w:hint="eastAsia"/>
                <w:rtl/>
              </w:rPr>
              <w:t>טכנולוגית</w:t>
            </w:r>
            <w:r w:rsidRPr="008B7F19">
              <w:rPr>
                <w:rtl/>
              </w:rPr>
              <w:t xml:space="preserve"> </w:t>
            </w:r>
            <w:r w:rsidRPr="008B7F19">
              <w:rPr>
                <w:rFonts w:hint="eastAsia"/>
                <w:rtl/>
              </w:rPr>
              <w:t>ולע</w:t>
            </w:r>
            <w:r w:rsidRPr="008B7F19">
              <w:rPr>
                <w:rFonts w:hint="cs"/>
                <w:rtl/>
              </w:rPr>
              <w:t>י</w:t>
            </w:r>
            <w:r w:rsidRPr="008B7F19">
              <w:rPr>
                <w:rFonts w:hint="eastAsia"/>
                <w:rtl/>
              </w:rPr>
              <w:t>ד</w:t>
            </w:r>
            <w:r w:rsidRPr="008B7F19">
              <w:rPr>
                <w:rFonts w:hint="cs"/>
                <w:rtl/>
              </w:rPr>
              <w:t>ו</w:t>
            </w:r>
            <w:r w:rsidRPr="008B7F19">
              <w:rPr>
                <w:rFonts w:hint="eastAsia"/>
                <w:rtl/>
              </w:rPr>
              <w:t>ד</w:t>
            </w:r>
            <w:r w:rsidRPr="008B7F19">
              <w:rPr>
                <w:rtl/>
              </w:rPr>
              <w:t xml:space="preserve"> </w:t>
            </w:r>
            <w:r w:rsidRPr="008B7F19">
              <w:rPr>
                <w:rFonts w:hint="eastAsia"/>
                <w:rtl/>
              </w:rPr>
              <w:t>שיתופי</w:t>
            </w:r>
            <w:r w:rsidRPr="008B7F19">
              <w:rPr>
                <w:rtl/>
              </w:rPr>
              <w:t xml:space="preserve"> </w:t>
            </w:r>
            <w:r w:rsidRPr="008B7F19">
              <w:rPr>
                <w:rFonts w:hint="eastAsia"/>
                <w:rtl/>
              </w:rPr>
              <w:t>פעולה</w:t>
            </w:r>
            <w:r w:rsidRPr="008B7F19">
              <w:rPr>
                <w:rtl/>
              </w:rPr>
              <w:t xml:space="preserve"> </w:t>
            </w:r>
            <w:r w:rsidRPr="008B7F19">
              <w:rPr>
                <w:rFonts w:hint="eastAsia"/>
                <w:rtl/>
              </w:rPr>
              <w:t>בין</w:t>
            </w:r>
            <w:r w:rsidRPr="008B7F19">
              <w:rPr>
                <w:rtl/>
              </w:rPr>
              <w:t xml:space="preserve">-לאומיים </w:t>
            </w:r>
            <w:r w:rsidRPr="008B7F19">
              <w:rPr>
                <w:rFonts w:hint="eastAsia"/>
                <w:rtl/>
              </w:rPr>
              <w:t>וקידום</w:t>
            </w:r>
            <w:r w:rsidRPr="008B7F19">
              <w:rPr>
                <w:rtl/>
              </w:rPr>
              <w:t xml:space="preserve"> </w:t>
            </w:r>
            <w:r w:rsidRPr="008B7F19">
              <w:rPr>
                <w:rFonts w:hint="eastAsia"/>
                <w:rtl/>
              </w:rPr>
              <w:t>דיפלומטיית</w:t>
            </w:r>
            <w:r w:rsidRPr="008B7F19">
              <w:rPr>
                <w:rtl/>
              </w:rPr>
              <w:t xml:space="preserve"> </w:t>
            </w:r>
            <w:r w:rsidRPr="008B7F19">
              <w:rPr>
                <w:rFonts w:hint="eastAsia"/>
                <w:rtl/>
              </w:rPr>
              <w:t>חדשנות</w:t>
            </w:r>
            <w:r w:rsidRPr="006D266D">
              <w:rPr>
                <w:rFonts w:hint="cs"/>
                <w:rtl/>
              </w:rPr>
              <w:t>.</w:t>
            </w:r>
          </w:p>
        </w:tc>
      </w:tr>
      <w:tr w14:paraId="6CA16EFF" w14:textId="77777777" w:rsidTr="00086C6B">
        <w:tblPrEx>
          <w:tblW w:w="5000" w:type="pct"/>
          <w:shd w:val="clear" w:color="auto" w:fill="F0F8F9"/>
          <w:tblCellMar>
            <w:left w:w="0" w:type="dxa"/>
            <w:right w:w="0" w:type="dxa"/>
          </w:tblCellMar>
          <w:tblLook w:val="04A0"/>
        </w:tblPrEx>
        <w:tc>
          <w:tcPr>
            <w:tcW w:w="647" w:type="pct"/>
            <w:shd w:val="clear" w:color="auto" w:fill="DFECEF"/>
          </w:tcPr>
          <w:p w:rsidR="00086C6B" w:rsidRPr="006D266D" w:rsidP="00F7128C" w14:paraId="26F0C992" w14:textId="6EB0FD17">
            <w:pPr>
              <w:pStyle w:val="73R"/>
              <w:spacing w:before="600" w:after="0"/>
              <w:jc w:val="center"/>
              <w:rPr>
                <w:rtl/>
              </w:rPr>
            </w:pPr>
            <w:r>
              <w:rPr>
                <w:rFonts w:hint="cs"/>
                <w:noProof/>
                <w:rtl/>
                <w:lang w:val="he-IL"/>
              </w:rPr>
              <w:drawing>
                <wp:inline distT="0" distB="0" distL="0" distR="0">
                  <wp:extent cx="377221" cy="446379"/>
                  <wp:effectExtent l="0" t="0" r="3810" b="0"/>
                  <wp:docPr id="1767712013" name="גרפיקה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629555" name="גרפיקה 17"/>
                          <pic:cNvPicPr/>
                        </pic:nvPicPr>
                        <pic:blipFill>
                          <a:blip xmlns:r="http://schemas.openxmlformats.org/officeDocument/2006/relationships" r:embed="rId5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77221" cy="446379"/>
                          </a:xfrm>
                          <a:prstGeom prst="rect">
                            <a:avLst/>
                          </a:prstGeom>
                        </pic:spPr>
                      </pic:pic>
                    </a:graphicData>
                  </a:graphic>
                </wp:inline>
              </w:drawing>
            </w:r>
          </w:p>
        </w:tc>
        <w:tc>
          <w:tcPr>
            <w:tcW w:w="4353" w:type="pct"/>
            <w:shd w:val="clear" w:color="auto" w:fill="DFECEF"/>
            <w:tcMar>
              <w:top w:w="0" w:type="dxa"/>
              <w:left w:w="108" w:type="dxa"/>
              <w:bottom w:w="0" w:type="dxa"/>
              <w:right w:w="108" w:type="dxa"/>
            </w:tcMar>
            <w:hideMark/>
          </w:tcPr>
          <w:p w:rsidR="00086C6B" w:rsidRPr="006D266D" w:rsidP="006009D7" w14:paraId="7E71BE60" w14:textId="387405D6">
            <w:pPr>
              <w:pStyle w:val="73R"/>
              <w:spacing w:line="240" w:lineRule="auto"/>
              <w:rPr>
                <w:rtl/>
              </w:rPr>
            </w:pPr>
            <w:r w:rsidRPr="008B7F19">
              <w:rPr>
                <w:rFonts w:hint="eastAsia"/>
                <w:rtl/>
              </w:rPr>
              <w:t>הודעה</w:t>
            </w:r>
            <w:r w:rsidRPr="008B7F19">
              <w:rPr>
                <w:rtl/>
              </w:rPr>
              <w:t xml:space="preserve"> </w:t>
            </w:r>
            <w:r w:rsidRPr="008B7F19">
              <w:rPr>
                <w:rFonts w:hint="eastAsia"/>
                <w:rtl/>
              </w:rPr>
              <w:t>על</w:t>
            </w:r>
            <w:r w:rsidRPr="008B7F19">
              <w:rPr>
                <w:rtl/>
              </w:rPr>
              <w:t xml:space="preserve"> </w:t>
            </w:r>
            <w:r w:rsidRPr="008B7F19">
              <w:rPr>
                <w:rFonts w:hint="eastAsia"/>
                <w:rtl/>
              </w:rPr>
              <w:t>כוונת</w:t>
            </w:r>
            <w:r w:rsidRPr="008B7F19">
              <w:rPr>
                <w:rtl/>
              </w:rPr>
              <w:t xml:space="preserve"> </w:t>
            </w:r>
            <w:r w:rsidRPr="008B7F19">
              <w:rPr>
                <w:rFonts w:hint="eastAsia"/>
                <w:rtl/>
              </w:rPr>
              <w:t>רשות</w:t>
            </w:r>
            <w:r w:rsidRPr="008B7F19">
              <w:rPr>
                <w:rtl/>
              </w:rPr>
              <w:t xml:space="preserve"> </w:t>
            </w:r>
            <w:r w:rsidRPr="008B7F19">
              <w:rPr>
                <w:rFonts w:hint="eastAsia"/>
                <w:rtl/>
              </w:rPr>
              <w:t>החדשנות</w:t>
            </w:r>
            <w:r w:rsidRPr="008B7F19">
              <w:rPr>
                <w:rtl/>
              </w:rPr>
              <w:t xml:space="preserve"> </w:t>
            </w:r>
            <w:r w:rsidRPr="008B7F19">
              <w:rPr>
                <w:rFonts w:hint="eastAsia"/>
                <w:rtl/>
              </w:rPr>
              <w:t>לפעול</w:t>
            </w:r>
            <w:r w:rsidRPr="008B7F19">
              <w:rPr>
                <w:rtl/>
              </w:rPr>
              <w:t xml:space="preserve"> </w:t>
            </w:r>
            <w:r w:rsidRPr="008B7F19">
              <w:rPr>
                <w:rFonts w:hint="eastAsia"/>
                <w:rtl/>
              </w:rPr>
              <w:t>לעידוד</w:t>
            </w:r>
            <w:r w:rsidRPr="008B7F19">
              <w:rPr>
                <w:rtl/>
              </w:rPr>
              <w:t xml:space="preserve"> </w:t>
            </w:r>
            <w:r w:rsidRPr="008B7F19">
              <w:rPr>
                <w:rFonts w:hint="eastAsia"/>
                <w:rtl/>
              </w:rPr>
              <w:t>מחקר</w:t>
            </w:r>
            <w:r w:rsidRPr="008B7F19">
              <w:rPr>
                <w:rtl/>
              </w:rPr>
              <w:t xml:space="preserve"> </w:t>
            </w:r>
            <w:r w:rsidRPr="008B7F19">
              <w:rPr>
                <w:rFonts w:hint="eastAsia"/>
                <w:rtl/>
              </w:rPr>
              <w:t>יישומי</w:t>
            </w:r>
            <w:r w:rsidRPr="008B7F19">
              <w:rPr>
                <w:rtl/>
              </w:rPr>
              <w:t xml:space="preserve"> </w:t>
            </w:r>
            <w:r w:rsidRPr="008B7F19">
              <w:rPr>
                <w:rFonts w:hint="eastAsia"/>
                <w:rtl/>
              </w:rPr>
              <w:t>בתחומי</w:t>
            </w:r>
            <w:r w:rsidRPr="008B7F19">
              <w:rPr>
                <w:rtl/>
              </w:rPr>
              <w:t xml:space="preserve"> </w:t>
            </w:r>
            <w:r w:rsidRPr="008B7F19">
              <w:rPr>
                <w:rFonts w:hint="eastAsia"/>
                <w:rtl/>
              </w:rPr>
              <w:t>האקלים</w:t>
            </w:r>
            <w:r w:rsidRPr="008B7F19">
              <w:rPr>
                <w:rtl/>
              </w:rPr>
              <w:t xml:space="preserve"> </w:t>
            </w:r>
            <w:r w:rsidRPr="008B7F19">
              <w:rPr>
                <w:rFonts w:hint="eastAsia"/>
                <w:rtl/>
              </w:rPr>
              <w:t>ועל</w:t>
            </w:r>
            <w:r w:rsidRPr="008B7F19">
              <w:rPr>
                <w:rtl/>
              </w:rPr>
              <w:t xml:space="preserve"> </w:t>
            </w:r>
            <w:r w:rsidRPr="008B7F19">
              <w:rPr>
                <w:rFonts w:hint="eastAsia"/>
                <w:rtl/>
              </w:rPr>
              <w:t>כוונתה</w:t>
            </w:r>
            <w:r w:rsidRPr="008B7F19">
              <w:rPr>
                <w:rtl/>
              </w:rPr>
              <w:t xml:space="preserve"> </w:t>
            </w:r>
            <w:r w:rsidRPr="008B7F19">
              <w:rPr>
                <w:rFonts w:hint="eastAsia"/>
                <w:rtl/>
              </w:rPr>
              <w:t>להגדיל</w:t>
            </w:r>
            <w:r w:rsidRPr="008B7F19">
              <w:rPr>
                <w:rtl/>
              </w:rPr>
              <w:t xml:space="preserve"> </w:t>
            </w:r>
            <w:r w:rsidRPr="008B7F19">
              <w:rPr>
                <w:rFonts w:hint="eastAsia"/>
                <w:rtl/>
              </w:rPr>
              <w:t>את</w:t>
            </w:r>
            <w:r w:rsidRPr="008B7F19">
              <w:rPr>
                <w:rtl/>
              </w:rPr>
              <w:t xml:space="preserve"> </w:t>
            </w:r>
            <w:r w:rsidRPr="008B7F19">
              <w:rPr>
                <w:rFonts w:hint="eastAsia"/>
                <w:rtl/>
              </w:rPr>
              <w:t>היקפי</w:t>
            </w:r>
            <w:r w:rsidRPr="008B7F19">
              <w:rPr>
                <w:rtl/>
              </w:rPr>
              <w:t xml:space="preserve"> </w:t>
            </w:r>
            <w:r w:rsidRPr="008B7F19">
              <w:rPr>
                <w:rFonts w:hint="eastAsia"/>
                <w:rtl/>
              </w:rPr>
              <w:t>הסיוע</w:t>
            </w:r>
            <w:r w:rsidRPr="008B7F19">
              <w:rPr>
                <w:rtl/>
              </w:rPr>
              <w:t xml:space="preserve"> </w:t>
            </w:r>
            <w:r w:rsidRPr="008B7F19">
              <w:rPr>
                <w:rFonts w:hint="eastAsia"/>
                <w:rtl/>
              </w:rPr>
              <w:t>ו</w:t>
            </w:r>
            <w:r w:rsidRPr="008B7F19">
              <w:rPr>
                <w:rFonts w:hint="cs"/>
                <w:rtl/>
              </w:rPr>
              <w:t xml:space="preserve">את </w:t>
            </w:r>
            <w:r w:rsidRPr="008B7F19">
              <w:rPr>
                <w:rFonts w:hint="eastAsia"/>
                <w:rtl/>
              </w:rPr>
              <w:t>פרק</w:t>
            </w:r>
            <w:r w:rsidRPr="008B7F19">
              <w:rPr>
                <w:rtl/>
              </w:rPr>
              <w:t xml:space="preserve"> </w:t>
            </w:r>
            <w:r w:rsidRPr="008B7F19">
              <w:rPr>
                <w:rFonts w:hint="eastAsia"/>
                <w:rtl/>
              </w:rPr>
              <w:t>הזמן</w:t>
            </w:r>
            <w:r w:rsidRPr="008B7F19">
              <w:rPr>
                <w:rtl/>
              </w:rPr>
              <w:t xml:space="preserve"> </w:t>
            </w:r>
            <w:r w:rsidRPr="008B7F19">
              <w:rPr>
                <w:rFonts w:hint="eastAsia"/>
                <w:rtl/>
              </w:rPr>
              <w:t>שבו</w:t>
            </w:r>
            <w:r w:rsidRPr="008B7F19">
              <w:rPr>
                <w:rtl/>
              </w:rPr>
              <w:t xml:space="preserve"> </w:t>
            </w:r>
            <w:r w:rsidRPr="008B7F19">
              <w:rPr>
                <w:rFonts w:hint="eastAsia"/>
                <w:rtl/>
              </w:rPr>
              <w:t>ניתן</w:t>
            </w:r>
            <w:r w:rsidRPr="008B7F19">
              <w:rPr>
                <w:rtl/>
              </w:rPr>
              <w:t xml:space="preserve"> </w:t>
            </w:r>
            <w:r w:rsidRPr="008B7F19">
              <w:rPr>
                <w:rFonts w:hint="eastAsia"/>
                <w:rtl/>
              </w:rPr>
              <w:t>הסיוע</w:t>
            </w:r>
            <w:r w:rsidRPr="008B7F19">
              <w:rPr>
                <w:rtl/>
              </w:rPr>
              <w:t xml:space="preserve"> </w:t>
            </w:r>
            <w:r w:rsidRPr="008B7F19">
              <w:rPr>
                <w:rFonts w:hint="eastAsia"/>
                <w:rtl/>
              </w:rPr>
              <w:t>לעידוד</w:t>
            </w:r>
            <w:r w:rsidRPr="008B7F19">
              <w:rPr>
                <w:rtl/>
              </w:rPr>
              <w:t xml:space="preserve"> </w:t>
            </w:r>
            <w:r w:rsidRPr="008B7F19">
              <w:rPr>
                <w:rFonts w:hint="eastAsia"/>
                <w:rtl/>
              </w:rPr>
              <w:t>חדשנות</w:t>
            </w:r>
            <w:r w:rsidRPr="008B7F19">
              <w:rPr>
                <w:rtl/>
              </w:rPr>
              <w:t xml:space="preserve"> </w:t>
            </w:r>
            <w:r w:rsidRPr="008B7F19">
              <w:rPr>
                <w:rFonts w:hint="eastAsia"/>
                <w:rtl/>
              </w:rPr>
              <w:t>טכנולוגית</w:t>
            </w:r>
            <w:r w:rsidRPr="008B7F19">
              <w:rPr>
                <w:rtl/>
              </w:rPr>
              <w:t xml:space="preserve"> </w:t>
            </w:r>
            <w:r w:rsidRPr="008B7F19">
              <w:rPr>
                <w:rFonts w:hint="eastAsia"/>
                <w:rtl/>
              </w:rPr>
              <w:t>בתחום</w:t>
            </w:r>
            <w:r w:rsidRPr="008B7F19">
              <w:rPr>
                <w:rtl/>
              </w:rPr>
              <w:t xml:space="preserve"> </w:t>
            </w:r>
            <w:r w:rsidRPr="008B7F19">
              <w:rPr>
                <w:rFonts w:hint="eastAsia"/>
                <w:rtl/>
              </w:rPr>
              <w:t>האקלים</w:t>
            </w:r>
            <w:r w:rsidRPr="006D266D">
              <w:rPr>
                <w:rFonts w:hint="cs"/>
                <w:rtl/>
              </w:rPr>
              <w:t>.</w:t>
            </w:r>
            <w:r w:rsidRPr="006D266D">
              <w:rPr>
                <w:rFonts w:hint="cs"/>
              </w:rPr>
              <w:t xml:space="preserve"> </w:t>
            </w:r>
          </w:p>
        </w:tc>
      </w:tr>
    </w:tbl>
    <w:p w:rsidR="00F20E3F" w:rsidRPr="00086C6B" w:rsidP="00086C6B" w14:paraId="236C5AED" w14:textId="77777777">
      <w:pPr>
        <w:pStyle w:val="7392"/>
        <w:spacing w:before="240"/>
        <w:rPr>
          <w:rtl/>
        </w:rPr>
      </w:pPr>
      <w:r w:rsidRPr="00086C6B">
        <w:rPr>
          <w:rFonts w:hint="cs"/>
          <w:rtl/>
        </w:rPr>
        <w:t xml:space="preserve">מאז הדוח הקודם ובהתאם להחלטות הממשלה בתחום האקלים-טק, רשות החדשנות ביצעה פעולות בתחום המחקר והפיתוח של טכנולוגיות חדשניות להתמודדות עם משבר האקלים, ועודדה השקעות הון פרטי בחברות ישראליות. לצורך כך גייסה הרשות בודקים טכנולוגיים שמומחים בתחומים שבזיקה לטכנולוגיות האקלים-טק, כגון </w:t>
      </w:r>
      <w:r w:rsidRPr="00086C6B">
        <w:rPr>
          <w:rFonts w:hint="cs"/>
          <w:rtl/>
        </w:rPr>
        <w:t>אנרגייה</w:t>
      </w:r>
      <w:r w:rsidRPr="00086C6B">
        <w:rPr>
          <w:rFonts w:hint="cs"/>
          <w:rtl/>
        </w:rPr>
        <w:t xml:space="preserve">, חקלאות ומים. עוד הועלה כי רשות החדשנות מיפתה ברמה העולמית את מארג הטכנולוגיות והתהליכים שמתרחשים בתחום האקלים-טק שהם בעלי פוטנציאל לקידום פתרונות חלופיים בסקטורים פולטי </w:t>
      </w:r>
      <w:r w:rsidRPr="00086C6B">
        <w:rPr>
          <w:rFonts w:hint="cs"/>
          <w:rtl/>
        </w:rPr>
        <w:t>הגז"ח</w:t>
      </w:r>
      <w:r w:rsidRPr="00086C6B">
        <w:rPr>
          <w:rFonts w:hint="cs"/>
          <w:rtl/>
        </w:rPr>
        <w:t xml:space="preserve"> העיקריים. להלן בתרשים עיקריהם:</w:t>
      </w:r>
    </w:p>
    <w:p w:rsidR="00F20E3F" w:rsidRPr="00A96762" w:rsidP="00A96762" w14:paraId="0EE90A05" w14:textId="0AC0A729">
      <w:pPr>
        <w:pStyle w:val="733"/>
        <w:rPr>
          <w:rtl/>
        </w:rPr>
      </w:pPr>
      <w:r w:rsidRPr="00A96762">
        <w:rPr>
          <w:rFonts w:hint="eastAsia"/>
          <w:b w:val="0"/>
          <w:bCs w:val="0"/>
          <w:rtl/>
        </w:rPr>
        <w:t>תרשים</w:t>
      </w:r>
      <w:r w:rsidRPr="00A96762">
        <w:rPr>
          <w:b w:val="0"/>
          <w:bCs w:val="0"/>
          <w:rtl/>
        </w:rPr>
        <w:t xml:space="preserve"> </w:t>
      </w:r>
      <w:r w:rsidRPr="00A96762">
        <w:rPr>
          <w:rFonts w:hint="cs"/>
          <w:b w:val="0"/>
          <w:bCs w:val="0"/>
          <w:rtl/>
        </w:rPr>
        <w:t>45</w:t>
      </w:r>
      <w:r w:rsidRPr="00A96762">
        <w:rPr>
          <w:b w:val="0"/>
          <w:bCs w:val="0"/>
          <w:rtl/>
        </w:rPr>
        <w:t>:</w:t>
      </w:r>
      <w:r w:rsidRPr="00A96762">
        <w:rPr>
          <w:rFonts w:hint="cs"/>
          <w:rtl/>
        </w:rPr>
        <w:t xml:space="preserve"> מיפוי מארג הטכנולוגיות לקידום פתרונות בסקטורים </w:t>
      </w:r>
      <w:r w:rsidR="00A96762">
        <w:br/>
      </w:r>
      <w:r w:rsidRPr="00A96762">
        <w:rPr>
          <w:rFonts w:hint="cs"/>
          <w:rtl/>
        </w:rPr>
        <w:t xml:space="preserve">פולטי </w:t>
      </w:r>
      <w:r w:rsidRPr="00A96762">
        <w:rPr>
          <w:rFonts w:hint="cs"/>
          <w:rtl/>
        </w:rPr>
        <w:t>הגז"ח</w:t>
      </w:r>
      <w:r w:rsidRPr="00A96762">
        <w:rPr>
          <w:rFonts w:hint="cs"/>
          <w:rtl/>
        </w:rPr>
        <w:t xml:space="preserve"> העיקריים, נכון לשנת 2021</w:t>
      </w:r>
    </w:p>
    <w:p w:rsidR="00F20E3F" w:rsidP="00A96762" w14:paraId="1D322614" w14:textId="77777777">
      <w:pPr>
        <w:rPr>
          <w:b/>
          <w:bCs/>
          <w:rtl/>
        </w:rPr>
      </w:pPr>
      <w:r w:rsidRPr="00A96762">
        <w:rPr>
          <w:noProof/>
        </w:rPr>
        <w:drawing>
          <wp:inline distT="0" distB="0" distL="0" distR="0">
            <wp:extent cx="4685096" cy="4433904"/>
            <wp:effectExtent l="0" t="0" r="1270" b="0"/>
            <wp:docPr id="262" name="תמונה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666842" name="תמונה 262"/>
                    <pic:cNvPicPr>
                      <a:picLocks noChangeAspect="1" noChangeArrowheads="1"/>
                    </pic:cNvPicPr>
                  </pic:nvPicPr>
                  <pic:blipFill>
                    <a:blip xmlns:r="http://schemas.openxmlformats.org/officeDocument/2006/relationships" r:embed="rId54" cstate="print">
                      <a:extLst>
                        <a:ext xmlns:a="http://schemas.openxmlformats.org/drawingml/2006/main" uri="{28A0092B-C50C-407E-A947-70E740481C1C}">
                          <a14:useLocalDpi xmlns:a14="http://schemas.microsoft.com/office/drawing/2010/main" val="0"/>
                        </a:ext>
                      </a:extLst>
                    </a:blip>
                    <a:srcRect t="5401" b="2813"/>
                    <a:stretch>
                      <a:fillRect/>
                    </a:stretch>
                  </pic:blipFill>
                  <pic:spPr bwMode="auto">
                    <a:xfrm>
                      <a:off x="0" y="0"/>
                      <a:ext cx="4685096" cy="4433904"/>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F20E3F" w:rsidRPr="00A96762" w:rsidP="00A96762" w14:paraId="13714B46" w14:textId="77777777">
      <w:pPr>
        <w:pStyle w:val="737"/>
        <w:rPr>
          <w:rtl/>
        </w:rPr>
      </w:pPr>
      <w:r w:rsidRPr="00A96762">
        <w:rPr>
          <w:rFonts w:hint="cs"/>
          <w:rtl/>
        </w:rPr>
        <w:t>המקור:</w:t>
      </w:r>
      <w:r w:rsidRPr="00A96762">
        <w:rPr>
          <w:rFonts w:hint="cs"/>
        </w:rPr>
        <w:t xml:space="preserve"> </w:t>
      </w:r>
      <w:r w:rsidRPr="00A96762">
        <w:rPr>
          <w:rFonts w:hint="cs"/>
          <w:rtl/>
        </w:rPr>
        <w:t>רשות החדשנות, 2021, בעיבוד משרד מבקר המדינה.</w:t>
      </w:r>
    </w:p>
    <w:p w:rsidR="00F20E3F" w:rsidRPr="00A96762" w:rsidP="00A96762" w14:paraId="7C616B7B" w14:textId="5342343E">
      <w:pPr>
        <w:pStyle w:val="719"/>
        <w:rPr>
          <w:rtl/>
        </w:rPr>
      </w:pPr>
      <w:r w:rsidRPr="00A96762">
        <w:rPr>
          <w:rFonts w:hint="cs"/>
          <w:rtl/>
        </w:rPr>
        <w:t xml:space="preserve">מהתרשים ניתן ללמוד כי יש פוטנציאל לפיתוח טכנולוגיות בסקטורים של החשמל, הייצור והחומרים, החקלאות והמזון, הבנייה והתחבורה, ונדרש מחקר ופיתוח בתחומים הללו במטרה להפחית את פליטות </w:t>
      </w:r>
      <w:r w:rsidRPr="00A96762">
        <w:rPr>
          <w:rFonts w:hint="cs"/>
          <w:rtl/>
        </w:rPr>
        <w:t>הגז"ח</w:t>
      </w:r>
      <w:r w:rsidRPr="00A96762">
        <w:rPr>
          <w:rFonts w:hint="cs"/>
          <w:rtl/>
        </w:rPr>
        <w:t xml:space="preserve"> בעולם. הרשות מצויה אפוא בתהליך של אפיון, מיפוי ומדידה של הפעילות הטכנולוגית באקלים-טק בישראל, שצפוי להסתיים במהלך הרבעון הראשון של שנת 2024. לפי רשות החדשנות, נכון למרץ 2023 פעלו בשוק הישראלי 516 חברות אקלים-טק (ללא קשר לרשות): כ-25% מהחברות האקלים-טק הישראליות פועלות בתחום </w:t>
      </w:r>
      <w:r w:rsidRPr="00A96762">
        <w:rPr>
          <w:rFonts w:hint="cs"/>
          <w:rtl/>
        </w:rPr>
        <w:t>האנרגייה</w:t>
      </w:r>
      <w:r w:rsidRPr="00A96762">
        <w:rPr>
          <w:rFonts w:hint="cs"/>
          <w:rtl/>
        </w:rPr>
        <w:t>, כ-18%</w:t>
      </w:r>
      <w:r w:rsidRPr="00A96762">
        <w:rPr>
          <w:rFonts w:hint="cs"/>
        </w:rPr>
        <w:t xml:space="preserve"> </w:t>
      </w:r>
      <w:r w:rsidRPr="00A96762">
        <w:rPr>
          <w:rFonts w:hint="cs"/>
          <w:rtl/>
        </w:rPr>
        <w:t xml:space="preserve">בתחום </w:t>
      </w:r>
      <w:r w:rsidRPr="00A96762">
        <w:rPr>
          <w:rFonts w:hint="cs"/>
          <w:rtl/>
        </w:rPr>
        <w:t>האגריטק</w:t>
      </w:r>
      <w:r w:rsidRPr="00A96762">
        <w:rPr>
          <w:rFonts w:hint="cs"/>
          <w:rtl/>
        </w:rPr>
        <w:t xml:space="preserve"> (טכנולוגיות בתעשיית החקלאות), כ-12.5% בתחום המים, כ-10% בתחום הסביבה - בעיקר למדידות פיזיקליות של כדור הארץ, כ-12%</w:t>
      </w:r>
      <w:r w:rsidRPr="00A96762">
        <w:rPr>
          <w:rFonts w:hint="cs"/>
        </w:rPr>
        <w:t xml:space="preserve"> </w:t>
      </w:r>
      <w:r w:rsidRPr="00A96762">
        <w:rPr>
          <w:rFonts w:hint="cs"/>
          <w:rtl/>
        </w:rPr>
        <w:t xml:space="preserve">בתחום התעשייה והחומרים (כגון </w:t>
      </w:r>
      <w:r w:rsidRPr="00A96762">
        <w:rPr>
          <w:rFonts w:hint="cs"/>
          <w:rtl/>
        </w:rPr>
        <w:t>מיחזור</w:t>
      </w:r>
      <w:r w:rsidRPr="00A96762">
        <w:rPr>
          <w:rFonts w:hint="cs"/>
          <w:rtl/>
        </w:rPr>
        <w:t xml:space="preserve"> וייצור חומרים חדשים לבנייה)</w:t>
      </w:r>
      <w:r w:rsidR="0030038A">
        <w:rPr>
          <w:rFonts w:hint="cs"/>
          <w:rtl/>
        </w:rPr>
        <w:t xml:space="preserve"> ועוד</w:t>
      </w:r>
      <w:r w:rsidRPr="00A96762">
        <w:rPr>
          <w:rFonts w:hint="cs"/>
          <w:rtl/>
        </w:rPr>
        <w:t xml:space="preserve">. כמו כן ישראל מובילה בפיתוח חלבונים </w:t>
      </w:r>
      <w:r w:rsidRPr="00A96762">
        <w:rPr>
          <w:rtl/>
        </w:rPr>
        <w:t>אלטרנטיביים</w:t>
      </w:r>
      <w:r w:rsidRPr="00A96762">
        <w:rPr>
          <w:rFonts w:hint="cs"/>
          <w:rtl/>
        </w:rPr>
        <w:t xml:space="preserve"> </w:t>
      </w:r>
      <w:r w:rsidRPr="00A96762">
        <w:rPr>
          <w:rFonts w:hint="cs"/>
          <w:rtl/>
        </w:rPr>
        <w:t xml:space="preserve">- תחום שהוא בעל פוטנציאל מרכזי להפחתת פליטות, בבטיחות המזון </w:t>
      </w:r>
      <w:r w:rsidRPr="00A96762">
        <w:rPr>
          <w:rFonts w:hint="cs"/>
          <w:rtl/>
        </w:rPr>
        <w:t>ובפוד</w:t>
      </w:r>
      <w:r w:rsidRPr="00A96762">
        <w:rPr>
          <w:rFonts w:hint="cs"/>
          <w:rtl/>
        </w:rPr>
        <w:t>-טק (</w:t>
      </w:r>
      <w:r w:rsidRPr="00A96762">
        <w:rPr>
          <w:rtl/>
        </w:rPr>
        <w:t>טכנולוגיות המשמשות לניהול מזון, פסולת אורגנית, ייעול השימוש במזון ומקורות הצריכה</w:t>
      </w:r>
      <w:r w:rsidRPr="00A96762">
        <w:rPr>
          <w:rFonts w:hint="cs"/>
          <w:rtl/>
        </w:rPr>
        <w:t>).</w:t>
      </w:r>
    </w:p>
    <w:p w:rsidR="00F20E3F" w:rsidP="007B7A97" w14:paraId="09D14A8F" w14:textId="77777777">
      <w:pPr>
        <w:pStyle w:val="73414"/>
        <w:rPr>
          <w:rtl/>
        </w:rPr>
      </w:pPr>
      <w:r>
        <w:rPr>
          <w:rFonts w:hint="cs"/>
          <w:rtl/>
        </w:rPr>
        <w:t>פעולת רשות החדשנות בתחום האקלים-טק</w:t>
      </w:r>
    </w:p>
    <w:p w:rsidR="00F20E3F" w:rsidRPr="00686209" w:rsidP="00C44928" w14:paraId="3D260F0A" w14:textId="77777777">
      <w:pPr>
        <w:pStyle w:val="7114"/>
        <w:numPr>
          <w:ilvl w:val="0"/>
          <w:numId w:val="32"/>
        </w:numPr>
        <w:rPr>
          <w:rtl/>
        </w:rPr>
      </w:pPr>
      <w:r w:rsidRPr="00686209">
        <w:rPr>
          <w:rStyle w:val="7"/>
          <w:rFonts w:eastAsiaTheme="minorHAnsi" w:hint="eastAsia"/>
          <w:bCs w:val="0"/>
          <w:spacing w:val="0"/>
          <w:rtl/>
        </w:rPr>
        <w:t>השקעות</w:t>
      </w:r>
      <w:r w:rsidRPr="00686209">
        <w:rPr>
          <w:rStyle w:val="7"/>
          <w:rFonts w:eastAsiaTheme="minorHAnsi"/>
          <w:bCs w:val="0"/>
          <w:spacing w:val="0"/>
          <w:rtl/>
        </w:rPr>
        <w:t xml:space="preserve"> </w:t>
      </w:r>
      <w:r w:rsidRPr="00686209">
        <w:rPr>
          <w:rStyle w:val="7"/>
          <w:rFonts w:eastAsiaTheme="minorHAnsi" w:hint="eastAsia"/>
          <w:bCs w:val="0"/>
          <w:spacing w:val="0"/>
          <w:rtl/>
        </w:rPr>
        <w:t>רשות</w:t>
      </w:r>
      <w:r w:rsidRPr="00686209">
        <w:rPr>
          <w:rStyle w:val="7"/>
          <w:rFonts w:eastAsiaTheme="minorHAnsi"/>
          <w:bCs w:val="0"/>
          <w:spacing w:val="0"/>
          <w:rtl/>
        </w:rPr>
        <w:t xml:space="preserve"> </w:t>
      </w:r>
      <w:r w:rsidRPr="00686209">
        <w:rPr>
          <w:rStyle w:val="7"/>
          <w:rFonts w:eastAsiaTheme="minorHAnsi" w:hint="eastAsia"/>
          <w:bCs w:val="0"/>
          <w:spacing w:val="0"/>
          <w:rtl/>
        </w:rPr>
        <w:t>החדשנות</w:t>
      </w:r>
      <w:r w:rsidRPr="00686209">
        <w:rPr>
          <w:rStyle w:val="7"/>
          <w:rFonts w:eastAsiaTheme="minorHAnsi"/>
          <w:bCs w:val="0"/>
          <w:spacing w:val="0"/>
          <w:rtl/>
        </w:rPr>
        <w:t xml:space="preserve"> </w:t>
      </w:r>
      <w:r w:rsidRPr="00686209">
        <w:rPr>
          <w:rStyle w:val="7"/>
          <w:rFonts w:eastAsiaTheme="minorHAnsi" w:hint="eastAsia"/>
          <w:bCs w:val="0"/>
          <w:spacing w:val="0"/>
          <w:rtl/>
        </w:rPr>
        <w:t>באקלים</w:t>
      </w:r>
      <w:r w:rsidRPr="00686209">
        <w:rPr>
          <w:rStyle w:val="7"/>
          <w:rFonts w:eastAsiaTheme="minorHAnsi"/>
          <w:bCs w:val="0"/>
          <w:spacing w:val="0"/>
          <w:rtl/>
        </w:rPr>
        <w:t xml:space="preserve">-טק </w:t>
      </w:r>
      <w:r w:rsidRPr="00686209">
        <w:rPr>
          <w:rStyle w:val="7"/>
          <w:rFonts w:eastAsiaTheme="minorHAnsi" w:hint="eastAsia"/>
          <w:bCs w:val="0"/>
          <w:spacing w:val="0"/>
          <w:rtl/>
        </w:rPr>
        <w:t>בתחום</w:t>
      </w:r>
      <w:r w:rsidRPr="00686209">
        <w:rPr>
          <w:rStyle w:val="7"/>
          <w:rFonts w:eastAsiaTheme="minorHAnsi"/>
          <w:bCs w:val="0"/>
          <w:spacing w:val="0"/>
          <w:rtl/>
        </w:rPr>
        <w:t xml:space="preserve"> </w:t>
      </w:r>
      <w:r w:rsidRPr="00686209">
        <w:rPr>
          <w:rStyle w:val="7"/>
          <w:rFonts w:eastAsiaTheme="minorHAnsi" w:hint="eastAsia"/>
          <w:bCs w:val="0"/>
          <w:spacing w:val="0"/>
          <w:rtl/>
        </w:rPr>
        <w:t>הפחתת</w:t>
      </w:r>
      <w:r w:rsidRPr="00686209">
        <w:rPr>
          <w:rStyle w:val="7"/>
          <w:rFonts w:eastAsiaTheme="minorHAnsi"/>
          <w:bCs w:val="0"/>
          <w:spacing w:val="0"/>
          <w:rtl/>
        </w:rPr>
        <w:t xml:space="preserve"> </w:t>
      </w:r>
      <w:r w:rsidRPr="00686209">
        <w:rPr>
          <w:rStyle w:val="7"/>
          <w:rFonts w:eastAsiaTheme="minorHAnsi" w:hint="eastAsia"/>
          <w:bCs w:val="0"/>
          <w:spacing w:val="0"/>
          <w:rtl/>
        </w:rPr>
        <w:t>פליטות</w:t>
      </w:r>
      <w:r w:rsidRPr="00686209">
        <w:rPr>
          <w:rStyle w:val="7"/>
          <w:rFonts w:eastAsiaTheme="minorHAnsi"/>
          <w:bCs w:val="0"/>
          <w:spacing w:val="0"/>
          <w:rtl/>
        </w:rPr>
        <w:t xml:space="preserve"> </w:t>
      </w:r>
      <w:r w:rsidRPr="00686209">
        <w:rPr>
          <w:rStyle w:val="7"/>
          <w:rFonts w:eastAsiaTheme="minorHAnsi" w:hint="cs"/>
          <w:bCs w:val="0"/>
          <w:spacing w:val="0"/>
          <w:rtl/>
        </w:rPr>
        <w:t>בסקטור</w:t>
      </w:r>
      <w:r w:rsidRPr="00686209">
        <w:rPr>
          <w:rStyle w:val="7"/>
          <w:rFonts w:eastAsiaTheme="minorHAnsi"/>
          <w:bCs w:val="0"/>
          <w:spacing w:val="0"/>
          <w:rtl/>
        </w:rPr>
        <w:t xml:space="preserve"> </w:t>
      </w:r>
      <w:r w:rsidRPr="00686209">
        <w:rPr>
          <w:rStyle w:val="7"/>
          <w:rFonts w:eastAsiaTheme="minorHAnsi" w:hint="eastAsia"/>
          <w:bCs w:val="0"/>
          <w:spacing w:val="0"/>
          <w:rtl/>
        </w:rPr>
        <w:t>האנרגייה</w:t>
      </w:r>
      <w:r w:rsidRPr="00686209">
        <w:rPr>
          <w:rStyle w:val="7"/>
          <w:rFonts w:eastAsiaTheme="minorHAnsi"/>
          <w:bCs w:val="0"/>
          <w:spacing w:val="0"/>
          <w:rtl/>
        </w:rPr>
        <w:t xml:space="preserve"> </w:t>
      </w:r>
      <w:r w:rsidRPr="00686209">
        <w:rPr>
          <w:rStyle w:val="5"/>
          <w:rFonts w:eastAsiaTheme="minorHAnsi" w:hint="eastAsia"/>
          <w:bCs w:val="0"/>
          <w:spacing w:val="0"/>
          <w:rtl/>
        </w:rPr>
        <w:t>וייצור</w:t>
      </w:r>
      <w:r w:rsidRPr="00686209">
        <w:rPr>
          <w:rStyle w:val="5"/>
          <w:rFonts w:eastAsiaTheme="minorHAnsi"/>
          <w:bCs w:val="0"/>
          <w:spacing w:val="0"/>
          <w:rtl/>
        </w:rPr>
        <w:t xml:space="preserve"> </w:t>
      </w:r>
      <w:r w:rsidRPr="00686209">
        <w:rPr>
          <w:rStyle w:val="7"/>
          <w:rFonts w:eastAsiaTheme="minorHAnsi" w:hint="cs"/>
          <w:bCs w:val="0"/>
          <w:spacing w:val="0"/>
          <w:rtl/>
        </w:rPr>
        <w:t>ה</w:t>
      </w:r>
      <w:r w:rsidRPr="00686209">
        <w:rPr>
          <w:rStyle w:val="7"/>
          <w:rFonts w:eastAsiaTheme="minorHAnsi" w:hint="eastAsia"/>
          <w:bCs w:val="0"/>
          <w:spacing w:val="0"/>
          <w:rtl/>
        </w:rPr>
        <w:t>חשמל</w:t>
      </w:r>
      <w:r w:rsidRPr="00686209">
        <w:rPr>
          <w:rStyle w:val="5"/>
          <w:rFonts w:eastAsiaTheme="minorHAnsi" w:hint="cs"/>
          <w:bCs w:val="0"/>
          <w:spacing w:val="0"/>
          <w:rtl/>
        </w:rPr>
        <w:t>:</w:t>
      </w:r>
      <w:r w:rsidRPr="00686209">
        <w:rPr>
          <w:rFonts w:hint="cs"/>
        </w:rPr>
        <w:t xml:space="preserve"> </w:t>
      </w:r>
      <w:r w:rsidRPr="00686209">
        <w:rPr>
          <w:rFonts w:hint="cs"/>
          <w:rtl/>
        </w:rPr>
        <w:t>בהחלטות הממשלה בתחום האקלים</w:t>
      </w:r>
      <w:r w:rsidRPr="00686209">
        <w:rPr>
          <w:rtl/>
        </w:rPr>
        <w:t xml:space="preserve">-טק צוין כי יש לרתום את תעשיית האקלים-טק לטובת המאבק במשבר האקלים ולסייע לישראל לעמוד ביעדי ההפחתה של פליטות </w:t>
      </w:r>
      <w:r w:rsidRPr="00686209">
        <w:rPr>
          <w:rFonts w:hint="cs"/>
          <w:rtl/>
        </w:rPr>
        <w:t>גז</w:t>
      </w:r>
      <w:r w:rsidRPr="00686209">
        <w:rPr>
          <w:rtl/>
        </w:rPr>
        <w:t>"</w:t>
      </w:r>
      <w:r w:rsidRPr="00686209">
        <w:rPr>
          <w:rFonts w:hint="cs"/>
          <w:rtl/>
        </w:rPr>
        <w:t>ח</w:t>
      </w:r>
      <w:r w:rsidRPr="00686209">
        <w:rPr>
          <w:rFonts w:hint="cs"/>
          <w:rtl/>
        </w:rPr>
        <w:t xml:space="preserve"> שקבעה הממשלה. כאמור, לפי החלטת הממשלה 171, תחום </w:t>
      </w:r>
      <w:r w:rsidRPr="00686209">
        <w:rPr>
          <w:rFonts w:hint="cs"/>
          <w:rtl/>
        </w:rPr>
        <w:t>האנרגייה</w:t>
      </w:r>
      <w:r w:rsidRPr="00686209">
        <w:rPr>
          <w:rFonts w:hint="cs"/>
          <w:rtl/>
        </w:rPr>
        <w:t xml:space="preserve"> וייצור החשמל היה אחראי בשנת 2015 לפליטה של כ-48% (37.6 </w:t>
      </w:r>
      <w:r w:rsidRPr="00686209">
        <w:t>tCO2e</w:t>
      </w:r>
      <w:r w:rsidRPr="00686209">
        <w:rPr>
          <w:rFonts w:hint="cs"/>
          <w:rtl/>
        </w:rPr>
        <w:t xml:space="preserve">) מכמות הפליטות בישראל (שהייתה 79 </w:t>
      </w:r>
      <w:r w:rsidRPr="00686209">
        <w:t>tCO2e</w:t>
      </w:r>
      <w:r w:rsidRPr="00686209">
        <w:rPr>
          <w:rFonts w:hint="cs"/>
          <w:rtl/>
        </w:rPr>
        <w:t xml:space="preserve">), והיעד שנקבע לשנת 2030 הוא הפחתה של 30% בסקטור זה, לצד יעדים בסקטורים התחבורה, התעשייה והפסולת. כאמור, לסקטור החקלאות שהיה אחראי ב-2015 לפליטה של כ-2.87 </w:t>
      </w:r>
      <w:r w:rsidRPr="00686209">
        <w:t>tCO2e</w:t>
      </w:r>
      <w:r w:rsidRPr="00686209">
        <w:rPr>
          <w:rtl/>
        </w:rPr>
        <w:t xml:space="preserve"> </w:t>
      </w:r>
      <w:r w:rsidRPr="00686209">
        <w:rPr>
          <w:rFonts w:hint="cs"/>
          <w:rtl/>
        </w:rPr>
        <w:t xml:space="preserve">(כ-3.6%) </w:t>
      </w:r>
      <w:r w:rsidRPr="00686209">
        <w:rPr>
          <w:rFonts w:hint="eastAsia"/>
          <w:rtl/>
        </w:rPr>
        <w:t>מסך</w:t>
      </w:r>
      <w:r w:rsidRPr="00686209">
        <w:rPr>
          <w:rtl/>
        </w:rPr>
        <w:t xml:space="preserve"> </w:t>
      </w:r>
      <w:r w:rsidRPr="00686209">
        <w:rPr>
          <w:rFonts w:hint="eastAsia"/>
          <w:rtl/>
        </w:rPr>
        <w:t>כלל</w:t>
      </w:r>
      <w:r w:rsidRPr="00686209">
        <w:rPr>
          <w:rtl/>
        </w:rPr>
        <w:t xml:space="preserve"> </w:t>
      </w:r>
      <w:r w:rsidRPr="00686209">
        <w:rPr>
          <w:rFonts w:hint="eastAsia"/>
          <w:rtl/>
        </w:rPr>
        <w:t>הפליטות</w:t>
      </w:r>
      <w:r w:rsidRPr="00686209">
        <w:rPr>
          <w:rtl/>
        </w:rPr>
        <w:t xml:space="preserve"> </w:t>
      </w:r>
      <w:r w:rsidRPr="00686209">
        <w:rPr>
          <w:rFonts w:hint="eastAsia"/>
          <w:rtl/>
        </w:rPr>
        <w:t>בישראל</w:t>
      </w:r>
      <w:r>
        <w:rPr>
          <w:rStyle w:val="FootnoteReference2"/>
          <w:rtl/>
        </w:rPr>
        <w:footnoteReference w:id="111"/>
      </w:r>
      <w:r w:rsidRPr="00686209">
        <w:rPr>
          <w:rtl/>
        </w:rPr>
        <w:t xml:space="preserve"> - </w:t>
      </w:r>
      <w:r w:rsidRPr="00686209">
        <w:rPr>
          <w:rFonts w:hint="eastAsia"/>
          <w:rtl/>
        </w:rPr>
        <w:t>לא</w:t>
      </w:r>
      <w:r w:rsidRPr="00686209">
        <w:rPr>
          <w:rtl/>
        </w:rPr>
        <w:t xml:space="preserve"> </w:t>
      </w:r>
      <w:r w:rsidRPr="00686209">
        <w:rPr>
          <w:rFonts w:hint="eastAsia"/>
          <w:rtl/>
        </w:rPr>
        <w:t>נקבעו</w:t>
      </w:r>
      <w:r w:rsidRPr="00686209">
        <w:rPr>
          <w:rtl/>
        </w:rPr>
        <w:t xml:space="preserve"> </w:t>
      </w:r>
      <w:r w:rsidRPr="00686209">
        <w:rPr>
          <w:rFonts w:hint="eastAsia"/>
          <w:rtl/>
        </w:rPr>
        <w:t>יעדים</w:t>
      </w:r>
      <w:r w:rsidRPr="00686209">
        <w:rPr>
          <w:rtl/>
        </w:rPr>
        <w:t>.</w:t>
      </w:r>
      <w:r w:rsidRPr="00686209">
        <w:t xml:space="preserve"> </w:t>
      </w:r>
      <w:r w:rsidRPr="00686209">
        <w:rPr>
          <w:rFonts w:hint="cs"/>
          <w:rtl/>
        </w:rPr>
        <w:t xml:space="preserve">בעניין זה לשכת המדען הראשי במשרד </w:t>
      </w:r>
      <w:r w:rsidRPr="00686209">
        <w:rPr>
          <w:rFonts w:hint="cs"/>
          <w:rtl/>
        </w:rPr>
        <w:t>האנרגייה</w:t>
      </w:r>
      <w:r w:rsidRPr="00686209">
        <w:rPr>
          <w:rFonts w:hint="cs"/>
          <w:rtl/>
        </w:rPr>
        <w:t xml:space="preserve"> (להלן - לשכת המדען הראשי) ציינה כי סקטור </w:t>
      </w:r>
      <w:r w:rsidRPr="00686209">
        <w:rPr>
          <w:rFonts w:hint="cs"/>
          <w:rtl/>
        </w:rPr>
        <w:t>האנרגייה</w:t>
      </w:r>
      <w:r w:rsidRPr="00686209">
        <w:rPr>
          <w:rFonts w:hint="cs"/>
          <w:rtl/>
        </w:rPr>
        <w:t xml:space="preserve"> נדרש לפיתוחים וטכנולוגיות בתחום המימן והגרעין, האגירה, ייצור חשמל נקי בים, טעינה של רכבים חשמליים ועוד, אשר יכולים לסייע בעמידה ביעדים שקבעה לעצמה ישראל. רשות החדשנות השקיעה בשנים האחרונות בתחום האקלים-טק לפי הפירוט בלוח שלהלן:</w:t>
      </w:r>
    </w:p>
    <w:p w:rsidR="00F20E3F" w:rsidRPr="00A96762" w:rsidP="00A96762" w14:paraId="781BCA39" w14:textId="77777777">
      <w:pPr>
        <w:pStyle w:val="7113"/>
        <w:ind w:left="397"/>
        <w:rPr>
          <w:rtl/>
        </w:rPr>
      </w:pPr>
      <w:bookmarkStart w:id="6" w:name="_Hlk146185870"/>
      <w:r w:rsidRPr="00A96762">
        <w:rPr>
          <w:rFonts w:hint="eastAsia"/>
          <w:b w:val="0"/>
          <w:bCs w:val="0"/>
          <w:rtl/>
        </w:rPr>
        <w:t>לוח</w:t>
      </w:r>
      <w:r w:rsidRPr="00A96762">
        <w:rPr>
          <w:rFonts w:hint="cs"/>
          <w:b w:val="0"/>
          <w:bCs w:val="0"/>
          <w:rtl/>
        </w:rPr>
        <w:t xml:space="preserve"> 24</w:t>
      </w:r>
      <w:r w:rsidRPr="00A96762">
        <w:rPr>
          <w:b w:val="0"/>
          <w:bCs w:val="0"/>
          <w:rtl/>
        </w:rPr>
        <w:t>:</w:t>
      </w:r>
      <w:r w:rsidRPr="00A96762">
        <w:rPr>
          <w:rFonts w:hint="cs"/>
          <w:rtl/>
        </w:rPr>
        <w:t xml:space="preserve"> השקעות רשות החדשנות בתחומי אקלים-טק, בחקלאות ומזון מסך השקעותיה (במיליון ש"ח)</w:t>
      </w:r>
    </w:p>
    <w:tbl>
      <w:tblPr>
        <w:tblW w:w="4715" w:type="pct"/>
        <w:tblBorders>
          <w:left w:val="single" w:sz="4" w:space="0" w:color="auto"/>
          <w:right w:val="single" w:sz="4" w:space="0" w:color="auto"/>
          <w:insideV w:val="single" w:sz="4" w:space="0" w:color="auto"/>
        </w:tblBorders>
        <w:tblLook w:val="04A0"/>
      </w:tblPr>
      <w:tblGrid>
        <w:gridCol w:w="1260"/>
        <w:gridCol w:w="1069"/>
        <w:gridCol w:w="979"/>
        <w:gridCol w:w="837"/>
        <w:gridCol w:w="981"/>
        <w:gridCol w:w="981"/>
        <w:gridCol w:w="833"/>
      </w:tblGrid>
      <w:tr w14:paraId="329C1E8D" w14:textId="77777777" w:rsidTr="00F72864">
        <w:tblPrEx>
          <w:tblW w:w="4715" w:type="pct"/>
          <w:tblBorders>
            <w:left w:val="single" w:sz="4" w:space="0" w:color="auto"/>
            <w:right w:val="single" w:sz="4" w:space="0" w:color="auto"/>
            <w:insideV w:val="single" w:sz="4" w:space="0" w:color="auto"/>
          </w:tblBorders>
          <w:tblLook w:val="04A0"/>
        </w:tblPrEx>
        <w:trPr>
          <w:trHeight w:val="239"/>
        </w:trPr>
        <w:tc>
          <w:tcPr>
            <w:tcW w:w="1678" w:type="pct"/>
            <w:gridSpan w:val="2"/>
            <w:shd w:val="clear" w:color="auto" w:fill="BDCFD8"/>
            <w:vAlign w:val="bottom"/>
          </w:tcPr>
          <w:bookmarkEnd w:id="6"/>
          <w:p w:rsidR="00A96762" w:rsidRPr="001B4D4D" w:rsidP="00711A1D" w14:paraId="403EFEB9" w14:textId="77777777">
            <w:pPr>
              <w:pStyle w:val="73R"/>
              <w:rPr>
                <w:b/>
                <w:bCs/>
                <w:rtl/>
              </w:rPr>
            </w:pPr>
            <w:r w:rsidRPr="001B4D4D">
              <w:rPr>
                <w:rFonts w:hint="cs"/>
                <w:b/>
                <w:bCs/>
                <w:rtl/>
              </w:rPr>
              <w:t>ההשקעה באקלים-טק ובחקלאות ומזון יחד</w:t>
            </w:r>
            <w:r>
              <w:rPr>
                <w:b/>
                <w:bCs/>
                <w:rtl/>
              </w:rPr>
              <w:br/>
            </w:r>
            <w:r w:rsidRPr="001B4D4D">
              <w:rPr>
                <w:rFonts w:hint="cs"/>
                <w:b/>
                <w:bCs/>
                <w:rtl/>
              </w:rPr>
              <w:t>ההשקעה באקלים-טק ובחקלאות ומזון יחד</w:t>
            </w:r>
          </w:p>
        </w:tc>
        <w:tc>
          <w:tcPr>
            <w:tcW w:w="1308" w:type="pct"/>
            <w:gridSpan w:val="2"/>
            <w:shd w:val="clear" w:color="auto" w:fill="BDCFD8"/>
            <w:vAlign w:val="bottom"/>
          </w:tcPr>
          <w:p w:rsidR="00A96762" w:rsidRPr="001B4D4D" w:rsidP="00711A1D" w14:paraId="4BBECF4E" w14:textId="77777777">
            <w:pPr>
              <w:pStyle w:val="73R"/>
              <w:rPr>
                <w:b/>
                <w:bCs/>
                <w:rtl/>
              </w:rPr>
            </w:pPr>
            <w:r w:rsidRPr="001B4D4D">
              <w:rPr>
                <w:rFonts w:hint="cs"/>
                <w:b/>
                <w:bCs/>
                <w:rtl/>
              </w:rPr>
              <w:t>השקעה בחקלאות ומזון</w:t>
            </w:r>
          </w:p>
        </w:tc>
        <w:tc>
          <w:tcPr>
            <w:tcW w:w="1414" w:type="pct"/>
            <w:gridSpan w:val="2"/>
            <w:shd w:val="clear" w:color="auto" w:fill="BDCFD8"/>
            <w:vAlign w:val="bottom"/>
          </w:tcPr>
          <w:p w:rsidR="00A96762" w:rsidRPr="001B4D4D" w:rsidP="00711A1D" w14:paraId="7223C3D7" w14:textId="77777777">
            <w:pPr>
              <w:pStyle w:val="73R"/>
              <w:rPr>
                <w:b/>
                <w:bCs/>
                <w:rtl/>
              </w:rPr>
            </w:pPr>
            <w:r w:rsidRPr="001B4D4D">
              <w:rPr>
                <w:rFonts w:hint="cs"/>
                <w:b/>
                <w:bCs/>
                <w:rtl/>
              </w:rPr>
              <w:t>השקעה באקלים (</w:t>
            </w:r>
            <w:r w:rsidRPr="001B4D4D">
              <w:rPr>
                <w:rFonts w:hint="cs"/>
                <w:b/>
                <w:bCs/>
                <w:rtl/>
              </w:rPr>
              <w:t>אנרגייה</w:t>
            </w:r>
            <w:r w:rsidRPr="001B4D4D">
              <w:rPr>
                <w:rFonts w:hint="cs"/>
                <w:b/>
                <w:bCs/>
                <w:rtl/>
              </w:rPr>
              <w:t>, מים, סביבה וקיימות)</w:t>
            </w:r>
          </w:p>
        </w:tc>
        <w:tc>
          <w:tcPr>
            <w:tcW w:w="600" w:type="pct"/>
            <w:shd w:val="clear" w:color="auto" w:fill="BDCFD8"/>
            <w:noWrap/>
            <w:vAlign w:val="bottom"/>
          </w:tcPr>
          <w:p w:rsidR="00A96762" w:rsidRPr="001B4D4D" w:rsidP="00711A1D" w14:paraId="611D0D82" w14:textId="77777777">
            <w:pPr>
              <w:pStyle w:val="73R"/>
              <w:rPr>
                <w:b/>
                <w:bCs/>
                <w:rtl/>
              </w:rPr>
            </w:pPr>
          </w:p>
        </w:tc>
      </w:tr>
      <w:tr w14:paraId="5418C0D7" w14:textId="77777777" w:rsidTr="00F72864">
        <w:tblPrEx>
          <w:tblW w:w="4715" w:type="pct"/>
          <w:tblLook w:val="04A0"/>
        </w:tblPrEx>
        <w:trPr>
          <w:trHeight w:val="239"/>
        </w:trPr>
        <w:tc>
          <w:tcPr>
            <w:tcW w:w="908" w:type="pct"/>
            <w:shd w:val="clear" w:color="auto" w:fill="C8DCE4"/>
            <w:vAlign w:val="bottom"/>
          </w:tcPr>
          <w:p w:rsidR="00170E7D" w:rsidRPr="001B4D4D" w:rsidP="00170E7D" w14:paraId="2A4CD766" w14:textId="5E277D55">
            <w:pPr>
              <w:pStyle w:val="73R"/>
              <w:rPr>
                <w:b/>
                <w:bCs/>
                <w:rtl/>
              </w:rPr>
            </w:pPr>
            <w:r w:rsidRPr="008B7F19">
              <w:rPr>
                <w:rFonts w:hint="cs"/>
                <w:b/>
                <w:bCs/>
                <w:rtl/>
              </w:rPr>
              <w:t>הסכום במיליון ש"ח</w:t>
            </w:r>
          </w:p>
        </w:tc>
        <w:tc>
          <w:tcPr>
            <w:tcW w:w="770" w:type="pct"/>
            <w:shd w:val="clear" w:color="auto" w:fill="C8DCE4"/>
            <w:vAlign w:val="bottom"/>
          </w:tcPr>
          <w:p w:rsidR="00170E7D" w:rsidRPr="001B4D4D" w:rsidP="00170E7D" w14:paraId="60F0252A" w14:textId="181E9AB7">
            <w:pPr>
              <w:pStyle w:val="73R"/>
              <w:rPr>
                <w:b/>
                <w:bCs/>
                <w:rtl/>
              </w:rPr>
            </w:pPr>
            <w:r w:rsidRPr="008B7F19">
              <w:rPr>
                <w:rFonts w:hint="cs"/>
                <w:b/>
                <w:bCs/>
                <w:rtl/>
              </w:rPr>
              <w:t>השיעור מכל השקעותיה</w:t>
            </w:r>
          </w:p>
        </w:tc>
        <w:tc>
          <w:tcPr>
            <w:tcW w:w="705" w:type="pct"/>
            <w:shd w:val="clear" w:color="auto" w:fill="C8DCE4"/>
            <w:vAlign w:val="bottom"/>
          </w:tcPr>
          <w:p w:rsidR="00170E7D" w:rsidRPr="0051013D" w:rsidP="00170E7D" w14:paraId="77CEB68A" w14:textId="793D8348">
            <w:pPr>
              <w:pStyle w:val="73R"/>
              <w:rPr>
                <w:rtl/>
              </w:rPr>
            </w:pPr>
            <w:r w:rsidRPr="008B7F19">
              <w:rPr>
                <w:rFonts w:hint="cs"/>
                <w:rtl/>
              </w:rPr>
              <w:t>השיעור מכל השקעותיה</w:t>
            </w:r>
          </w:p>
        </w:tc>
        <w:tc>
          <w:tcPr>
            <w:tcW w:w="603" w:type="pct"/>
            <w:shd w:val="clear" w:color="auto" w:fill="C8DCE4"/>
            <w:vAlign w:val="bottom"/>
          </w:tcPr>
          <w:p w:rsidR="00170E7D" w:rsidRPr="0051013D" w:rsidP="00170E7D" w14:paraId="503DB6C1" w14:textId="38975A4D">
            <w:pPr>
              <w:pStyle w:val="73R"/>
              <w:rPr>
                <w:rtl/>
              </w:rPr>
            </w:pPr>
            <w:r w:rsidRPr="008B7F19">
              <w:rPr>
                <w:rFonts w:hint="cs"/>
                <w:rtl/>
              </w:rPr>
              <w:t>הסכום</w:t>
            </w:r>
            <w:r>
              <w:rPr>
                <w:rFonts w:hint="cs"/>
                <w:rtl/>
              </w:rPr>
              <w:t xml:space="preserve"> </w:t>
            </w:r>
            <w:r w:rsidRPr="008B7F19">
              <w:rPr>
                <w:rFonts w:hint="cs"/>
                <w:rtl/>
              </w:rPr>
              <w:t>במיליון ש"ח</w:t>
            </w:r>
          </w:p>
        </w:tc>
        <w:tc>
          <w:tcPr>
            <w:tcW w:w="707" w:type="pct"/>
            <w:shd w:val="clear" w:color="auto" w:fill="C8DCE4"/>
            <w:vAlign w:val="bottom"/>
          </w:tcPr>
          <w:p w:rsidR="00170E7D" w:rsidRPr="0051013D" w:rsidP="00170E7D" w14:paraId="6A98F63C" w14:textId="68CCD568">
            <w:pPr>
              <w:pStyle w:val="73R"/>
              <w:rPr>
                <w:rtl/>
              </w:rPr>
            </w:pPr>
            <w:r w:rsidRPr="008B7F19">
              <w:rPr>
                <w:rFonts w:hint="cs"/>
                <w:rtl/>
              </w:rPr>
              <w:t>השיעור מכל השקעותיה</w:t>
            </w:r>
          </w:p>
        </w:tc>
        <w:tc>
          <w:tcPr>
            <w:tcW w:w="707" w:type="pct"/>
            <w:shd w:val="clear" w:color="auto" w:fill="C8DCE4"/>
            <w:vAlign w:val="bottom"/>
          </w:tcPr>
          <w:p w:rsidR="00170E7D" w:rsidRPr="0051013D" w:rsidP="00170E7D" w14:paraId="092B39C3" w14:textId="1B3227FC">
            <w:pPr>
              <w:pStyle w:val="73R"/>
              <w:rPr>
                <w:rtl/>
              </w:rPr>
            </w:pPr>
            <w:r w:rsidRPr="008B7F19">
              <w:rPr>
                <w:rFonts w:hint="cs"/>
                <w:rtl/>
              </w:rPr>
              <w:t>הסכום במיליון ש"ח</w:t>
            </w:r>
          </w:p>
        </w:tc>
        <w:tc>
          <w:tcPr>
            <w:tcW w:w="600" w:type="pct"/>
            <w:shd w:val="clear" w:color="auto" w:fill="C8DCE4"/>
            <w:noWrap/>
            <w:vAlign w:val="bottom"/>
          </w:tcPr>
          <w:p w:rsidR="00170E7D" w:rsidRPr="00170E7D" w:rsidP="00170E7D" w14:paraId="5A5398C6" w14:textId="608860DC">
            <w:pPr>
              <w:pStyle w:val="73R"/>
              <w:rPr>
                <w:b/>
                <w:bCs/>
              </w:rPr>
            </w:pPr>
            <w:r>
              <w:rPr>
                <w:rFonts w:hint="cs"/>
                <w:b/>
                <w:bCs/>
                <w:rtl/>
              </w:rPr>
              <w:t>ה</w:t>
            </w:r>
            <w:r w:rsidRPr="00170E7D">
              <w:rPr>
                <w:rFonts w:hint="cs"/>
                <w:b/>
                <w:bCs/>
                <w:rtl/>
              </w:rPr>
              <w:t>שנה</w:t>
            </w:r>
          </w:p>
        </w:tc>
      </w:tr>
      <w:tr w14:paraId="6D1BE2C5" w14:textId="77777777" w:rsidTr="00F72864">
        <w:tblPrEx>
          <w:tblW w:w="4715" w:type="pct"/>
          <w:tblLook w:val="04A0"/>
        </w:tblPrEx>
        <w:trPr>
          <w:trHeight w:val="239"/>
        </w:trPr>
        <w:tc>
          <w:tcPr>
            <w:tcW w:w="908" w:type="pct"/>
            <w:shd w:val="clear" w:color="auto" w:fill="DFECEF"/>
            <w:vAlign w:val="center"/>
          </w:tcPr>
          <w:p w:rsidR="00F72864" w:rsidRPr="001337B3" w:rsidP="00F72864" w14:paraId="54AADAEF" w14:textId="398A20E8">
            <w:pPr>
              <w:pStyle w:val="73R"/>
              <w:spacing w:before="100" w:after="100"/>
              <w:rPr>
                <w:rtl/>
              </w:rPr>
            </w:pPr>
            <w:r w:rsidRPr="008B7F19">
              <w:rPr>
                <w:rFonts w:hint="cs"/>
                <w:rtl/>
              </w:rPr>
              <w:t>158.7</w:t>
            </w:r>
          </w:p>
        </w:tc>
        <w:tc>
          <w:tcPr>
            <w:tcW w:w="770" w:type="pct"/>
            <w:shd w:val="clear" w:color="auto" w:fill="DFECEF"/>
            <w:vAlign w:val="center"/>
          </w:tcPr>
          <w:p w:rsidR="00F72864" w:rsidRPr="001337B3" w:rsidP="00F72864" w14:paraId="399DF311" w14:textId="10EB3F35">
            <w:pPr>
              <w:pStyle w:val="73R"/>
              <w:spacing w:before="100" w:after="100"/>
              <w:rPr>
                <w:rtl/>
              </w:rPr>
            </w:pPr>
            <w:r w:rsidRPr="008B7F19">
              <w:rPr>
                <w:rFonts w:hint="cs"/>
                <w:rtl/>
              </w:rPr>
              <w:t>9.77%</w:t>
            </w:r>
          </w:p>
        </w:tc>
        <w:tc>
          <w:tcPr>
            <w:tcW w:w="705" w:type="pct"/>
            <w:shd w:val="clear" w:color="auto" w:fill="DFECEF"/>
            <w:vAlign w:val="center"/>
          </w:tcPr>
          <w:p w:rsidR="00F72864" w:rsidRPr="001337B3" w:rsidP="00F72864" w14:paraId="7B82B0C2" w14:textId="7BD5BB79">
            <w:pPr>
              <w:pStyle w:val="73R"/>
              <w:spacing w:before="100" w:after="100"/>
            </w:pPr>
            <w:r w:rsidRPr="008B7F19">
              <w:rPr>
                <w:rFonts w:hint="cs"/>
                <w:rtl/>
              </w:rPr>
              <w:t>5.67%</w:t>
            </w:r>
          </w:p>
        </w:tc>
        <w:tc>
          <w:tcPr>
            <w:tcW w:w="603" w:type="pct"/>
            <w:shd w:val="clear" w:color="auto" w:fill="DFECEF"/>
            <w:vAlign w:val="center"/>
          </w:tcPr>
          <w:p w:rsidR="00F72864" w:rsidRPr="001337B3" w:rsidP="00F72864" w14:paraId="5FC3FDA8" w14:textId="1DB4F602">
            <w:pPr>
              <w:pStyle w:val="73R"/>
              <w:spacing w:before="100" w:after="100"/>
            </w:pPr>
            <w:r w:rsidRPr="008B7F19">
              <w:rPr>
                <w:rFonts w:hint="cs"/>
                <w:rtl/>
              </w:rPr>
              <w:t>92.1</w:t>
            </w:r>
          </w:p>
        </w:tc>
        <w:tc>
          <w:tcPr>
            <w:tcW w:w="707" w:type="pct"/>
            <w:shd w:val="clear" w:color="auto" w:fill="DFECEF"/>
            <w:vAlign w:val="center"/>
          </w:tcPr>
          <w:p w:rsidR="00F72864" w:rsidRPr="001337B3" w:rsidP="00F72864" w14:paraId="7CE7078B" w14:textId="55F0867F">
            <w:pPr>
              <w:pStyle w:val="73R"/>
              <w:spacing w:before="100" w:after="100"/>
            </w:pPr>
            <w:r w:rsidRPr="008B7F19">
              <w:rPr>
                <w:rFonts w:hint="cs"/>
                <w:rtl/>
              </w:rPr>
              <w:t>4.10%</w:t>
            </w:r>
          </w:p>
        </w:tc>
        <w:tc>
          <w:tcPr>
            <w:tcW w:w="707" w:type="pct"/>
            <w:shd w:val="clear" w:color="auto" w:fill="DFECEF"/>
            <w:vAlign w:val="center"/>
          </w:tcPr>
          <w:p w:rsidR="00F72864" w:rsidRPr="0051013D" w:rsidP="00F72864" w14:paraId="461966D1" w14:textId="3BD9AE9E">
            <w:pPr>
              <w:pStyle w:val="73R"/>
              <w:spacing w:before="100" w:after="100"/>
            </w:pPr>
            <w:r w:rsidRPr="008B7F19">
              <w:rPr>
                <w:rFonts w:hint="cs"/>
                <w:rtl/>
              </w:rPr>
              <w:t>66.6</w:t>
            </w:r>
          </w:p>
        </w:tc>
        <w:tc>
          <w:tcPr>
            <w:tcW w:w="600" w:type="pct"/>
            <w:shd w:val="clear" w:color="auto" w:fill="DFECEF"/>
            <w:noWrap/>
            <w:vAlign w:val="center"/>
          </w:tcPr>
          <w:p w:rsidR="00F72864" w:rsidRPr="0051013D" w:rsidP="00F72864" w14:paraId="578A3B90" w14:textId="671E11D7">
            <w:pPr>
              <w:pStyle w:val="73R"/>
              <w:spacing w:before="100" w:after="100"/>
            </w:pPr>
            <w:r w:rsidRPr="008B7F19">
              <w:t>2019</w:t>
            </w:r>
          </w:p>
        </w:tc>
      </w:tr>
      <w:tr w14:paraId="4904D4F1" w14:textId="77777777" w:rsidTr="00F72864">
        <w:tblPrEx>
          <w:tblW w:w="4715" w:type="pct"/>
          <w:tblLook w:val="04A0"/>
        </w:tblPrEx>
        <w:trPr>
          <w:trHeight w:val="239"/>
        </w:trPr>
        <w:tc>
          <w:tcPr>
            <w:tcW w:w="908" w:type="pct"/>
            <w:shd w:val="clear" w:color="auto" w:fill="F0F8F9"/>
            <w:vAlign w:val="center"/>
          </w:tcPr>
          <w:p w:rsidR="00F72864" w:rsidRPr="001337B3" w:rsidP="00F72864" w14:paraId="61D78923" w14:textId="07B987FD">
            <w:pPr>
              <w:pStyle w:val="73R"/>
              <w:spacing w:before="100" w:after="100"/>
              <w:rPr>
                <w:rtl/>
              </w:rPr>
            </w:pPr>
            <w:r w:rsidRPr="008B7F19">
              <w:rPr>
                <w:rFonts w:hint="cs"/>
                <w:rtl/>
              </w:rPr>
              <w:t>221.2</w:t>
            </w:r>
          </w:p>
        </w:tc>
        <w:tc>
          <w:tcPr>
            <w:tcW w:w="770" w:type="pct"/>
            <w:shd w:val="clear" w:color="auto" w:fill="F0F8F9"/>
            <w:vAlign w:val="center"/>
          </w:tcPr>
          <w:p w:rsidR="00F72864" w:rsidRPr="001337B3" w:rsidP="00F72864" w14:paraId="24B5015F" w14:textId="42DD873B">
            <w:pPr>
              <w:pStyle w:val="73R"/>
              <w:spacing w:before="100" w:after="100"/>
              <w:rPr>
                <w:rtl/>
              </w:rPr>
            </w:pPr>
            <w:r w:rsidRPr="008B7F19">
              <w:rPr>
                <w:rFonts w:hint="cs"/>
                <w:rtl/>
              </w:rPr>
              <w:t>9.71%</w:t>
            </w:r>
          </w:p>
        </w:tc>
        <w:tc>
          <w:tcPr>
            <w:tcW w:w="705" w:type="pct"/>
            <w:shd w:val="clear" w:color="auto" w:fill="F0F8F9"/>
            <w:vAlign w:val="center"/>
          </w:tcPr>
          <w:p w:rsidR="00F72864" w:rsidRPr="001337B3" w:rsidP="00F72864" w14:paraId="4F026470" w14:textId="6FE41A95">
            <w:pPr>
              <w:pStyle w:val="73R"/>
              <w:spacing w:before="100" w:after="100"/>
            </w:pPr>
            <w:r w:rsidRPr="008B7F19">
              <w:rPr>
                <w:rFonts w:hint="cs"/>
                <w:rtl/>
              </w:rPr>
              <w:t>6.89%</w:t>
            </w:r>
          </w:p>
        </w:tc>
        <w:tc>
          <w:tcPr>
            <w:tcW w:w="603" w:type="pct"/>
            <w:shd w:val="clear" w:color="auto" w:fill="F0F8F9"/>
            <w:vAlign w:val="center"/>
          </w:tcPr>
          <w:p w:rsidR="00F72864" w:rsidRPr="001337B3" w:rsidP="00F72864" w14:paraId="29D40F1B" w14:textId="5A27D9DA">
            <w:pPr>
              <w:pStyle w:val="73R"/>
              <w:spacing w:before="100" w:after="100"/>
            </w:pPr>
            <w:r w:rsidRPr="008B7F19">
              <w:rPr>
                <w:rFonts w:hint="cs"/>
                <w:rtl/>
              </w:rPr>
              <w:t>156.9</w:t>
            </w:r>
          </w:p>
        </w:tc>
        <w:tc>
          <w:tcPr>
            <w:tcW w:w="707" w:type="pct"/>
            <w:shd w:val="clear" w:color="auto" w:fill="F0F8F9"/>
            <w:vAlign w:val="center"/>
          </w:tcPr>
          <w:p w:rsidR="00F72864" w:rsidRPr="001337B3" w:rsidP="00F72864" w14:paraId="4754404C" w14:textId="5A661F53">
            <w:pPr>
              <w:pStyle w:val="73R"/>
              <w:spacing w:before="100" w:after="100"/>
            </w:pPr>
            <w:r w:rsidRPr="008B7F19">
              <w:rPr>
                <w:rFonts w:hint="cs"/>
                <w:rtl/>
              </w:rPr>
              <w:t>2.82%</w:t>
            </w:r>
          </w:p>
        </w:tc>
        <w:tc>
          <w:tcPr>
            <w:tcW w:w="707" w:type="pct"/>
            <w:shd w:val="clear" w:color="auto" w:fill="F0F8F9"/>
            <w:vAlign w:val="center"/>
          </w:tcPr>
          <w:p w:rsidR="00F72864" w:rsidRPr="0051013D" w:rsidP="00F72864" w14:paraId="06337403" w14:textId="3685C436">
            <w:pPr>
              <w:pStyle w:val="73R"/>
              <w:spacing w:before="100" w:after="100"/>
            </w:pPr>
            <w:r w:rsidRPr="008B7F19">
              <w:rPr>
                <w:rFonts w:hint="cs"/>
                <w:rtl/>
              </w:rPr>
              <w:t>64.2</w:t>
            </w:r>
          </w:p>
        </w:tc>
        <w:tc>
          <w:tcPr>
            <w:tcW w:w="600" w:type="pct"/>
            <w:shd w:val="clear" w:color="auto" w:fill="F0F8F9"/>
            <w:noWrap/>
            <w:vAlign w:val="center"/>
            <w:hideMark/>
          </w:tcPr>
          <w:p w:rsidR="00F72864" w:rsidRPr="0051013D" w:rsidP="00F72864" w14:paraId="7EF646BE" w14:textId="57FEC4E9">
            <w:pPr>
              <w:pStyle w:val="73R"/>
              <w:spacing w:before="100" w:after="100"/>
            </w:pPr>
            <w:r w:rsidRPr="008B7F19">
              <w:t>2020</w:t>
            </w:r>
          </w:p>
        </w:tc>
      </w:tr>
      <w:tr w14:paraId="78ED85E4" w14:textId="77777777" w:rsidTr="00F72864">
        <w:tblPrEx>
          <w:tblW w:w="4715" w:type="pct"/>
          <w:tblLook w:val="04A0"/>
        </w:tblPrEx>
        <w:trPr>
          <w:trHeight w:val="239"/>
        </w:trPr>
        <w:tc>
          <w:tcPr>
            <w:tcW w:w="908" w:type="pct"/>
            <w:shd w:val="clear" w:color="auto" w:fill="DFECEF"/>
            <w:vAlign w:val="center"/>
          </w:tcPr>
          <w:p w:rsidR="00F72864" w:rsidRPr="001337B3" w:rsidP="00F72864" w14:paraId="596A0D5F" w14:textId="7E670688">
            <w:pPr>
              <w:pStyle w:val="73R"/>
              <w:spacing w:before="100" w:after="100"/>
              <w:rPr>
                <w:rtl/>
              </w:rPr>
            </w:pPr>
            <w:r w:rsidRPr="008B7F19">
              <w:rPr>
                <w:rFonts w:hint="cs"/>
                <w:rtl/>
              </w:rPr>
              <w:t>178.6</w:t>
            </w:r>
          </w:p>
        </w:tc>
        <w:tc>
          <w:tcPr>
            <w:tcW w:w="770" w:type="pct"/>
            <w:shd w:val="clear" w:color="auto" w:fill="DFECEF"/>
            <w:vAlign w:val="center"/>
          </w:tcPr>
          <w:p w:rsidR="00F72864" w:rsidRPr="001337B3" w:rsidP="00F72864" w14:paraId="548FDDF6" w14:textId="32698BF1">
            <w:pPr>
              <w:pStyle w:val="73R"/>
              <w:spacing w:before="100" w:after="100"/>
              <w:rPr>
                <w:rtl/>
              </w:rPr>
            </w:pPr>
            <w:r w:rsidRPr="008B7F19">
              <w:rPr>
                <w:rFonts w:hint="cs"/>
                <w:rtl/>
              </w:rPr>
              <w:t>11.39%</w:t>
            </w:r>
          </w:p>
        </w:tc>
        <w:tc>
          <w:tcPr>
            <w:tcW w:w="705" w:type="pct"/>
            <w:shd w:val="clear" w:color="auto" w:fill="DFECEF"/>
            <w:vAlign w:val="center"/>
          </w:tcPr>
          <w:p w:rsidR="00F72864" w:rsidRPr="001337B3" w:rsidP="00F72864" w14:paraId="2E430826" w14:textId="72FBEF4E">
            <w:pPr>
              <w:pStyle w:val="73R"/>
              <w:spacing w:before="100" w:after="100"/>
            </w:pPr>
            <w:r w:rsidRPr="008B7F19">
              <w:rPr>
                <w:rFonts w:hint="cs"/>
                <w:rtl/>
              </w:rPr>
              <w:t>8.88%</w:t>
            </w:r>
          </w:p>
        </w:tc>
        <w:tc>
          <w:tcPr>
            <w:tcW w:w="603" w:type="pct"/>
            <w:shd w:val="clear" w:color="auto" w:fill="DFECEF"/>
            <w:vAlign w:val="center"/>
          </w:tcPr>
          <w:p w:rsidR="00F72864" w:rsidRPr="001337B3" w:rsidP="00F72864" w14:paraId="5C9C7537" w14:textId="318A2433">
            <w:pPr>
              <w:pStyle w:val="73R"/>
              <w:spacing w:before="100" w:after="100"/>
            </w:pPr>
            <w:r w:rsidRPr="008B7F19">
              <w:rPr>
                <w:rFonts w:hint="cs"/>
                <w:rtl/>
              </w:rPr>
              <w:t>139.2</w:t>
            </w:r>
          </w:p>
        </w:tc>
        <w:tc>
          <w:tcPr>
            <w:tcW w:w="707" w:type="pct"/>
            <w:shd w:val="clear" w:color="auto" w:fill="DFECEF"/>
            <w:vAlign w:val="center"/>
          </w:tcPr>
          <w:p w:rsidR="00F72864" w:rsidRPr="001337B3" w:rsidP="00F72864" w14:paraId="7949AFE5" w14:textId="3887A620">
            <w:pPr>
              <w:pStyle w:val="73R"/>
              <w:spacing w:before="100" w:after="100"/>
            </w:pPr>
            <w:r w:rsidRPr="008B7F19">
              <w:rPr>
                <w:rFonts w:hint="cs"/>
                <w:rtl/>
              </w:rPr>
              <w:t>2.51%</w:t>
            </w:r>
          </w:p>
        </w:tc>
        <w:tc>
          <w:tcPr>
            <w:tcW w:w="707" w:type="pct"/>
            <w:shd w:val="clear" w:color="auto" w:fill="DFECEF"/>
            <w:vAlign w:val="center"/>
          </w:tcPr>
          <w:p w:rsidR="00F72864" w:rsidRPr="0051013D" w:rsidP="00F72864" w14:paraId="1AEDDA22" w14:textId="703D5799">
            <w:pPr>
              <w:pStyle w:val="73R"/>
              <w:spacing w:before="100" w:after="100"/>
              <w:rPr>
                <w:rtl/>
              </w:rPr>
            </w:pPr>
            <w:r w:rsidRPr="008B7F19">
              <w:rPr>
                <w:rFonts w:hint="cs"/>
                <w:rtl/>
              </w:rPr>
              <w:t>39.4</w:t>
            </w:r>
          </w:p>
        </w:tc>
        <w:tc>
          <w:tcPr>
            <w:tcW w:w="600" w:type="pct"/>
            <w:shd w:val="clear" w:color="auto" w:fill="DFECEF"/>
            <w:noWrap/>
            <w:vAlign w:val="center"/>
            <w:hideMark/>
          </w:tcPr>
          <w:p w:rsidR="00F72864" w:rsidRPr="0051013D" w:rsidP="00F72864" w14:paraId="31D5FA3B" w14:textId="1F0C75DE">
            <w:pPr>
              <w:pStyle w:val="73R"/>
              <w:spacing w:before="100" w:after="100"/>
              <w:rPr>
                <w:rtl/>
              </w:rPr>
            </w:pPr>
            <w:r w:rsidRPr="008B7F19">
              <w:t>2021</w:t>
            </w:r>
          </w:p>
        </w:tc>
      </w:tr>
      <w:tr w14:paraId="4F4B8E87" w14:textId="77777777" w:rsidTr="00F72864">
        <w:tblPrEx>
          <w:tblW w:w="4715" w:type="pct"/>
          <w:tblLook w:val="04A0"/>
        </w:tblPrEx>
        <w:trPr>
          <w:trHeight w:val="239"/>
        </w:trPr>
        <w:tc>
          <w:tcPr>
            <w:tcW w:w="908" w:type="pct"/>
            <w:shd w:val="clear" w:color="auto" w:fill="F0F8F9"/>
            <w:vAlign w:val="center"/>
          </w:tcPr>
          <w:p w:rsidR="00F72864" w:rsidRPr="001337B3" w:rsidP="00F72864" w14:paraId="4B368193" w14:textId="30D0D7D8">
            <w:pPr>
              <w:pStyle w:val="73R"/>
              <w:spacing w:before="100" w:after="100"/>
              <w:rPr>
                <w:rtl/>
              </w:rPr>
            </w:pPr>
            <w:r w:rsidRPr="008B7F19">
              <w:rPr>
                <w:rFonts w:hint="cs"/>
                <w:rtl/>
              </w:rPr>
              <w:t>200.7</w:t>
            </w:r>
          </w:p>
        </w:tc>
        <w:tc>
          <w:tcPr>
            <w:tcW w:w="770" w:type="pct"/>
            <w:shd w:val="clear" w:color="auto" w:fill="F0F8F9"/>
            <w:vAlign w:val="center"/>
          </w:tcPr>
          <w:p w:rsidR="00F72864" w:rsidRPr="001337B3" w:rsidP="00F72864" w14:paraId="0515C716" w14:textId="194834E1">
            <w:pPr>
              <w:pStyle w:val="73R"/>
              <w:spacing w:before="100" w:after="100"/>
              <w:rPr>
                <w:rtl/>
              </w:rPr>
            </w:pPr>
            <w:r w:rsidRPr="008B7F19">
              <w:rPr>
                <w:rFonts w:hint="cs"/>
                <w:rtl/>
              </w:rPr>
              <w:t>11.85%</w:t>
            </w:r>
          </w:p>
        </w:tc>
        <w:tc>
          <w:tcPr>
            <w:tcW w:w="705" w:type="pct"/>
            <w:shd w:val="clear" w:color="auto" w:fill="F0F8F9"/>
            <w:vAlign w:val="center"/>
          </w:tcPr>
          <w:p w:rsidR="00F72864" w:rsidRPr="001337B3" w:rsidP="00F72864" w14:paraId="2F8352F0" w14:textId="53B7B957">
            <w:pPr>
              <w:pStyle w:val="73R"/>
              <w:spacing w:before="100" w:after="100"/>
            </w:pPr>
            <w:r w:rsidRPr="008B7F19">
              <w:rPr>
                <w:rFonts w:hint="cs"/>
                <w:rtl/>
              </w:rPr>
              <w:t>6.15%</w:t>
            </w:r>
          </w:p>
        </w:tc>
        <w:tc>
          <w:tcPr>
            <w:tcW w:w="603" w:type="pct"/>
            <w:shd w:val="clear" w:color="auto" w:fill="F0F8F9"/>
            <w:vAlign w:val="center"/>
          </w:tcPr>
          <w:p w:rsidR="00F72864" w:rsidRPr="001337B3" w:rsidP="00F72864" w14:paraId="5C1180A6" w14:textId="32826547">
            <w:pPr>
              <w:pStyle w:val="73R"/>
              <w:spacing w:before="100" w:after="100"/>
            </w:pPr>
            <w:r w:rsidRPr="008B7F19">
              <w:rPr>
                <w:rFonts w:hint="cs"/>
                <w:rtl/>
              </w:rPr>
              <w:t>104.7</w:t>
            </w:r>
          </w:p>
        </w:tc>
        <w:tc>
          <w:tcPr>
            <w:tcW w:w="707" w:type="pct"/>
            <w:shd w:val="clear" w:color="auto" w:fill="F0F8F9"/>
            <w:vAlign w:val="center"/>
          </w:tcPr>
          <w:p w:rsidR="00F72864" w:rsidRPr="001337B3" w:rsidP="00F72864" w14:paraId="26815ABD" w14:textId="35F47C9F">
            <w:pPr>
              <w:pStyle w:val="73R"/>
              <w:spacing w:before="100" w:after="100"/>
            </w:pPr>
            <w:r w:rsidRPr="008B7F19">
              <w:rPr>
                <w:rFonts w:hint="cs"/>
                <w:rtl/>
              </w:rPr>
              <w:t>5.7%</w:t>
            </w:r>
          </w:p>
        </w:tc>
        <w:tc>
          <w:tcPr>
            <w:tcW w:w="707" w:type="pct"/>
            <w:shd w:val="clear" w:color="auto" w:fill="F0F8F9"/>
            <w:vAlign w:val="center"/>
          </w:tcPr>
          <w:p w:rsidR="00F72864" w:rsidRPr="0051013D" w:rsidP="00F72864" w14:paraId="4B82D6DB" w14:textId="47E88EAA">
            <w:pPr>
              <w:pStyle w:val="73R"/>
              <w:spacing w:before="100" w:after="100"/>
            </w:pPr>
            <w:r w:rsidRPr="008B7F19">
              <w:rPr>
                <w:rFonts w:hint="cs"/>
                <w:rtl/>
              </w:rPr>
              <w:t>96</w:t>
            </w:r>
          </w:p>
        </w:tc>
        <w:tc>
          <w:tcPr>
            <w:tcW w:w="600" w:type="pct"/>
            <w:shd w:val="clear" w:color="auto" w:fill="F0F8F9"/>
            <w:noWrap/>
            <w:vAlign w:val="center"/>
            <w:hideMark/>
          </w:tcPr>
          <w:p w:rsidR="00F72864" w:rsidRPr="0051013D" w:rsidP="00F72864" w14:paraId="7579735C" w14:textId="3EBE7C0D">
            <w:pPr>
              <w:pStyle w:val="73R"/>
              <w:spacing w:before="100" w:after="100"/>
            </w:pPr>
            <w:r w:rsidRPr="008B7F19">
              <w:t>2022</w:t>
            </w:r>
          </w:p>
        </w:tc>
      </w:tr>
      <w:tr w14:paraId="4564AD86" w14:textId="77777777" w:rsidTr="00F72864">
        <w:tblPrEx>
          <w:tblW w:w="4715" w:type="pct"/>
          <w:tblLook w:val="04A0"/>
        </w:tblPrEx>
        <w:trPr>
          <w:trHeight w:val="239"/>
        </w:trPr>
        <w:tc>
          <w:tcPr>
            <w:tcW w:w="908" w:type="pct"/>
            <w:shd w:val="clear" w:color="auto" w:fill="DFECEF"/>
            <w:vAlign w:val="center"/>
          </w:tcPr>
          <w:p w:rsidR="00170E7D" w:rsidRPr="001B4D4D" w:rsidP="00F72864" w14:paraId="20A79F7F" w14:textId="33A46F28">
            <w:pPr>
              <w:pStyle w:val="73R"/>
              <w:spacing w:before="100" w:after="100"/>
              <w:rPr>
                <w:b/>
                <w:bCs/>
                <w:rtl/>
              </w:rPr>
            </w:pPr>
            <w:r w:rsidRPr="008B7F19">
              <w:rPr>
                <w:rFonts w:hint="cs"/>
                <w:b/>
                <w:bCs/>
                <w:rtl/>
              </w:rPr>
              <w:t>759.2</w:t>
            </w:r>
          </w:p>
        </w:tc>
        <w:tc>
          <w:tcPr>
            <w:tcW w:w="770" w:type="pct"/>
            <w:shd w:val="clear" w:color="auto" w:fill="DFECEF"/>
            <w:vAlign w:val="center"/>
          </w:tcPr>
          <w:p w:rsidR="00170E7D" w:rsidRPr="001B4D4D" w:rsidP="00F72864" w14:paraId="599E856E" w14:textId="78F6521F">
            <w:pPr>
              <w:pStyle w:val="73R"/>
              <w:spacing w:before="100" w:after="100"/>
              <w:rPr>
                <w:b/>
                <w:bCs/>
                <w:rtl/>
              </w:rPr>
            </w:pPr>
          </w:p>
        </w:tc>
        <w:tc>
          <w:tcPr>
            <w:tcW w:w="705" w:type="pct"/>
            <w:shd w:val="clear" w:color="auto" w:fill="DFECEF"/>
            <w:vAlign w:val="center"/>
          </w:tcPr>
          <w:p w:rsidR="00170E7D" w:rsidRPr="001B4D4D" w:rsidP="00F72864" w14:paraId="3171B2F1" w14:textId="77777777">
            <w:pPr>
              <w:pStyle w:val="73R"/>
              <w:spacing w:before="100" w:after="100"/>
              <w:rPr>
                <w:b/>
                <w:bCs/>
                <w:rtl/>
              </w:rPr>
            </w:pPr>
          </w:p>
        </w:tc>
        <w:tc>
          <w:tcPr>
            <w:tcW w:w="603" w:type="pct"/>
            <w:shd w:val="clear" w:color="auto" w:fill="DFECEF"/>
            <w:vAlign w:val="center"/>
          </w:tcPr>
          <w:p w:rsidR="00170E7D" w:rsidRPr="001B4D4D" w:rsidP="00F72864" w14:paraId="71EA8331" w14:textId="0CFC67C3">
            <w:pPr>
              <w:pStyle w:val="73R"/>
              <w:spacing w:before="100" w:after="100"/>
              <w:rPr>
                <w:b/>
                <w:bCs/>
                <w:rtl/>
              </w:rPr>
            </w:pPr>
            <w:r w:rsidRPr="008B7F19">
              <w:rPr>
                <w:rFonts w:hint="cs"/>
                <w:b/>
                <w:bCs/>
                <w:rtl/>
              </w:rPr>
              <w:t>492.9</w:t>
            </w:r>
          </w:p>
        </w:tc>
        <w:tc>
          <w:tcPr>
            <w:tcW w:w="707" w:type="pct"/>
            <w:shd w:val="clear" w:color="auto" w:fill="DFECEF"/>
            <w:vAlign w:val="center"/>
          </w:tcPr>
          <w:p w:rsidR="00170E7D" w:rsidRPr="001B4D4D" w:rsidP="00F72864" w14:paraId="4CB7DF1E" w14:textId="77777777">
            <w:pPr>
              <w:pStyle w:val="73R"/>
              <w:spacing w:before="100" w:after="100"/>
              <w:rPr>
                <w:b/>
                <w:bCs/>
                <w:rtl/>
              </w:rPr>
            </w:pPr>
          </w:p>
        </w:tc>
        <w:tc>
          <w:tcPr>
            <w:tcW w:w="707" w:type="pct"/>
            <w:shd w:val="clear" w:color="auto" w:fill="DFECEF"/>
            <w:vAlign w:val="center"/>
          </w:tcPr>
          <w:p w:rsidR="00170E7D" w:rsidRPr="001B4D4D" w:rsidP="00F72864" w14:paraId="44F76687" w14:textId="16B5E30A">
            <w:pPr>
              <w:pStyle w:val="73R"/>
              <w:spacing w:before="100" w:after="100"/>
              <w:rPr>
                <w:b/>
                <w:bCs/>
                <w:rtl/>
              </w:rPr>
            </w:pPr>
            <w:r w:rsidRPr="008B7F19">
              <w:rPr>
                <w:rFonts w:hint="cs"/>
                <w:b/>
                <w:bCs/>
                <w:rtl/>
              </w:rPr>
              <w:t>266.2</w:t>
            </w:r>
          </w:p>
        </w:tc>
        <w:tc>
          <w:tcPr>
            <w:tcW w:w="600" w:type="pct"/>
            <w:shd w:val="clear" w:color="auto" w:fill="DFECEF"/>
            <w:noWrap/>
            <w:vAlign w:val="center"/>
          </w:tcPr>
          <w:p w:rsidR="00170E7D" w:rsidRPr="001B4D4D" w:rsidP="00F72864" w14:paraId="622520B5" w14:textId="05FDDCAA">
            <w:pPr>
              <w:pStyle w:val="73R"/>
              <w:spacing w:before="100" w:after="100"/>
              <w:rPr>
                <w:b/>
                <w:bCs/>
                <w:rtl/>
              </w:rPr>
            </w:pPr>
            <w:r w:rsidRPr="008B7F19">
              <w:rPr>
                <w:rFonts w:hint="cs"/>
                <w:b/>
                <w:bCs/>
                <w:rtl/>
              </w:rPr>
              <w:t>סה"כ</w:t>
            </w:r>
          </w:p>
        </w:tc>
      </w:tr>
    </w:tbl>
    <w:p w:rsidR="00F20E3F" w:rsidRPr="00D705E7" w:rsidP="00A96762" w14:paraId="099F9E01" w14:textId="0E06AC1E">
      <w:pPr>
        <w:pStyle w:val="737"/>
        <w:ind w:left="397"/>
        <w:rPr>
          <w:rtl/>
        </w:rPr>
      </w:pPr>
      <w:r>
        <w:rPr>
          <w:rFonts w:hint="cs"/>
          <w:rtl/>
        </w:rPr>
        <w:t xml:space="preserve">המקור: </w:t>
      </w:r>
      <w:r w:rsidRPr="00D705E7">
        <w:rPr>
          <w:rFonts w:hint="cs"/>
          <w:rtl/>
        </w:rPr>
        <w:t>רשות החדשנות</w:t>
      </w:r>
      <w:r>
        <w:rPr>
          <w:rFonts w:hint="cs"/>
          <w:rtl/>
        </w:rPr>
        <w:t>.</w:t>
      </w:r>
    </w:p>
    <w:p w:rsidR="00F20E3F" w:rsidRPr="00686209" w:rsidP="00686209" w14:paraId="4B7D53B2" w14:textId="488621C8">
      <w:pPr>
        <w:pStyle w:val="718"/>
        <w:rPr>
          <w:rtl/>
        </w:rPr>
      </w:pPr>
      <w:r w:rsidRPr="00686209">
        <w:rPr>
          <w:rFonts w:hint="cs"/>
          <w:rtl/>
        </w:rPr>
        <w:t>מהלוח עולה כי בשנים 2019 עד 2022 השקיעה הרשות בתחומי האקלים שנבדקו (</w:t>
      </w:r>
      <w:r w:rsidRPr="00686209">
        <w:rPr>
          <w:rFonts w:hint="cs"/>
          <w:rtl/>
        </w:rPr>
        <w:t>אנרגייה</w:t>
      </w:r>
      <w:r w:rsidRPr="00686209">
        <w:rPr>
          <w:rFonts w:hint="cs"/>
          <w:rtl/>
        </w:rPr>
        <w:t>, מים, סביבה וקיימות) לצד ההשקעה בתחומי החקלאות והמזון סך מצטבר של כ-759 מיליון ש"ח (שיעור שנתי הנע בין 9.</w:t>
      </w:r>
      <w:r w:rsidR="0030038A">
        <w:rPr>
          <w:rFonts w:hint="cs"/>
          <w:rtl/>
        </w:rPr>
        <w:t>8</w:t>
      </w:r>
      <w:r w:rsidRPr="00686209">
        <w:rPr>
          <w:rFonts w:hint="cs"/>
          <w:rtl/>
        </w:rPr>
        <w:t xml:space="preserve">% ל-11.85% מכלל השקעותיה), ממנו: (א) כ-493 מיליון ש"ח בתחומי החקלאות והמזון (שיעור הנע בין 5.7% </w:t>
      </w:r>
      <w:r w:rsidR="00A96762">
        <w:br/>
      </w:r>
      <w:r w:rsidRPr="00686209">
        <w:rPr>
          <w:rFonts w:hint="cs"/>
          <w:rtl/>
        </w:rPr>
        <w:t xml:space="preserve">ל-8.9% מכלל השקעותיה); (ב) כ-266.2 מיליון ש"ח בתחומי </w:t>
      </w:r>
      <w:r w:rsidRPr="00686209">
        <w:rPr>
          <w:rFonts w:hint="cs"/>
          <w:rtl/>
        </w:rPr>
        <w:t>ה</w:t>
      </w:r>
      <w:r w:rsidRPr="00686209">
        <w:rPr>
          <w:rtl/>
        </w:rPr>
        <w:t>אנרגייה</w:t>
      </w:r>
      <w:r w:rsidRPr="00686209">
        <w:rPr>
          <w:rtl/>
        </w:rPr>
        <w:t xml:space="preserve">, </w:t>
      </w:r>
      <w:r w:rsidRPr="00686209">
        <w:rPr>
          <w:rFonts w:hint="cs"/>
          <w:rtl/>
        </w:rPr>
        <w:t>ה</w:t>
      </w:r>
      <w:r w:rsidRPr="00686209">
        <w:rPr>
          <w:rtl/>
        </w:rPr>
        <w:t xml:space="preserve">מים, </w:t>
      </w:r>
      <w:r w:rsidRPr="00686209">
        <w:rPr>
          <w:rFonts w:hint="cs"/>
          <w:rtl/>
        </w:rPr>
        <w:t>ה</w:t>
      </w:r>
      <w:r w:rsidRPr="00686209">
        <w:rPr>
          <w:rtl/>
        </w:rPr>
        <w:t>סביבה ו</w:t>
      </w:r>
      <w:r w:rsidRPr="00686209">
        <w:rPr>
          <w:rFonts w:hint="cs"/>
          <w:rtl/>
        </w:rPr>
        <w:t>ה</w:t>
      </w:r>
      <w:r w:rsidRPr="00686209">
        <w:rPr>
          <w:rtl/>
        </w:rPr>
        <w:t>קיימות</w:t>
      </w:r>
      <w:r w:rsidRPr="00686209">
        <w:rPr>
          <w:rFonts w:hint="cs"/>
          <w:rtl/>
        </w:rPr>
        <w:t xml:space="preserve"> (בין 2.5% ל-5.7% מכלל השקעותיה). עוד עולה כי בארבע השנים 2019 עד 2022 חלה תנודתיות בהשקעות רשות החדשנות באקלים-טק, בחקלאות ובמזון, ואחרי ירידה בהשקעות בשיעור של כ-40% בתחומי האקלים ושל כ-12% בתחום החקלאות והמזון בהשקעות הרשות בשנת 2021, הרי שחלה עלייה בהשקעות בשנת 2022.</w:t>
      </w:r>
    </w:p>
    <w:p w:rsidR="00F20E3F" w:rsidP="00686209" w14:paraId="2200AA82" w14:textId="77777777">
      <w:pPr>
        <w:pStyle w:val="7316"/>
        <w:rPr>
          <w:rtl/>
        </w:rPr>
      </w:pPr>
      <w:r>
        <w:rPr>
          <w:rFonts w:hint="cs"/>
          <w:rtl/>
        </w:rPr>
        <w:t xml:space="preserve">משמעות הנתונים היא </w:t>
      </w:r>
      <w:r w:rsidRPr="00B36D71">
        <w:rPr>
          <w:rFonts w:hint="cs"/>
          <w:rtl/>
        </w:rPr>
        <w:t>השקעה ג</w:t>
      </w:r>
      <w:r>
        <w:rPr>
          <w:rFonts w:hint="cs"/>
          <w:rtl/>
        </w:rPr>
        <w:t>דול</w:t>
      </w:r>
      <w:r w:rsidRPr="00B36D71">
        <w:rPr>
          <w:rFonts w:hint="cs"/>
          <w:rtl/>
        </w:rPr>
        <w:t xml:space="preserve">ה יותר </w:t>
      </w:r>
      <w:r>
        <w:rPr>
          <w:rFonts w:hint="cs"/>
          <w:rtl/>
        </w:rPr>
        <w:t>ב</w:t>
      </w:r>
      <w:r w:rsidRPr="00B36D71">
        <w:rPr>
          <w:rFonts w:hint="cs"/>
          <w:rtl/>
        </w:rPr>
        <w:t xml:space="preserve">תחומי </w:t>
      </w:r>
      <w:r>
        <w:rPr>
          <w:rFonts w:hint="cs"/>
          <w:rtl/>
        </w:rPr>
        <w:t>ה</w:t>
      </w:r>
      <w:r w:rsidRPr="00B36D71">
        <w:rPr>
          <w:rFonts w:hint="cs"/>
          <w:rtl/>
        </w:rPr>
        <w:t>חקלאות ו</w:t>
      </w:r>
      <w:r>
        <w:rPr>
          <w:rFonts w:hint="cs"/>
          <w:rtl/>
        </w:rPr>
        <w:t>ה</w:t>
      </w:r>
      <w:r w:rsidRPr="00B36D71">
        <w:rPr>
          <w:rFonts w:hint="cs"/>
          <w:rtl/>
        </w:rPr>
        <w:t>מזון בשיעור של כ-3</w:t>
      </w:r>
      <w:r>
        <w:rPr>
          <w:rFonts w:hint="cs"/>
          <w:rtl/>
        </w:rPr>
        <w:t>8</w:t>
      </w:r>
      <w:r w:rsidRPr="00B36D71">
        <w:rPr>
          <w:rFonts w:hint="cs"/>
          <w:rtl/>
        </w:rPr>
        <w:t xml:space="preserve">% (בשנת 2019) עד </w:t>
      </w:r>
      <w:r>
        <w:rPr>
          <w:rFonts w:hint="cs"/>
          <w:rtl/>
        </w:rPr>
        <w:t>28</w:t>
      </w:r>
      <w:r w:rsidRPr="00B36D71">
        <w:rPr>
          <w:rFonts w:hint="cs"/>
          <w:rtl/>
        </w:rPr>
        <w:t xml:space="preserve">% (בשנת 2021) </w:t>
      </w:r>
      <w:r w:rsidRPr="00B36D71">
        <w:rPr>
          <w:rFonts w:hint="cs"/>
          <w:rtl/>
        </w:rPr>
        <w:t>מ</w:t>
      </w:r>
      <w:r>
        <w:rPr>
          <w:rFonts w:hint="cs"/>
          <w:rtl/>
        </w:rPr>
        <w:t>בתחומי</w:t>
      </w:r>
      <w:r>
        <w:rPr>
          <w:rFonts w:hint="cs"/>
          <w:rtl/>
        </w:rPr>
        <w:t xml:space="preserve"> </w:t>
      </w:r>
      <w:r>
        <w:rPr>
          <w:rFonts w:hint="cs"/>
          <w:rtl/>
        </w:rPr>
        <w:t>האנרגייה</w:t>
      </w:r>
      <w:r>
        <w:rPr>
          <w:rFonts w:hint="cs"/>
          <w:rtl/>
        </w:rPr>
        <w:t xml:space="preserve">, המים, הסביבה והקיימות. שיעור </w:t>
      </w:r>
      <w:r w:rsidRPr="00EC0938">
        <w:rPr>
          <w:rtl/>
        </w:rPr>
        <w:t xml:space="preserve">ההשקעה הציבורית של רשות החדשנות בתחומי </w:t>
      </w:r>
      <w:r w:rsidRPr="00EC0938">
        <w:rPr>
          <w:rtl/>
        </w:rPr>
        <w:t>האנרגייה</w:t>
      </w:r>
      <w:r w:rsidRPr="00EC0938">
        <w:rPr>
          <w:rtl/>
        </w:rPr>
        <w:t xml:space="preserve">, המים, הסביבה והקיימות </w:t>
      </w:r>
      <w:r>
        <w:rPr>
          <w:rFonts w:hint="cs"/>
          <w:rtl/>
        </w:rPr>
        <w:t xml:space="preserve">גדל בחזרה והיה </w:t>
      </w:r>
      <w:r w:rsidRPr="00EC0938">
        <w:rPr>
          <w:rFonts w:hint="cs"/>
          <w:rtl/>
        </w:rPr>
        <w:t>כ-</w:t>
      </w:r>
      <w:r>
        <w:rPr>
          <w:rFonts w:hint="cs"/>
          <w:rtl/>
        </w:rPr>
        <w:t>5.7</w:t>
      </w:r>
      <w:r w:rsidRPr="00EC0938">
        <w:rPr>
          <w:rtl/>
        </w:rPr>
        <w:t>%</w:t>
      </w:r>
      <w:r w:rsidRPr="00EC0938">
        <w:rPr>
          <w:rFonts w:hint="cs"/>
          <w:rtl/>
        </w:rPr>
        <w:t xml:space="preserve"> </w:t>
      </w:r>
      <w:r>
        <w:rPr>
          <w:rFonts w:hint="cs"/>
          <w:rtl/>
        </w:rPr>
        <w:t xml:space="preserve">בשנת </w:t>
      </w:r>
      <w:r w:rsidRPr="00EC0938">
        <w:rPr>
          <w:rFonts w:hint="cs"/>
          <w:rtl/>
        </w:rPr>
        <w:t xml:space="preserve">2022 לאחר </w:t>
      </w:r>
      <w:r>
        <w:rPr>
          <w:rFonts w:hint="cs"/>
          <w:rtl/>
        </w:rPr>
        <w:t xml:space="preserve">שנתיים של </w:t>
      </w:r>
      <w:r w:rsidRPr="00EC0938">
        <w:rPr>
          <w:rFonts w:hint="cs"/>
          <w:rtl/>
        </w:rPr>
        <w:t xml:space="preserve">ירידה בשנים 2020 ו-2021 (2.8% </w:t>
      </w:r>
      <w:r>
        <w:rPr>
          <w:rtl/>
        </w:rPr>
        <w:br/>
      </w:r>
      <w:r w:rsidRPr="00EC0938">
        <w:rPr>
          <w:rFonts w:hint="cs"/>
          <w:rtl/>
        </w:rPr>
        <w:t>ו-2.5%, בהתאמה).</w:t>
      </w:r>
      <w:r>
        <w:rPr>
          <w:rFonts w:hint="cs"/>
          <w:rtl/>
        </w:rPr>
        <w:t xml:space="preserve"> </w:t>
      </w:r>
    </w:p>
    <w:p w:rsidR="00F20E3F" w:rsidP="00686209" w14:paraId="0E9A04B6" w14:textId="77777777">
      <w:pPr>
        <w:pStyle w:val="7316"/>
        <w:rPr>
          <w:rtl/>
        </w:rPr>
      </w:pPr>
      <w:r>
        <w:rPr>
          <w:rFonts w:hint="cs"/>
          <w:rtl/>
        </w:rPr>
        <w:t xml:space="preserve">רשות החדשנות מסרה למשרד מבקר המדינה כי העיקרון המנחה בפעילותה הוא להשקיע בחברות מו"פ בעלות חדשנות טכנולוגית, שמחזקות את התעשייה הישראלית, על בסיס מצוינות; זאת כדי לעודד השקעות הון פרטי בחברות הישראליות וכדי לחזק את ההון האנושי הנדרש לקידום כלכלת ההיי-טק הישראלית. בשנת 2022 נתנה הרשות מענקים בהיקף של כ-1.5 מיליארד ש"ח ל-872 חברות. </w:t>
      </w:r>
    </w:p>
    <w:p w:rsidR="00F20E3F" w:rsidP="00686209" w14:paraId="45B37888" w14:textId="77777777">
      <w:pPr>
        <w:pStyle w:val="7316"/>
        <w:rPr>
          <w:rtl/>
        </w:rPr>
      </w:pPr>
      <w:r>
        <w:rPr>
          <w:rFonts w:hint="cs"/>
          <w:rtl/>
        </w:rPr>
        <w:t>ביולי 2023 מסרה הרשות נתונים נוספים הממחישים את תמיכתה בחברות בישראל בתחום האקלים-טק מתוך כלל התחומים:</w:t>
      </w:r>
    </w:p>
    <w:tbl>
      <w:tblPr>
        <w:tblStyle w:val="TableGrid"/>
        <w:bidiVisual/>
        <w:tblW w:w="0" w:type="auto"/>
        <w:tblInd w:w="360" w:type="dxa"/>
        <w:tblBorders>
          <w:top w:val="none" w:sz="0" w:space="0" w:color="auto"/>
          <w:left w:val="single" w:sz="4" w:space="0" w:color="000000" w:themeColor="text1"/>
          <w:bottom w:val="none" w:sz="0" w:space="0" w:color="auto"/>
          <w:right w:val="single" w:sz="4" w:space="0" w:color="000000" w:themeColor="text1"/>
          <w:insideH w:val="none" w:sz="0" w:space="0" w:color="auto"/>
          <w:insideV w:val="single" w:sz="4" w:space="0" w:color="000000" w:themeColor="text1"/>
        </w:tblBorders>
        <w:tblLook w:val="04A0"/>
      </w:tblPr>
      <w:tblGrid>
        <w:gridCol w:w="2121"/>
        <w:gridCol w:w="1048"/>
        <w:gridCol w:w="862"/>
        <w:gridCol w:w="937"/>
        <w:gridCol w:w="955"/>
        <w:gridCol w:w="1077"/>
      </w:tblGrid>
      <w:tr w14:paraId="282F3542" w14:textId="77777777" w:rsidTr="00F72864">
        <w:tblPrEx>
          <w:tblW w:w="0" w:type="auto"/>
          <w:tblInd w:w="360" w:type="dxa"/>
          <w:tblBorders>
            <w:top w:val="none" w:sz="0" w:space="0" w:color="auto"/>
            <w:left w:val="single" w:sz="4" w:space="0" w:color="000000" w:themeColor="text1"/>
            <w:bottom w:val="none" w:sz="0" w:space="0" w:color="auto"/>
            <w:right w:val="single" w:sz="4" w:space="0" w:color="000000" w:themeColor="text1"/>
            <w:insideH w:val="none" w:sz="0" w:space="0" w:color="auto"/>
            <w:insideV w:val="single" w:sz="4" w:space="0" w:color="000000" w:themeColor="text1"/>
          </w:tblBorders>
          <w:tblLook w:val="04A0"/>
        </w:tblPrEx>
        <w:tc>
          <w:tcPr>
            <w:tcW w:w="7000" w:type="dxa"/>
            <w:gridSpan w:val="6"/>
            <w:shd w:val="clear" w:color="auto" w:fill="B5C9D2"/>
            <w:vAlign w:val="bottom"/>
          </w:tcPr>
          <w:p w:rsidR="00F20E3F" w:rsidRPr="00A96762" w:rsidP="00A96762" w14:paraId="1123DF03" w14:textId="77777777">
            <w:pPr>
              <w:pStyle w:val="71R"/>
              <w:jc w:val="center"/>
              <w:rPr>
                <w:b/>
                <w:bCs/>
                <w:rtl/>
              </w:rPr>
            </w:pPr>
            <w:r w:rsidRPr="00A96762">
              <w:rPr>
                <w:b/>
                <w:bCs/>
                <w:rtl/>
              </w:rPr>
              <w:t>מספר חברות</w:t>
            </w:r>
            <w:r w:rsidRPr="00A96762">
              <w:rPr>
                <w:rFonts w:hint="cs"/>
                <w:b/>
                <w:bCs/>
                <w:rtl/>
              </w:rPr>
              <w:t>*</w:t>
            </w:r>
          </w:p>
        </w:tc>
      </w:tr>
      <w:tr w14:paraId="72AFB54D" w14:textId="77777777" w:rsidTr="00F72864">
        <w:tblPrEx>
          <w:tblW w:w="0" w:type="auto"/>
          <w:tblInd w:w="360" w:type="dxa"/>
          <w:tblLook w:val="04A0"/>
        </w:tblPrEx>
        <w:tc>
          <w:tcPr>
            <w:tcW w:w="2121" w:type="dxa"/>
            <w:shd w:val="clear" w:color="auto" w:fill="C8DCE4"/>
            <w:vAlign w:val="bottom"/>
          </w:tcPr>
          <w:p w:rsidR="00F20E3F" w:rsidRPr="00A96762" w:rsidP="00A96762" w14:paraId="361ADD2C" w14:textId="77777777">
            <w:pPr>
              <w:pStyle w:val="71R"/>
              <w:rPr>
                <w:b/>
                <w:bCs/>
                <w:rtl/>
              </w:rPr>
            </w:pPr>
          </w:p>
        </w:tc>
        <w:tc>
          <w:tcPr>
            <w:tcW w:w="1048" w:type="dxa"/>
            <w:shd w:val="clear" w:color="auto" w:fill="C8DCE4"/>
            <w:vAlign w:val="bottom"/>
          </w:tcPr>
          <w:p w:rsidR="00F20E3F" w:rsidRPr="00A96762" w:rsidP="00A96762" w14:paraId="3FA3C3AA" w14:textId="77777777">
            <w:pPr>
              <w:pStyle w:val="71R"/>
              <w:rPr>
                <w:b/>
                <w:bCs/>
                <w:rtl/>
              </w:rPr>
            </w:pPr>
            <w:r w:rsidRPr="00A96762">
              <w:rPr>
                <w:b/>
                <w:bCs/>
                <w:rtl/>
              </w:rPr>
              <w:t>אנרג</w:t>
            </w:r>
            <w:r w:rsidRPr="00A96762">
              <w:rPr>
                <w:rFonts w:hint="cs"/>
                <w:b/>
                <w:bCs/>
                <w:rtl/>
              </w:rPr>
              <w:t>י</w:t>
            </w:r>
            <w:r w:rsidRPr="00A96762">
              <w:rPr>
                <w:b/>
                <w:bCs/>
                <w:rtl/>
              </w:rPr>
              <w:t>יה</w:t>
            </w:r>
          </w:p>
        </w:tc>
        <w:tc>
          <w:tcPr>
            <w:tcW w:w="862" w:type="dxa"/>
            <w:shd w:val="clear" w:color="auto" w:fill="C8DCE4"/>
            <w:vAlign w:val="bottom"/>
          </w:tcPr>
          <w:p w:rsidR="00F20E3F" w:rsidRPr="00A96762" w:rsidP="00A96762" w14:paraId="08963311" w14:textId="77777777">
            <w:pPr>
              <w:pStyle w:val="71R"/>
              <w:rPr>
                <w:b/>
                <w:bCs/>
                <w:rtl/>
              </w:rPr>
            </w:pPr>
            <w:r w:rsidRPr="00A96762">
              <w:rPr>
                <w:b/>
                <w:bCs/>
                <w:rtl/>
              </w:rPr>
              <w:t>מים</w:t>
            </w:r>
          </w:p>
        </w:tc>
        <w:tc>
          <w:tcPr>
            <w:tcW w:w="937" w:type="dxa"/>
            <w:shd w:val="clear" w:color="auto" w:fill="C8DCE4"/>
            <w:vAlign w:val="bottom"/>
          </w:tcPr>
          <w:p w:rsidR="00F20E3F" w:rsidRPr="00A96762" w:rsidP="00A96762" w14:paraId="0531D2A5" w14:textId="77777777">
            <w:pPr>
              <w:pStyle w:val="71R"/>
              <w:rPr>
                <w:b/>
                <w:bCs/>
                <w:rtl/>
              </w:rPr>
            </w:pPr>
            <w:r w:rsidRPr="00A96762">
              <w:rPr>
                <w:b/>
                <w:bCs/>
                <w:rtl/>
              </w:rPr>
              <w:t>סביבה וקיימות</w:t>
            </w:r>
          </w:p>
        </w:tc>
        <w:tc>
          <w:tcPr>
            <w:tcW w:w="955" w:type="dxa"/>
            <w:shd w:val="clear" w:color="auto" w:fill="C8DCE4"/>
            <w:vAlign w:val="bottom"/>
          </w:tcPr>
          <w:p w:rsidR="00F20E3F" w:rsidRPr="00A96762" w:rsidP="00A96762" w14:paraId="636AB1A5" w14:textId="77777777">
            <w:pPr>
              <w:pStyle w:val="71R"/>
              <w:rPr>
                <w:b/>
                <w:bCs/>
                <w:rtl/>
              </w:rPr>
            </w:pPr>
            <w:r w:rsidRPr="00A96762">
              <w:rPr>
                <w:b/>
                <w:bCs/>
                <w:rtl/>
              </w:rPr>
              <w:t>חקלאות ומזון</w:t>
            </w:r>
          </w:p>
        </w:tc>
        <w:tc>
          <w:tcPr>
            <w:tcW w:w="1077" w:type="dxa"/>
            <w:shd w:val="clear" w:color="auto" w:fill="C8DCE4"/>
            <w:vAlign w:val="bottom"/>
          </w:tcPr>
          <w:p w:rsidR="00F20E3F" w:rsidRPr="00A96762" w:rsidP="00A96762" w14:paraId="0F2DFF81" w14:textId="77777777">
            <w:pPr>
              <w:pStyle w:val="71R"/>
              <w:rPr>
                <w:b/>
                <w:bCs/>
                <w:rtl/>
              </w:rPr>
            </w:pPr>
            <w:r w:rsidRPr="00A96762">
              <w:rPr>
                <w:b/>
                <w:bCs/>
                <w:rtl/>
              </w:rPr>
              <w:t>כלל התחומים</w:t>
            </w:r>
          </w:p>
        </w:tc>
      </w:tr>
      <w:tr w14:paraId="5A442E38" w14:textId="77777777" w:rsidTr="00F72864">
        <w:tblPrEx>
          <w:tblW w:w="0" w:type="auto"/>
          <w:tblInd w:w="360" w:type="dxa"/>
          <w:tblLook w:val="04A0"/>
        </w:tblPrEx>
        <w:tc>
          <w:tcPr>
            <w:tcW w:w="2121" w:type="dxa"/>
            <w:shd w:val="clear" w:color="auto" w:fill="DFECEF"/>
          </w:tcPr>
          <w:p w:rsidR="00F72864" w:rsidRPr="00A96762" w:rsidP="00F72864" w14:paraId="59CB4913" w14:textId="024FD997">
            <w:pPr>
              <w:pStyle w:val="71R"/>
              <w:rPr>
                <w:rtl/>
              </w:rPr>
            </w:pPr>
            <w:r w:rsidRPr="00F753FB">
              <w:rPr>
                <w:rtl/>
              </w:rPr>
              <w:t xml:space="preserve">מספר </w:t>
            </w:r>
            <w:r w:rsidRPr="00F753FB">
              <w:rPr>
                <w:rFonts w:hint="cs"/>
                <w:rtl/>
              </w:rPr>
              <w:t>ה</w:t>
            </w:r>
            <w:r w:rsidRPr="00F753FB">
              <w:rPr>
                <w:rtl/>
              </w:rPr>
              <w:t xml:space="preserve">חברות </w:t>
            </w:r>
            <w:r w:rsidRPr="00F753FB">
              <w:rPr>
                <w:rFonts w:hint="cs"/>
                <w:rtl/>
              </w:rPr>
              <w:t>ה</w:t>
            </w:r>
            <w:r w:rsidRPr="00F753FB">
              <w:rPr>
                <w:rtl/>
              </w:rPr>
              <w:t>פעילות</w:t>
            </w:r>
          </w:p>
        </w:tc>
        <w:tc>
          <w:tcPr>
            <w:tcW w:w="1048" w:type="dxa"/>
            <w:shd w:val="clear" w:color="auto" w:fill="DFECEF"/>
          </w:tcPr>
          <w:p w:rsidR="00F72864" w:rsidRPr="00A96762" w:rsidP="00F72864" w14:paraId="66BF52B7" w14:textId="618105B7">
            <w:pPr>
              <w:pStyle w:val="71R"/>
              <w:rPr>
                <w:rtl/>
              </w:rPr>
            </w:pPr>
            <w:r w:rsidRPr="00F753FB">
              <w:t>220</w:t>
            </w:r>
          </w:p>
        </w:tc>
        <w:tc>
          <w:tcPr>
            <w:tcW w:w="862" w:type="dxa"/>
            <w:shd w:val="clear" w:color="auto" w:fill="DFECEF"/>
          </w:tcPr>
          <w:p w:rsidR="00F72864" w:rsidRPr="00A96762" w:rsidP="00F72864" w14:paraId="54D51723" w14:textId="7DA67040">
            <w:pPr>
              <w:pStyle w:val="71R"/>
              <w:rPr>
                <w:rtl/>
              </w:rPr>
            </w:pPr>
            <w:r w:rsidRPr="00F753FB">
              <w:t>135</w:t>
            </w:r>
          </w:p>
        </w:tc>
        <w:tc>
          <w:tcPr>
            <w:tcW w:w="937" w:type="dxa"/>
            <w:shd w:val="clear" w:color="auto" w:fill="DFECEF"/>
          </w:tcPr>
          <w:p w:rsidR="00F72864" w:rsidRPr="00A96762" w:rsidP="00F72864" w14:paraId="0DE57FB2" w14:textId="6423CA02">
            <w:pPr>
              <w:pStyle w:val="71R"/>
              <w:rPr>
                <w:rtl/>
              </w:rPr>
            </w:pPr>
            <w:r w:rsidRPr="00F753FB">
              <w:t>93</w:t>
            </w:r>
          </w:p>
        </w:tc>
        <w:tc>
          <w:tcPr>
            <w:tcW w:w="955" w:type="dxa"/>
            <w:shd w:val="clear" w:color="auto" w:fill="DFECEF"/>
          </w:tcPr>
          <w:p w:rsidR="00F72864" w:rsidRPr="00A96762" w:rsidP="00F72864" w14:paraId="38608B4F" w14:textId="27249931">
            <w:pPr>
              <w:pStyle w:val="71R"/>
              <w:rPr>
                <w:rtl/>
              </w:rPr>
            </w:pPr>
            <w:r w:rsidRPr="00F753FB">
              <w:t>437</w:t>
            </w:r>
          </w:p>
        </w:tc>
        <w:tc>
          <w:tcPr>
            <w:tcW w:w="1077" w:type="dxa"/>
            <w:shd w:val="clear" w:color="auto" w:fill="DFECEF"/>
          </w:tcPr>
          <w:p w:rsidR="00F72864" w:rsidRPr="00A96762" w:rsidP="00F72864" w14:paraId="6ACD1FA7" w14:textId="552AF903">
            <w:pPr>
              <w:pStyle w:val="71R"/>
              <w:rPr>
                <w:rtl/>
              </w:rPr>
            </w:pPr>
            <w:r w:rsidRPr="00F753FB">
              <w:t>856</w:t>
            </w:r>
          </w:p>
        </w:tc>
      </w:tr>
      <w:tr w14:paraId="3F674D62" w14:textId="77777777" w:rsidTr="00F72864">
        <w:tblPrEx>
          <w:tblW w:w="0" w:type="auto"/>
          <w:tblInd w:w="360" w:type="dxa"/>
          <w:tblLook w:val="04A0"/>
        </w:tblPrEx>
        <w:tc>
          <w:tcPr>
            <w:tcW w:w="2121" w:type="dxa"/>
            <w:shd w:val="clear" w:color="auto" w:fill="F0F8F9"/>
          </w:tcPr>
          <w:p w:rsidR="00F72864" w:rsidRPr="00A96762" w:rsidP="00F72864" w14:paraId="04AE118F" w14:textId="49EAC198">
            <w:pPr>
              <w:pStyle w:val="71R"/>
              <w:rPr>
                <w:rtl/>
              </w:rPr>
            </w:pPr>
            <w:r w:rsidRPr="00F753FB">
              <w:rPr>
                <w:rtl/>
              </w:rPr>
              <w:t xml:space="preserve">מספר </w:t>
            </w:r>
            <w:r w:rsidRPr="00F753FB">
              <w:rPr>
                <w:rFonts w:hint="cs"/>
                <w:rtl/>
              </w:rPr>
              <w:t>ה</w:t>
            </w:r>
            <w:r w:rsidRPr="00F753FB">
              <w:rPr>
                <w:rtl/>
              </w:rPr>
              <w:t>חברות שנתמכו ע</w:t>
            </w:r>
            <w:r w:rsidRPr="00F753FB">
              <w:rPr>
                <w:rFonts w:hint="cs"/>
                <w:rtl/>
              </w:rPr>
              <w:t>ל ידי</w:t>
            </w:r>
            <w:r w:rsidRPr="00F753FB">
              <w:rPr>
                <w:rtl/>
              </w:rPr>
              <w:t xml:space="preserve"> הרשות</w:t>
            </w:r>
          </w:p>
        </w:tc>
        <w:tc>
          <w:tcPr>
            <w:tcW w:w="1048" w:type="dxa"/>
            <w:shd w:val="clear" w:color="auto" w:fill="F0F8F9"/>
          </w:tcPr>
          <w:p w:rsidR="00F72864" w:rsidRPr="00A96762" w:rsidP="00F72864" w14:paraId="24E44E0D" w14:textId="1C38FA28">
            <w:pPr>
              <w:pStyle w:val="71R"/>
              <w:rPr>
                <w:rtl/>
              </w:rPr>
            </w:pPr>
            <w:r w:rsidRPr="00F753FB">
              <w:t>93</w:t>
            </w:r>
          </w:p>
        </w:tc>
        <w:tc>
          <w:tcPr>
            <w:tcW w:w="862" w:type="dxa"/>
            <w:shd w:val="clear" w:color="auto" w:fill="F0F8F9"/>
          </w:tcPr>
          <w:p w:rsidR="00F72864" w:rsidRPr="00A96762" w:rsidP="00F72864" w14:paraId="65931DEA" w14:textId="7624D74F">
            <w:pPr>
              <w:pStyle w:val="71R"/>
              <w:rPr>
                <w:rtl/>
              </w:rPr>
            </w:pPr>
            <w:r w:rsidRPr="00F753FB">
              <w:t>55</w:t>
            </w:r>
          </w:p>
        </w:tc>
        <w:tc>
          <w:tcPr>
            <w:tcW w:w="937" w:type="dxa"/>
            <w:shd w:val="clear" w:color="auto" w:fill="F0F8F9"/>
          </w:tcPr>
          <w:p w:rsidR="00F72864" w:rsidRPr="00A96762" w:rsidP="00F72864" w14:paraId="57EF8800" w14:textId="02087803">
            <w:pPr>
              <w:pStyle w:val="71R"/>
              <w:rPr>
                <w:rtl/>
              </w:rPr>
            </w:pPr>
            <w:r w:rsidRPr="00F753FB">
              <w:t>35</w:t>
            </w:r>
          </w:p>
        </w:tc>
        <w:tc>
          <w:tcPr>
            <w:tcW w:w="955" w:type="dxa"/>
            <w:shd w:val="clear" w:color="auto" w:fill="F0F8F9"/>
          </w:tcPr>
          <w:p w:rsidR="00F72864" w:rsidRPr="00A96762" w:rsidP="00F72864" w14:paraId="1B415AB8" w14:textId="458BFE2D">
            <w:pPr>
              <w:pStyle w:val="71R"/>
              <w:rPr>
                <w:rtl/>
              </w:rPr>
            </w:pPr>
            <w:r w:rsidRPr="00F753FB">
              <w:t>172</w:t>
            </w:r>
          </w:p>
        </w:tc>
        <w:tc>
          <w:tcPr>
            <w:tcW w:w="1077" w:type="dxa"/>
            <w:shd w:val="clear" w:color="auto" w:fill="F0F8F9"/>
          </w:tcPr>
          <w:p w:rsidR="00F72864" w:rsidRPr="00A96762" w:rsidP="00F72864" w14:paraId="3541FBD8" w14:textId="5038945C">
            <w:pPr>
              <w:pStyle w:val="71R"/>
            </w:pPr>
            <w:r w:rsidRPr="00F753FB">
              <w:t>345</w:t>
            </w:r>
          </w:p>
        </w:tc>
      </w:tr>
      <w:tr w14:paraId="583E3EDD" w14:textId="77777777" w:rsidTr="00F72864">
        <w:tblPrEx>
          <w:tblW w:w="0" w:type="auto"/>
          <w:tblInd w:w="360" w:type="dxa"/>
          <w:tblLook w:val="04A0"/>
        </w:tblPrEx>
        <w:tc>
          <w:tcPr>
            <w:tcW w:w="2121" w:type="dxa"/>
            <w:shd w:val="clear" w:color="auto" w:fill="DFECEF"/>
          </w:tcPr>
          <w:p w:rsidR="00F72864" w:rsidRPr="00A96762" w:rsidP="00F72864" w14:paraId="7910801D" w14:textId="1791D0E6">
            <w:pPr>
              <w:pStyle w:val="71R"/>
              <w:rPr>
                <w:rtl/>
              </w:rPr>
            </w:pPr>
            <w:r w:rsidRPr="00F753FB">
              <w:rPr>
                <w:rtl/>
              </w:rPr>
              <w:t>אחוז חברות נתמכות רשות מהפעילות לפי תחום</w:t>
            </w:r>
          </w:p>
        </w:tc>
        <w:tc>
          <w:tcPr>
            <w:tcW w:w="1048" w:type="dxa"/>
            <w:shd w:val="clear" w:color="auto" w:fill="DFECEF"/>
          </w:tcPr>
          <w:p w:rsidR="00F72864" w:rsidRPr="00A96762" w:rsidP="00F72864" w14:paraId="090FDEBC" w14:textId="572E2A95">
            <w:pPr>
              <w:pStyle w:val="71R"/>
              <w:rPr>
                <w:rtl/>
              </w:rPr>
            </w:pPr>
            <w:r w:rsidRPr="00F753FB">
              <w:t>42%</w:t>
            </w:r>
          </w:p>
        </w:tc>
        <w:tc>
          <w:tcPr>
            <w:tcW w:w="862" w:type="dxa"/>
            <w:shd w:val="clear" w:color="auto" w:fill="DFECEF"/>
          </w:tcPr>
          <w:p w:rsidR="00F72864" w:rsidRPr="00A96762" w:rsidP="00F72864" w14:paraId="40E09210" w14:textId="0D897309">
            <w:pPr>
              <w:pStyle w:val="71R"/>
              <w:rPr>
                <w:rtl/>
              </w:rPr>
            </w:pPr>
            <w:r w:rsidRPr="00F753FB">
              <w:t>41%</w:t>
            </w:r>
          </w:p>
        </w:tc>
        <w:tc>
          <w:tcPr>
            <w:tcW w:w="937" w:type="dxa"/>
            <w:shd w:val="clear" w:color="auto" w:fill="DFECEF"/>
          </w:tcPr>
          <w:p w:rsidR="00F72864" w:rsidRPr="00A96762" w:rsidP="00F72864" w14:paraId="02503965" w14:textId="6FEED4C0">
            <w:pPr>
              <w:pStyle w:val="71R"/>
              <w:rPr>
                <w:rtl/>
              </w:rPr>
            </w:pPr>
            <w:r w:rsidRPr="00F753FB">
              <w:t>38%</w:t>
            </w:r>
          </w:p>
        </w:tc>
        <w:tc>
          <w:tcPr>
            <w:tcW w:w="955" w:type="dxa"/>
            <w:shd w:val="clear" w:color="auto" w:fill="DFECEF"/>
          </w:tcPr>
          <w:p w:rsidR="00F72864" w:rsidRPr="00A96762" w:rsidP="00F72864" w14:paraId="5AB69967" w14:textId="0BB5FDA3">
            <w:pPr>
              <w:pStyle w:val="71R"/>
              <w:rPr>
                <w:rtl/>
              </w:rPr>
            </w:pPr>
            <w:r w:rsidRPr="00F753FB">
              <w:t>39%</w:t>
            </w:r>
          </w:p>
        </w:tc>
        <w:tc>
          <w:tcPr>
            <w:tcW w:w="1077" w:type="dxa"/>
            <w:shd w:val="clear" w:color="auto" w:fill="DFECEF"/>
          </w:tcPr>
          <w:p w:rsidR="00F72864" w:rsidRPr="00A96762" w:rsidP="00F72864" w14:paraId="2A27E9BA" w14:textId="49085461">
            <w:pPr>
              <w:pStyle w:val="71R"/>
              <w:rPr>
                <w:rtl/>
              </w:rPr>
            </w:pPr>
            <w:r w:rsidRPr="00F753FB">
              <w:t>40%</w:t>
            </w:r>
          </w:p>
        </w:tc>
      </w:tr>
    </w:tbl>
    <w:p w:rsidR="00F20E3F" w:rsidRPr="00BF35CE" w:rsidP="00A96762" w14:paraId="66FE8A43" w14:textId="2F8E1617">
      <w:pPr>
        <w:pStyle w:val="737"/>
        <w:spacing w:after="0"/>
        <w:ind w:left="397"/>
        <w:rPr>
          <w:rtl/>
        </w:rPr>
      </w:pPr>
      <w:r>
        <w:rPr>
          <w:rFonts w:hint="cs"/>
          <w:rtl/>
        </w:rPr>
        <w:t>ה</w:t>
      </w:r>
      <w:r w:rsidRPr="00BF35CE">
        <w:rPr>
          <w:rFonts w:hint="cs"/>
          <w:rtl/>
        </w:rPr>
        <w:t>מקור:</w:t>
      </w:r>
      <w:r w:rsidRPr="00BF35CE">
        <w:rPr>
          <w:rFonts w:hint="cs"/>
        </w:rPr>
        <w:t xml:space="preserve"> </w:t>
      </w:r>
      <w:r w:rsidRPr="00BF35CE">
        <w:rPr>
          <w:rFonts w:hint="cs"/>
          <w:rtl/>
        </w:rPr>
        <w:t>רשות החדשנות</w:t>
      </w:r>
      <w:r>
        <w:rPr>
          <w:rFonts w:hint="cs"/>
          <w:rtl/>
        </w:rPr>
        <w:t>.</w:t>
      </w:r>
    </w:p>
    <w:p w:rsidR="00F20E3F" w:rsidRPr="00A308C7" w:rsidP="00A96762" w14:paraId="4E0B0E58" w14:textId="06AABF17">
      <w:pPr>
        <w:pStyle w:val="737"/>
        <w:spacing w:before="0"/>
        <w:ind w:left="707" w:hanging="367"/>
      </w:pPr>
      <w:r w:rsidRPr="00BF35CE">
        <w:rPr>
          <w:rFonts w:hint="cs"/>
          <w:rtl/>
        </w:rPr>
        <w:t xml:space="preserve">* </w:t>
      </w:r>
      <w:r w:rsidR="00A96762">
        <w:tab/>
      </w:r>
      <w:r>
        <w:rPr>
          <w:rFonts w:hint="cs"/>
          <w:rtl/>
        </w:rPr>
        <w:t>הנתונים מתייחסים</w:t>
      </w:r>
      <w:r w:rsidRPr="00BF35CE">
        <w:rPr>
          <w:rFonts w:hint="cs"/>
          <w:rtl/>
        </w:rPr>
        <w:t xml:space="preserve"> לחברות הפעילות כיום בתחום </w:t>
      </w:r>
      <w:r>
        <w:rPr>
          <w:rFonts w:hint="cs"/>
          <w:rtl/>
        </w:rPr>
        <w:t>ה</w:t>
      </w:r>
      <w:r w:rsidRPr="00BF35CE">
        <w:rPr>
          <w:rFonts w:hint="cs"/>
          <w:rtl/>
        </w:rPr>
        <w:t>אקלים-טק וקיבלו בעבר (ללא הגבלת זמן)</w:t>
      </w:r>
      <w:r>
        <w:rPr>
          <w:rFonts w:hint="cs"/>
          <w:rtl/>
        </w:rPr>
        <w:t xml:space="preserve"> </w:t>
      </w:r>
      <w:r w:rsidRPr="00BF35CE">
        <w:rPr>
          <w:rFonts w:hint="cs"/>
          <w:rtl/>
        </w:rPr>
        <w:t>תמיכה מהרשות</w:t>
      </w:r>
      <w:r>
        <w:rPr>
          <w:rFonts w:hint="cs"/>
          <w:rtl/>
        </w:rPr>
        <w:t>.</w:t>
      </w:r>
    </w:p>
    <w:p w:rsidR="00F20E3F" w:rsidRPr="00A96762" w:rsidP="00A96762" w14:paraId="1932364A" w14:textId="77777777">
      <w:pPr>
        <w:pStyle w:val="7316"/>
        <w:rPr>
          <w:rtl/>
        </w:rPr>
      </w:pPr>
      <w:r w:rsidRPr="00A96762">
        <w:rPr>
          <w:rFonts w:hint="cs"/>
          <w:rtl/>
        </w:rPr>
        <w:t>רשות החדשנות מסרה נתונים גם על ממוצע ההשקעות השנתי שלה במחקר ופיתוח אל מול השקעות המגזר הפרטי בתחום האקלים-טק לשנים 2021 עד 2022:</w:t>
      </w:r>
    </w:p>
    <w:tbl>
      <w:tblPr>
        <w:tblW w:w="7093" w:type="dxa"/>
        <w:tblInd w:w="-15" w:type="dxa"/>
        <w:tblBorders>
          <w:left w:val="single" w:sz="4" w:space="0" w:color="000000" w:themeColor="text1"/>
          <w:right w:val="single" w:sz="4" w:space="0" w:color="000000" w:themeColor="text1"/>
          <w:insideV w:val="single" w:sz="4" w:space="0" w:color="000000" w:themeColor="text1"/>
        </w:tblBorders>
        <w:tblLayout w:type="fixed"/>
        <w:tblCellMar>
          <w:left w:w="0" w:type="dxa"/>
          <w:right w:w="0" w:type="dxa"/>
        </w:tblCellMar>
        <w:tblLook w:val="04A0"/>
      </w:tblPr>
      <w:tblGrid>
        <w:gridCol w:w="1990"/>
        <w:gridCol w:w="1559"/>
        <w:gridCol w:w="1843"/>
        <w:gridCol w:w="1701"/>
      </w:tblGrid>
      <w:tr w14:paraId="126C81F3" w14:textId="77777777" w:rsidTr="00A96762">
        <w:tblPrEx>
          <w:tblW w:w="7093" w:type="dxa"/>
          <w:tblInd w:w="-15" w:type="dxa"/>
          <w:tblBorders>
            <w:left w:val="single" w:sz="4" w:space="0" w:color="000000" w:themeColor="text1"/>
            <w:right w:val="single" w:sz="4" w:space="0" w:color="000000" w:themeColor="text1"/>
            <w:insideV w:val="single" w:sz="4" w:space="0" w:color="000000" w:themeColor="text1"/>
          </w:tblBorders>
          <w:tblLayout w:type="fixed"/>
          <w:tblCellMar>
            <w:left w:w="0" w:type="dxa"/>
            <w:right w:w="0" w:type="dxa"/>
          </w:tblCellMar>
          <w:tblLook w:val="04A0"/>
        </w:tblPrEx>
        <w:trPr>
          <w:trHeight w:val="290"/>
        </w:trPr>
        <w:tc>
          <w:tcPr>
            <w:tcW w:w="1990" w:type="dxa"/>
            <w:shd w:val="clear" w:color="auto" w:fill="C8DCE4"/>
            <w:noWrap/>
            <w:tcMar>
              <w:top w:w="0" w:type="dxa"/>
              <w:left w:w="108" w:type="dxa"/>
              <w:bottom w:w="0" w:type="dxa"/>
              <w:right w:w="108" w:type="dxa"/>
            </w:tcMar>
            <w:vAlign w:val="bottom"/>
            <w:hideMark/>
          </w:tcPr>
          <w:p w:rsidR="00F20E3F" w:rsidRPr="00A96762" w:rsidP="00A96762" w14:paraId="36597313" w14:textId="77777777">
            <w:pPr>
              <w:pStyle w:val="71R"/>
              <w:rPr>
                <w:b/>
                <w:bCs/>
                <w:rtl/>
              </w:rPr>
            </w:pPr>
            <w:r w:rsidRPr="00A96762">
              <w:rPr>
                <w:b/>
                <w:bCs/>
                <w:rtl/>
              </w:rPr>
              <w:t>שיעור השקעות רשות</w:t>
            </w:r>
            <w:r w:rsidRPr="00A96762">
              <w:rPr>
                <w:rFonts w:hint="cs"/>
                <w:b/>
                <w:bCs/>
                <w:rtl/>
              </w:rPr>
              <w:t xml:space="preserve"> החדשנות</w:t>
            </w:r>
          </w:p>
        </w:tc>
        <w:tc>
          <w:tcPr>
            <w:tcW w:w="1559" w:type="dxa"/>
            <w:shd w:val="clear" w:color="auto" w:fill="C8DCE4"/>
            <w:noWrap/>
            <w:tcMar>
              <w:top w:w="0" w:type="dxa"/>
              <w:left w:w="108" w:type="dxa"/>
              <w:bottom w:w="0" w:type="dxa"/>
              <w:right w:w="108" w:type="dxa"/>
            </w:tcMar>
            <w:vAlign w:val="bottom"/>
            <w:hideMark/>
          </w:tcPr>
          <w:p w:rsidR="00F20E3F" w:rsidRPr="00A96762" w:rsidP="00A96762" w14:paraId="20A0709A" w14:textId="77777777">
            <w:pPr>
              <w:pStyle w:val="71R"/>
              <w:rPr>
                <w:b/>
                <w:bCs/>
                <w:rtl/>
              </w:rPr>
            </w:pPr>
            <w:r w:rsidRPr="00A96762">
              <w:rPr>
                <w:rFonts w:hint="cs"/>
                <w:b/>
                <w:bCs/>
                <w:rtl/>
              </w:rPr>
              <w:t xml:space="preserve">השקעות </w:t>
            </w:r>
            <w:r w:rsidRPr="00A96762">
              <w:rPr>
                <w:b/>
                <w:bCs/>
                <w:rtl/>
              </w:rPr>
              <w:t>רשות</w:t>
            </w:r>
            <w:r w:rsidRPr="00A96762">
              <w:rPr>
                <w:rFonts w:hint="cs"/>
                <w:b/>
                <w:bCs/>
                <w:rtl/>
              </w:rPr>
              <w:t xml:space="preserve"> החדשנות</w:t>
            </w:r>
          </w:p>
        </w:tc>
        <w:tc>
          <w:tcPr>
            <w:tcW w:w="1843" w:type="dxa"/>
            <w:shd w:val="clear" w:color="auto" w:fill="C8DCE4"/>
            <w:noWrap/>
            <w:tcMar>
              <w:top w:w="0" w:type="dxa"/>
              <w:left w:w="108" w:type="dxa"/>
              <w:bottom w:w="0" w:type="dxa"/>
              <w:right w:w="108" w:type="dxa"/>
            </w:tcMar>
            <w:vAlign w:val="bottom"/>
            <w:hideMark/>
          </w:tcPr>
          <w:p w:rsidR="00F20E3F" w:rsidRPr="00A96762" w:rsidP="00A96762" w14:paraId="6AE8F264" w14:textId="77777777">
            <w:pPr>
              <w:pStyle w:val="71R"/>
              <w:rPr>
                <w:b/>
                <w:bCs/>
                <w:rtl/>
              </w:rPr>
            </w:pPr>
            <w:r w:rsidRPr="00A96762">
              <w:rPr>
                <w:rFonts w:hint="cs"/>
                <w:b/>
                <w:bCs/>
                <w:rtl/>
              </w:rPr>
              <w:t>השקעות ה</w:t>
            </w:r>
            <w:r w:rsidRPr="00A96762">
              <w:rPr>
                <w:b/>
                <w:bCs/>
                <w:rtl/>
              </w:rPr>
              <w:t>מגזר פרטי*</w:t>
            </w:r>
          </w:p>
        </w:tc>
        <w:tc>
          <w:tcPr>
            <w:tcW w:w="1701" w:type="dxa"/>
            <w:shd w:val="clear" w:color="auto" w:fill="C8DCE4"/>
            <w:noWrap/>
            <w:tcMar>
              <w:top w:w="0" w:type="dxa"/>
              <w:left w:w="108" w:type="dxa"/>
              <w:bottom w:w="0" w:type="dxa"/>
              <w:right w:w="108" w:type="dxa"/>
            </w:tcMar>
            <w:vAlign w:val="bottom"/>
            <w:hideMark/>
          </w:tcPr>
          <w:p w:rsidR="00F20E3F" w:rsidRPr="00A96762" w:rsidP="00A96762" w14:paraId="05A7D394" w14:textId="77777777">
            <w:pPr>
              <w:pStyle w:val="71R"/>
              <w:rPr>
                <w:b/>
                <w:bCs/>
              </w:rPr>
            </w:pPr>
          </w:p>
        </w:tc>
      </w:tr>
      <w:tr w14:paraId="3679AA43" w14:textId="77777777" w:rsidTr="00A96762">
        <w:tblPrEx>
          <w:tblW w:w="7093" w:type="dxa"/>
          <w:tblInd w:w="-15" w:type="dxa"/>
          <w:tblLayout w:type="fixed"/>
          <w:tblCellMar>
            <w:left w:w="0" w:type="dxa"/>
            <w:right w:w="0" w:type="dxa"/>
          </w:tblCellMar>
          <w:tblLook w:val="04A0"/>
        </w:tblPrEx>
        <w:trPr>
          <w:trHeight w:val="280"/>
        </w:trPr>
        <w:tc>
          <w:tcPr>
            <w:tcW w:w="1990" w:type="dxa"/>
            <w:shd w:val="clear" w:color="auto" w:fill="DFECEF"/>
            <w:noWrap/>
            <w:tcMar>
              <w:top w:w="0" w:type="dxa"/>
              <w:left w:w="108" w:type="dxa"/>
              <w:bottom w:w="0" w:type="dxa"/>
              <w:right w:w="108" w:type="dxa"/>
            </w:tcMar>
            <w:hideMark/>
          </w:tcPr>
          <w:p w:rsidR="00F20E3F" w:rsidRPr="00A96762" w:rsidP="00D806E9" w14:paraId="67C20F0E" w14:textId="51E9E4DC">
            <w:pPr>
              <w:pStyle w:val="71R"/>
              <w:rPr>
                <w:rtl/>
              </w:rPr>
            </w:pPr>
            <w:r>
              <w:rPr>
                <w:rFonts w:hint="cs"/>
                <w:rtl/>
              </w:rPr>
              <w:t>22%</w:t>
            </w:r>
          </w:p>
        </w:tc>
        <w:tc>
          <w:tcPr>
            <w:tcW w:w="1559" w:type="dxa"/>
            <w:shd w:val="clear" w:color="auto" w:fill="DFECEF"/>
            <w:noWrap/>
            <w:tcMar>
              <w:top w:w="0" w:type="dxa"/>
              <w:left w:w="108" w:type="dxa"/>
              <w:bottom w:w="0" w:type="dxa"/>
              <w:right w:w="108" w:type="dxa"/>
            </w:tcMar>
            <w:hideMark/>
          </w:tcPr>
          <w:p w:rsidR="00F20E3F" w:rsidRPr="00A96762" w:rsidP="00A96762" w14:paraId="1AC88CBE" w14:textId="77777777">
            <w:pPr>
              <w:pStyle w:val="71R"/>
            </w:pPr>
            <w:r w:rsidRPr="00A96762">
              <w:t>48.8</w:t>
            </w:r>
          </w:p>
        </w:tc>
        <w:tc>
          <w:tcPr>
            <w:tcW w:w="1843" w:type="dxa"/>
            <w:shd w:val="clear" w:color="auto" w:fill="DFECEF"/>
            <w:noWrap/>
            <w:tcMar>
              <w:top w:w="0" w:type="dxa"/>
              <w:left w:w="108" w:type="dxa"/>
              <w:bottom w:w="0" w:type="dxa"/>
              <w:right w:w="108" w:type="dxa"/>
            </w:tcMar>
            <w:hideMark/>
          </w:tcPr>
          <w:p w:rsidR="00F20E3F" w:rsidRPr="00A96762" w:rsidP="00A96762" w14:paraId="1ACC03C8" w14:textId="77777777">
            <w:pPr>
              <w:pStyle w:val="71R"/>
            </w:pPr>
            <w:r w:rsidRPr="00A96762">
              <w:t>218.8</w:t>
            </w:r>
          </w:p>
        </w:tc>
        <w:tc>
          <w:tcPr>
            <w:tcW w:w="1701" w:type="dxa"/>
            <w:shd w:val="clear" w:color="auto" w:fill="DFECEF"/>
            <w:noWrap/>
            <w:tcMar>
              <w:top w:w="0" w:type="dxa"/>
              <w:left w:w="108" w:type="dxa"/>
              <w:bottom w:w="0" w:type="dxa"/>
              <w:right w:w="108" w:type="dxa"/>
            </w:tcMar>
            <w:hideMark/>
          </w:tcPr>
          <w:p w:rsidR="00F20E3F" w:rsidRPr="00A96762" w:rsidP="00A96762" w14:paraId="1FB9D052" w14:textId="77777777">
            <w:pPr>
              <w:pStyle w:val="71R"/>
              <w:rPr>
                <w:rtl/>
              </w:rPr>
            </w:pPr>
            <w:r w:rsidRPr="00A96762">
              <w:rPr>
                <w:rtl/>
              </w:rPr>
              <w:t>שלבים מוקדמים</w:t>
            </w:r>
          </w:p>
        </w:tc>
      </w:tr>
      <w:tr w14:paraId="4A70D1E6" w14:textId="77777777" w:rsidTr="00A96762">
        <w:tblPrEx>
          <w:tblW w:w="7093" w:type="dxa"/>
          <w:tblInd w:w="-15" w:type="dxa"/>
          <w:tblLayout w:type="fixed"/>
          <w:tblCellMar>
            <w:left w:w="0" w:type="dxa"/>
            <w:right w:w="0" w:type="dxa"/>
          </w:tblCellMar>
          <w:tblLook w:val="04A0"/>
        </w:tblPrEx>
        <w:trPr>
          <w:trHeight w:val="290"/>
        </w:trPr>
        <w:tc>
          <w:tcPr>
            <w:tcW w:w="1990" w:type="dxa"/>
            <w:shd w:val="clear" w:color="auto" w:fill="F0F8F9"/>
            <w:noWrap/>
            <w:tcMar>
              <w:top w:w="0" w:type="dxa"/>
              <w:left w:w="108" w:type="dxa"/>
              <w:bottom w:w="0" w:type="dxa"/>
              <w:right w:w="108" w:type="dxa"/>
            </w:tcMar>
            <w:hideMark/>
          </w:tcPr>
          <w:p w:rsidR="00F20E3F" w:rsidRPr="00A96762" w:rsidP="00A96762" w14:paraId="7485A953" w14:textId="77777777">
            <w:pPr>
              <w:pStyle w:val="71R"/>
            </w:pPr>
          </w:p>
        </w:tc>
        <w:tc>
          <w:tcPr>
            <w:tcW w:w="1559" w:type="dxa"/>
            <w:shd w:val="clear" w:color="auto" w:fill="F0F8F9"/>
            <w:noWrap/>
            <w:tcMar>
              <w:top w:w="0" w:type="dxa"/>
              <w:left w:w="108" w:type="dxa"/>
              <w:bottom w:w="0" w:type="dxa"/>
              <w:right w:w="108" w:type="dxa"/>
            </w:tcMar>
            <w:hideMark/>
          </w:tcPr>
          <w:p w:rsidR="00F20E3F" w:rsidRPr="00A96762" w:rsidP="00A96762" w14:paraId="46BDBEF3" w14:textId="77777777">
            <w:pPr>
              <w:pStyle w:val="71R"/>
              <w:rPr>
                <w:rtl/>
              </w:rPr>
            </w:pPr>
            <w:r w:rsidRPr="00A96762">
              <w:rPr>
                <w:rFonts w:hint="cs"/>
                <w:rtl/>
              </w:rPr>
              <w:t>---**</w:t>
            </w:r>
          </w:p>
        </w:tc>
        <w:tc>
          <w:tcPr>
            <w:tcW w:w="1843" w:type="dxa"/>
            <w:shd w:val="clear" w:color="auto" w:fill="F0F8F9"/>
            <w:noWrap/>
            <w:tcMar>
              <w:top w:w="0" w:type="dxa"/>
              <w:left w:w="108" w:type="dxa"/>
              <w:bottom w:w="0" w:type="dxa"/>
              <w:right w:w="108" w:type="dxa"/>
            </w:tcMar>
            <w:hideMark/>
          </w:tcPr>
          <w:p w:rsidR="00F20E3F" w:rsidRPr="00A96762" w:rsidP="00A96762" w14:paraId="78535C65" w14:textId="77777777">
            <w:pPr>
              <w:pStyle w:val="71R"/>
              <w:rPr>
                <w:rtl/>
              </w:rPr>
            </w:pPr>
            <w:r w:rsidRPr="00A96762">
              <w:t>596.3</w:t>
            </w:r>
          </w:p>
        </w:tc>
        <w:tc>
          <w:tcPr>
            <w:tcW w:w="1701" w:type="dxa"/>
            <w:shd w:val="clear" w:color="auto" w:fill="F0F8F9"/>
            <w:noWrap/>
            <w:tcMar>
              <w:top w:w="0" w:type="dxa"/>
              <w:left w:w="108" w:type="dxa"/>
              <w:bottom w:w="0" w:type="dxa"/>
              <w:right w:w="108" w:type="dxa"/>
            </w:tcMar>
            <w:hideMark/>
          </w:tcPr>
          <w:p w:rsidR="00F20E3F" w:rsidRPr="00A96762" w:rsidP="00A96762" w14:paraId="310C9304" w14:textId="77777777">
            <w:pPr>
              <w:pStyle w:val="71R"/>
            </w:pPr>
            <w:r w:rsidRPr="00A96762">
              <w:rPr>
                <w:rtl/>
              </w:rPr>
              <w:t>שלבים מאוחרים</w:t>
            </w:r>
          </w:p>
        </w:tc>
      </w:tr>
      <w:tr w14:paraId="6561DAFD" w14:textId="77777777" w:rsidTr="00A96762">
        <w:tblPrEx>
          <w:tblW w:w="7093" w:type="dxa"/>
          <w:tblInd w:w="-15" w:type="dxa"/>
          <w:tblLayout w:type="fixed"/>
          <w:tblCellMar>
            <w:left w:w="0" w:type="dxa"/>
            <w:right w:w="0" w:type="dxa"/>
          </w:tblCellMar>
          <w:tblLook w:val="04A0"/>
        </w:tblPrEx>
        <w:trPr>
          <w:trHeight w:val="290"/>
        </w:trPr>
        <w:tc>
          <w:tcPr>
            <w:tcW w:w="1990" w:type="dxa"/>
            <w:shd w:val="clear" w:color="auto" w:fill="DFECEF"/>
            <w:noWrap/>
            <w:tcMar>
              <w:top w:w="0" w:type="dxa"/>
              <w:left w:w="108" w:type="dxa"/>
              <w:bottom w:w="0" w:type="dxa"/>
              <w:right w:w="108" w:type="dxa"/>
            </w:tcMar>
            <w:hideMark/>
          </w:tcPr>
          <w:p w:rsidR="00F20E3F" w:rsidRPr="00A96762" w:rsidP="00A96762" w14:paraId="65314F67" w14:textId="0DBA3C92">
            <w:pPr>
              <w:pStyle w:val="71R"/>
              <w:rPr>
                <w:b/>
                <w:bCs/>
              </w:rPr>
            </w:pPr>
            <w:r>
              <w:rPr>
                <w:rFonts w:hint="cs"/>
                <w:b/>
                <w:bCs/>
                <w:rtl/>
              </w:rPr>
              <w:t>6</w:t>
            </w:r>
            <w:r w:rsidR="00F72864">
              <w:rPr>
                <w:rFonts w:hint="cs"/>
                <w:b/>
                <w:bCs/>
                <w:rtl/>
              </w:rPr>
              <w:t>%</w:t>
            </w:r>
          </w:p>
        </w:tc>
        <w:tc>
          <w:tcPr>
            <w:tcW w:w="1559" w:type="dxa"/>
            <w:shd w:val="clear" w:color="auto" w:fill="DFECEF"/>
            <w:noWrap/>
            <w:tcMar>
              <w:top w:w="0" w:type="dxa"/>
              <w:left w:w="108" w:type="dxa"/>
              <w:bottom w:w="0" w:type="dxa"/>
              <w:right w:w="108" w:type="dxa"/>
            </w:tcMar>
            <w:hideMark/>
          </w:tcPr>
          <w:p w:rsidR="00F20E3F" w:rsidRPr="00A96762" w:rsidP="00A96762" w14:paraId="2FBFFD02" w14:textId="77777777">
            <w:pPr>
              <w:pStyle w:val="71R"/>
              <w:rPr>
                <w:b/>
                <w:bCs/>
              </w:rPr>
            </w:pPr>
            <w:r w:rsidRPr="00A96762">
              <w:rPr>
                <w:b/>
                <w:bCs/>
              </w:rPr>
              <w:t>48.8</w:t>
            </w:r>
          </w:p>
        </w:tc>
        <w:tc>
          <w:tcPr>
            <w:tcW w:w="1843" w:type="dxa"/>
            <w:shd w:val="clear" w:color="auto" w:fill="DFECEF"/>
            <w:noWrap/>
            <w:tcMar>
              <w:top w:w="0" w:type="dxa"/>
              <w:left w:w="108" w:type="dxa"/>
              <w:bottom w:w="0" w:type="dxa"/>
              <w:right w:w="108" w:type="dxa"/>
            </w:tcMar>
            <w:hideMark/>
          </w:tcPr>
          <w:p w:rsidR="00F20E3F" w:rsidRPr="00A96762" w:rsidP="00A96762" w14:paraId="735A005A" w14:textId="77777777">
            <w:pPr>
              <w:pStyle w:val="71R"/>
              <w:rPr>
                <w:b/>
                <w:bCs/>
                <w:rtl/>
              </w:rPr>
            </w:pPr>
            <w:r w:rsidRPr="00A96762">
              <w:rPr>
                <w:b/>
                <w:bCs/>
              </w:rPr>
              <w:t>815.1</w:t>
            </w:r>
          </w:p>
        </w:tc>
        <w:tc>
          <w:tcPr>
            <w:tcW w:w="1701" w:type="dxa"/>
            <w:shd w:val="clear" w:color="auto" w:fill="DFECEF"/>
            <w:noWrap/>
            <w:tcMar>
              <w:top w:w="0" w:type="dxa"/>
              <w:left w:w="108" w:type="dxa"/>
              <w:bottom w:w="0" w:type="dxa"/>
              <w:right w:w="108" w:type="dxa"/>
            </w:tcMar>
            <w:hideMark/>
          </w:tcPr>
          <w:p w:rsidR="00F20E3F" w:rsidRPr="00A96762" w:rsidP="00A96762" w14:paraId="5ECC7999" w14:textId="77777777">
            <w:pPr>
              <w:pStyle w:val="71R"/>
              <w:rPr>
                <w:b/>
                <w:bCs/>
              </w:rPr>
            </w:pPr>
            <w:r w:rsidRPr="00A96762">
              <w:rPr>
                <w:b/>
                <w:bCs/>
                <w:rtl/>
              </w:rPr>
              <w:t>סה"כ</w:t>
            </w:r>
          </w:p>
        </w:tc>
      </w:tr>
    </w:tbl>
    <w:p w:rsidR="00F20E3F" w:rsidRPr="00A96762" w:rsidP="00A96762" w14:paraId="761B1823" w14:textId="77777777">
      <w:pPr>
        <w:pStyle w:val="737"/>
        <w:spacing w:after="0"/>
        <w:ind w:left="397"/>
        <w:rPr>
          <w:rtl/>
        </w:rPr>
      </w:pPr>
      <w:r w:rsidRPr="00A96762">
        <w:rPr>
          <w:rFonts w:hint="cs"/>
          <w:rtl/>
        </w:rPr>
        <w:t>ה</w:t>
      </w:r>
      <w:r w:rsidRPr="00A96762">
        <w:rPr>
          <w:rtl/>
        </w:rPr>
        <w:t>מקור: רשות החדשנות</w:t>
      </w:r>
      <w:r w:rsidRPr="00A96762">
        <w:rPr>
          <w:rFonts w:hint="cs"/>
          <w:rtl/>
        </w:rPr>
        <w:t>.</w:t>
      </w:r>
    </w:p>
    <w:p w:rsidR="00F20E3F" w:rsidRPr="00A96762" w:rsidP="00A96762" w14:paraId="0879FD11" w14:textId="55BD4FFB">
      <w:pPr>
        <w:pStyle w:val="737"/>
        <w:spacing w:before="0" w:after="0"/>
        <w:ind w:left="707" w:hanging="283"/>
      </w:pPr>
      <w:r w:rsidRPr="00A96762">
        <w:rPr>
          <w:rtl/>
        </w:rPr>
        <w:t xml:space="preserve">* </w:t>
      </w:r>
      <w:r w:rsidR="00A96762">
        <w:tab/>
      </w:r>
      <w:r w:rsidRPr="00A96762">
        <w:rPr>
          <w:rtl/>
        </w:rPr>
        <w:t xml:space="preserve">נתוני השוק הפרטי מבוססים על נתונים המתקבלים מחברת המחקר </w:t>
      </w:r>
      <w:r w:rsidRPr="00A96762">
        <w:t>IVC</w:t>
      </w:r>
      <w:r w:rsidRPr="00A96762">
        <w:rPr>
          <w:rtl/>
        </w:rPr>
        <w:t>.</w:t>
      </w:r>
    </w:p>
    <w:p w:rsidR="00F20E3F" w:rsidRPr="00A96762" w:rsidP="00A96762" w14:paraId="4AEE1C83" w14:textId="5AB23928">
      <w:pPr>
        <w:pStyle w:val="737"/>
        <w:spacing w:before="0"/>
        <w:ind w:left="707" w:hanging="283"/>
        <w:rPr>
          <w:rtl/>
        </w:rPr>
      </w:pPr>
      <w:r w:rsidRPr="00A96762">
        <w:rPr>
          <w:rtl/>
        </w:rPr>
        <w:t>**</w:t>
      </w:r>
      <w:r w:rsidR="00A96762">
        <w:tab/>
      </w:r>
      <w:r w:rsidRPr="00A96762">
        <w:rPr>
          <w:rtl/>
        </w:rPr>
        <w:t xml:space="preserve"> </w:t>
      </w:r>
      <w:r w:rsidRPr="00A96762">
        <w:rPr>
          <w:rFonts w:hint="cs"/>
          <w:rtl/>
        </w:rPr>
        <w:t xml:space="preserve">רשות החדשנות מסרה כי </w:t>
      </w:r>
      <w:r w:rsidRPr="00A96762">
        <w:rPr>
          <w:rtl/>
        </w:rPr>
        <w:t>ה</w:t>
      </w:r>
      <w:r w:rsidRPr="00A96762">
        <w:rPr>
          <w:rFonts w:hint="cs"/>
          <w:rtl/>
        </w:rPr>
        <w:t>ה</w:t>
      </w:r>
      <w:r w:rsidRPr="00A96762">
        <w:rPr>
          <w:rtl/>
        </w:rPr>
        <w:t xml:space="preserve">שקעות בשלבים </w:t>
      </w:r>
      <w:r w:rsidRPr="00A96762">
        <w:rPr>
          <w:rFonts w:hint="cs"/>
          <w:rtl/>
        </w:rPr>
        <w:t>ה</w:t>
      </w:r>
      <w:r w:rsidRPr="00A96762">
        <w:rPr>
          <w:rtl/>
        </w:rPr>
        <w:t xml:space="preserve">מאוחרים אינן במיקוד </w:t>
      </w:r>
      <w:r w:rsidRPr="00A96762">
        <w:rPr>
          <w:rFonts w:hint="cs"/>
          <w:rtl/>
        </w:rPr>
        <w:t>פעילותה</w:t>
      </w:r>
      <w:r w:rsidRPr="00A96762">
        <w:rPr>
          <w:rtl/>
        </w:rPr>
        <w:t>.</w:t>
      </w:r>
    </w:p>
    <w:p w:rsidR="00F20E3F" w:rsidRPr="00686209" w:rsidP="00686209" w14:paraId="2BC8B54B" w14:textId="751EEBE4">
      <w:pPr>
        <w:pStyle w:val="718"/>
        <w:rPr>
          <w:rtl/>
        </w:rPr>
      </w:pPr>
      <w:r w:rsidRPr="0030038A">
        <w:rPr>
          <w:rtl/>
        </w:rPr>
        <w:t>בדוח הקודם עלה שבשנת 201</w:t>
      </w:r>
      <w:r w:rsidR="00120D57">
        <w:rPr>
          <w:rFonts w:hint="cs"/>
          <w:rtl/>
        </w:rPr>
        <w:t>8</w:t>
      </w:r>
      <w:r w:rsidRPr="0030038A">
        <w:rPr>
          <w:rtl/>
        </w:rPr>
        <w:t xml:space="preserve"> היה שיעור ההשקעה הציבורית של רשות החדשנות בתחומי </w:t>
      </w:r>
      <w:r w:rsidRPr="0030038A">
        <w:rPr>
          <w:rtl/>
        </w:rPr>
        <w:t>האנרגייה</w:t>
      </w:r>
      <w:r w:rsidRPr="0030038A">
        <w:rPr>
          <w:rtl/>
        </w:rPr>
        <w:t>, המים, הסביבה והקיימות 4%. בשנים 2020 עד 2021 פחתו ההשקעות ל-2.82% ול-2.51% (64.2 מיליון ש"ח ו-39.4 מיליון ש"ח בהתאמה). ביקורת המעקב העלתה כי בשנת 2022 הוצגה עלייה בהשקעה לשיעור של 5.7% (96 מיליון ש"ח), המגלמת שיפור מסוים ביחס לשנת 201</w:t>
      </w:r>
      <w:r w:rsidR="00120D57">
        <w:rPr>
          <w:rFonts w:hint="cs"/>
          <w:rtl/>
        </w:rPr>
        <w:t>8</w:t>
      </w:r>
      <w:r w:rsidRPr="0030038A">
        <w:rPr>
          <w:rtl/>
        </w:rPr>
        <w:t xml:space="preserve">. עוד עולה כי רשות החדשנות תומכת בכ-40% מהחברות בתחומי האקלים-טק בדומה לשיעור התמיכה בכלל תחומי פעילותה, אולם ההשקעה הציבורית של רשות החדשנות בסקטור </w:t>
      </w:r>
      <w:r w:rsidRPr="0030038A">
        <w:rPr>
          <w:rtl/>
        </w:rPr>
        <w:t>האנרגייה</w:t>
      </w:r>
      <w:r w:rsidRPr="0030038A">
        <w:rPr>
          <w:rtl/>
        </w:rPr>
        <w:t xml:space="preserve"> (נוסף על המים, הסביבה והקיימות), אשר כאמור אחראי לכמעט ממחצית הפליטות בישראל, היא נמוכה בכמעט חצי לעומת ההשקעה הציבורית בתחומי הטכנולוגיה בתחום החקלאות (והמזון), שאחראי לחלק שולי מהפליטות בישראל</w:t>
      </w:r>
      <w:r w:rsidRPr="00686209">
        <w:rPr>
          <w:rFonts w:hint="cs"/>
          <w:rtl/>
        </w:rPr>
        <w:t xml:space="preserve">. </w:t>
      </w:r>
    </w:p>
    <w:p w:rsidR="00F20E3F" w:rsidRPr="00686209" w:rsidP="00686209" w14:paraId="4DDFC0B5" w14:textId="77777777">
      <w:pPr>
        <w:pStyle w:val="718"/>
        <w:rPr>
          <w:rtl/>
        </w:rPr>
      </w:pPr>
      <w:r w:rsidRPr="00686209">
        <w:rPr>
          <w:rFonts w:hint="cs"/>
          <w:rtl/>
        </w:rPr>
        <w:t xml:space="preserve">מוצע כי רשות החדשנות תבחן את המגמות האלו בהיקפי ההשקעות ואת תמהיל השקעותיה לאור יעדי הפחתת הפליטות הסקטוריאליים שקבעה ישראל, הנדרשים בעיקר בתחום ייצור החשמל והתחבורה, וכן לאור הצרכים שהעלתה לשכת המדען הראשי תוך היוועצות עם לשכות המדענים הראשיים של משרדי </w:t>
      </w:r>
      <w:r w:rsidRPr="00686209">
        <w:rPr>
          <w:rFonts w:hint="cs"/>
          <w:rtl/>
        </w:rPr>
        <w:t>האנרגייה</w:t>
      </w:r>
      <w:r w:rsidRPr="00686209">
        <w:rPr>
          <w:rFonts w:hint="cs"/>
          <w:rtl/>
        </w:rPr>
        <w:t xml:space="preserve"> </w:t>
      </w:r>
      <w:r w:rsidRPr="00686209">
        <w:rPr>
          <w:rFonts w:hint="cs"/>
          <w:rtl/>
        </w:rPr>
        <w:t>והג"ס</w:t>
      </w:r>
      <w:r w:rsidRPr="00686209">
        <w:rPr>
          <w:rFonts w:hint="cs"/>
          <w:rtl/>
        </w:rPr>
        <w:t xml:space="preserve">. </w:t>
      </w:r>
    </w:p>
    <w:p w:rsidR="00F20E3F" w:rsidP="00686209" w14:paraId="1BF0BE04" w14:textId="77777777">
      <w:pPr>
        <w:pStyle w:val="7316"/>
        <w:rPr>
          <w:rtl/>
        </w:rPr>
      </w:pPr>
      <w:r>
        <w:rPr>
          <w:rFonts w:hint="cs"/>
          <w:rtl/>
        </w:rPr>
        <w:t xml:space="preserve">רשות החדשנות מסרה למשרד מבקר המדינה באוגוסט 2023 (להלן - תשובת רשות החדשנות) כי היא אינה אמונה על </w:t>
      </w:r>
      <w:r>
        <w:rPr>
          <w:rtl/>
        </w:rPr>
        <w:t>השגת יעדי הפליטות של מדינת</w:t>
      </w:r>
      <w:r>
        <w:rPr>
          <w:rFonts w:hint="cs"/>
          <w:rtl/>
        </w:rPr>
        <w:t xml:space="preserve"> </w:t>
      </w:r>
      <w:r>
        <w:rPr>
          <w:rtl/>
        </w:rPr>
        <w:t>ישראל</w:t>
      </w:r>
      <w:r>
        <w:rPr>
          <w:rFonts w:hint="cs"/>
          <w:rtl/>
        </w:rPr>
        <w:t xml:space="preserve"> באופן ישיר</w:t>
      </w:r>
      <w:r>
        <w:rPr>
          <w:rtl/>
        </w:rPr>
        <w:t>, אלא על קידום החדשנות בחברות</w:t>
      </w:r>
      <w:r>
        <w:rPr>
          <w:rFonts w:hint="cs"/>
          <w:rtl/>
        </w:rPr>
        <w:t xml:space="preserve"> </w:t>
      </w:r>
      <w:r>
        <w:rPr>
          <w:rtl/>
        </w:rPr>
        <w:t>טכנולוגיות</w:t>
      </w:r>
      <w:r>
        <w:rPr>
          <w:rFonts w:hint="cs"/>
          <w:rtl/>
        </w:rPr>
        <w:t xml:space="preserve"> על בסיס עקרון המצוינות הטכנולוגית</w:t>
      </w:r>
      <w:r>
        <w:rPr>
          <w:rtl/>
        </w:rPr>
        <w:t>. למרות זאת, ע</w:t>
      </w:r>
      <w:r>
        <w:rPr>
          <w:rFonts w:hint="cs"/>
          <w:rtl/>
        </w:rPr>
        <w:t>ל ידי</w:t>
      </w:r>
      <w:r>
        <w:rPr>
          <w:rtl/>
        </w:rPr>
        <w:t xml:space="preserve"> שיתוף פעולה</w:t>
      </w:r>
      <w:r>
        <w:rPr>
          <w:rFonts w:hint="cs"/>
          <w:rtl/>
        </w:rPr>
        <w:t xml:space="preserve"> </w:t>
      </w:r>
      <w:r>
        <w:rPr>
          <w:rtl/>
        </w:rPr>
        <w:t>בתוכניות משותפות עם משרדי הממשלה</w:t>
      </w:r>
      <w:r>
        <w:rPr>
          <w:rFonts w:hint="cs"/>
          <w:rtl/>
        </w:rPr>
        <w:t xml:space="preserve"> </w:t>
      </w:r>
      <w:r>
        <w:rPr>
          <w:rtl/>
        </w:rPr>
        <w:t>השונים והמדענים הראשיים</w:t>
      </w:r>
      <w:r>
        <w:rPr>
          <w:rFonts w:hint="cs"/>
          <w:rtl/>
        </w:rPr>
        <w:t xml:space="preserve"> </w:t>
      </w:r>
      <w:r>
        <w:rPr>
          <w:rtl/>
        </w:rPr>
        <w:t>ושיתוף</w:t>
      </w:r>
      <w:r>
        <w:rPr>
          <w:rFonts w:hint="cs"/>
          <w:rtl/>
        </w:rPr>
        <w:t xml:space="preserve"> </w:t>
      </w:r>
      <w:r>
        <w:rPr>
          <w:rtl/>
        </w:rPr>
        <w:t xml:space="preserve">אינטרסים, </w:t>
      </w:r>
      <w:r>
        <w:rPr>
          <w:rFonts w:hint="cs"/>
          <w:rtl/>
        </w:rPr>
        <w:t>נעשית פעולה ל</w:t>
      </w:r>
      <w:r>
        <w:rPr>
          <w:rtl/>
        </w:rPr>
        <w:t>קידום החברות</w:t>
      </w:r>
      <w:r>
        <w:rPr>
          <w:rFonts w:hint="cs"/>
          <w:rtl/>
        </w:rPr>
        <w:t xml:space="preserve"> </w:t>
      </w:r>
      <w:r>
        <w:rPr>
          <w:rtl/>
        </w:rPr>
        <w:t>הטכנולוגיות יחד עם השגת היעדים הלאומיים.</w:t>
      </w:r>
      <w:r>
        <w:rPr>
          <w:rFonts w:hint="cs"/>
          <w:rtl/>
        </w:rPr>
        <w:t xml:space="preserve"> </w:t>
      </w:r>
    </w:p>
    <w:p w:rsidR="00F20E3F" w:rsidP="00C44928" w14:paraId="7DB66642" w14:textId="77777777">
      <w:pPr>
        <w:pStyle w:val="7114"/>
        <w:numPr>
          <w:ilvl w:val="0"/>
          <w:numId w:val="82"/>
        </w:numPr>
        <w:rPr>
          <w:rtl/>
        </w:rPr>
      </w:pPr>
      <w:r w:rsidRPr="00A96762">
        <w:rPr>
          <w:rStyle w:val="7371"/>
          <w:rFonts w:hint="eastAsia"/>
          <w:rtl/>
        </w:rPr>
        <w:t>השקעות</w:t>
      </w:r>
      <w:r w:rsidRPr="00A96762">
        <w:rPr>
          <w:rStyle w:val="7371"/>
          <w:rtl/>
        </w:rPr>
        <w:t xml:space="preserve"> </w:t>
      </w:r>
      <w:r w:rsidRPr="00A96762">
        <w:rPr>
          <w:rStyle w:val="7371"/>
          <w:rFonts w:hint="eastAsia"/>
          <w:rtl/>
        </w:rPr>
        <w:t>מהון</w:t>
      </w:r>
      <w:r w:rsidRPr="00A96762">
        <w:rPr>
          <w:rStyle w:val="7371"/>
          <w:rtl/>
        </w:rPr>
        <w:t xml:space="preserve"> </w:t>
      </w:r>
      <w:r w:rsidRPr="00A96762">
        <w:rPr>
          <w:rStyle w:val="7371"/>
          <w:rFonts w:hint="eastAsia"/>
          <w:rtl/>
        </w:rPr>
        <w:t>פרטי</w:t>
      </w:r>
      <w:r w:rsidRPr="00A96762">
        <w:rPr>
          <w:rStyle w:val="7371"/>
          <w:rtl/>
        </w:rPr>
        <w:t>:</w:t>
      </w:r>
      <w:r>
        <w:rPr>
          <w:rFonts w:hint="cs"/>
          <w:rtl/>
        </w:rPr>
        <w:t xml:space="preserve"> פרמטר נוסף שיכול להעיד על חוזקה או חולשה של ישראל בתחום קידום המחקר והפיתוח בהקשר של משק </w:t>
      </w:r>
      <w:r>
        <w:rPr>
          <w:rFonts w:hint="cs"/>
          <w:rtl/>
        </w:rPr>
        <w:t>האנרגייה</w:t>
      </w:r>
      <w:r>
        <w:rPr>
          <w:rFonts w:hint="cs"/>
          <w:rtl/>
        </w:rPr>
        <w:t xml:space="preserve"> וייצור החשמל הוא משיכת משקיעים והון פרטי לתחומים אלה, שעשויה להיות מושפעת גם ממידת ההשקעה של רשות </w:t>
      </w:r>
      <w:r>
        <w:rPr>
          <w:rFonts w:hint="cs"/>
          <w:rtl/>
        </w:rPr>
        <w:t xml:space="preserve">החדשנות בתחום. להלן נתוני רשות החדשנות </w:t>
      </w:r>
      <w:r w:rsidRPr="00265C73">
        <w:rPr>
          <w:rFonts w:hint="cs"/>
          <w:rtl/>
        </w:rPr>
        <w:t xml:space="preserve">שפורסמו על ידה </w:t>
      </w:r>
      <w:r>
        <w:rPr>
          <w:rFonts w:hint="cs"/>
          <w:rtl/>
        </w:rPr>
        <w:t xml:space="preserve">בשנת 2022 </w:t>
      </w:r>
      <w:r w:rsidRPr="00265C73">
        <w:rPr>
          <w:rFonts w:hint="cs"/>
          <w:rtl/>
        </w:rPr>
        <w:t>בדוח שנתי</w:t>
      </w:r>
      <w:r>
        <w:rPr>
          <w:rFonts w:hint="cs"/>
          <w:rtl/>
        </w:rPr>
        <w:t xml:space="preserve"> שכותרתו</w:t>
      </w:r>
      <w:r w:rsidRPr="00265C73">
        <w:rPr>
          <w:rFonts w:hint="cs"/>
          <w:rtl/>
        </w:rPr>
        <w:t xml:space="preserve"> </w:t>
      </w:r>
      <w:r>
        <w:rPr>
          <w:rFonts w:hint="cs"/>
          <w:rtl/>
        </w:rPr>
        <w:t>"</w:t>
      </w:r>
      <w:r w:rsidRPr="00265C73">
        <w:rPr>
          <w:rFonts w:hint="cs"/>
          <w:rtl/>
        </w:rPr>
        <w:t>מצב ההיי-טק הישראלי</w:t>
      </w:r>
      <w:r>
        <w:rPr>
          <w:rFonts w:hint="cs"/>
          <w:rtl/>
        </w:rPr>
        <w:t>"</w:t>
      </w:r>
      <w:r>
        <w:rPr>
          <w:rStyle w:val="FootnoteReference2"/>
          <w:rtl/>
        </w:rPr>
        <w:footnoteReference w:id="112"/>
      </w:r>
      <w:r>
        <w:rPr>
          <w:rFonts w:hint="cs"/>
          <w:rtl/>
        </w:rPr>
        <w:t>, ובו נתונים לגבי שנת 2021:</w:t>
      </w:r>
    </w:p>
    <w:p w:rsidR="00F20E3F" w:rsidRPr="00086C6B" w:rsidP="00086C6B" w14:paraId="597DE4C4" w14:textId="4AE56A54">
      <w:pPr>
        <w:pStyle w:val="7113"/>
        <w:ind w:left="397"/>
        <w:rPr>
          <w:rtl/>
        </w:rPr>
      </w:pPr>
      <w:r w:rsidRPr="00086C6B">
        <w:rPr>
          <w:rFonts w:hint="eastAsia"/>
          <w:b w:val="0"/>
          <w:bCs w:val="0"/>
          <w:rtl/>
        </w:rPr>
        <w:t>תרשים</w:t>
      </w:r>
      <w:r w:rsidRPr="00086C6B">
        <w:rPr>
          <w:b w:val="0"/>
          <w:bCs w:val="0"/>
          <w:rtl/>
        </w:rPr>
        <w:t xml:space="preserve"> </w:t>
      </w:r>
      <w:r w:rsidRPr="00086C6B">
        <w:rPr>
          <w:rFonts w:hint="cs"/>
          <w:b w:val="0"/>
          <w:bCs w:val="0"/>
          <w:rtl/>
        </w:rPr>
        <w:t>46</w:t>
      </w:r>
      <w:r w:rsidRPr="00086C6B">
        <w:rPr>
          <w:b w:val="0"/>
          <w:bCs w:val="0"/>
          <w:rtl/>
        </w:rPr>
        <w:t>:</w:t>
      </w:r>
      <w:r w:rsidRPr="00086C6B">
        <w:rPr>
          <w:rFonts w:hint="cs"/>
          <w:b w:val="0"/>
          <w:bCs w:val="0"/>
          <w:rtl/>
        </w:rPr>
        <w:t xml:space="preserve"> </w:t>
      </w:r>
      <w:r w:rsidRPr="00086C6B">
        <w:rPr>
          <w:rFonts w:hint="cs"/>
          <w:rtl/>
        </w:rPr>
        <w:t xml:space="preserve">התפלגות ההשקעות הפרטיות בחברות היי-טק, </w:t>
      </w:r>
      <w:r w:rsidR="00086C6B">
        <w:br/>
      </w:r>
      <w:r w:rsidRPr="00086C6B">
        <w:rPr>
          <w:rFonts w:hint="cs"/>
          <w:rtl/>
        </w:rPr>
        <w:t>לפי תחום פעילות (2021)</w:t>
      </w:r>
    </w:p>
    <w:p w:rsidR="00F20E3F" w:rsidRPr="00086C6B" w:rsidP="00086C6B" w14:paraId="4DBE1788" w14:textId="7EDB8D66">
      <w:pPr>
        <w:ind w:left="397"/>
        <w:rPr>
          <w:rtl/>
        </w:rPr>
      </w:pPr>
      <w:r>
        <w:rPr>
          <w:noProof/>
          <w:rtl/>
          <w:lang w:val="he-IL"/>
        </w:rPr>
        <w:drawing>
          <wp:inline distT="0" distB="0" distL="0" distR="0">
            <wp:extent cx="4434019" cy="2144716"/>
            <wp:effectExtent l="0" t="0" r="0" b="1905"/>
            <wp:docPr id="135512732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539566" name="תמונה 6"/>
                    <pic:cNvPicPr/>
                  </pic:nvPicPr>
                  <pic:blipFill>
                    <a:blip xmlns:r="http://schemas.openxmlformats.org/officeDocument/2006/relationships" r:embed="rId55" cstate="print">
                      <a:extLst>
                        <a:ext xmlns:a="http://schemas.openxmlformats.org/drawingml/2006/main" uri="{28A0092B-C50C-407E-A947-70E740481C1C}">
                          <a14:useLocalDpi xmlns:a14="http://schemas.microsoft.com/office/drawing/2010/main" val="0"/>
                        </a:ext>
                      </a:extLst>
                    </a:blip>
                    <a:stretch>
                      <a:fillRect/>
                    </a:stretch>
                  </pic:blipFill>
                  <pic:spPr>
                    <a:xfrm>
                      <a:off x="0" y="0"/>
                      <a:ext cx="4434019" cy="2144716"/>
                    </a:xfrm>
                    <a:prstGeom prst="rect">
                      <a:avLst/>
                    </a:prstGeom>
                  </pic:spPr>
                </pic:pic>
              </a:graphicData>
            </a:graphic>
          </wp:inline>
        </w:drawing>
      </w:r>
    </w:p>
    <w:p w:rsidR="00F20E3F" w:rsidRPr="002A11E1" w:rsidP="00086C6B" w14:paraId="10999E91" w14:textId="24AAE379">
      <w:pPr>
        <w:pStyle w:val="737"/>
        <w:ind w:left="397"/>
        <w:rPr>
          <w:rtl/>
        </w:rPr>
      </w:pPr>
      <w:r>
        <w:rPr>
          <w:rFonts w:hint="cs"/>
          <w:rtl/>
        </w:rPr>
        <w:t>ה</w:t>
      </w:r>
      <w:r w:rsidRPr="002A11E1">
        <w:rPr>
          <w:rFonts w:hint="cs"/>
          <w:rtl/>
        </w:rPr>
        <w:t>מקור: רשות החדשנות</w:t>
      </w:r>
      <w:r>
        <w:rPr>
          <w:rStyle w:val="FootnoteReference2"/>
          <w:rtl/>
        </w:rPr>
        <w:footnoteReference w:id="113"/>
      </w:r>
      <w:r w:rsidRPr="002A11E1">
        <w:rPr>
          <w:rFonts w:hint="cs"/>
          <w:rtl/>
        </w:rPr>
        <w:t>.</w:t>
      </w:r>
    </w:p>
    <w:p w:rsidR="00F20E3F" w:rsidP="00686209" w14:paraId="7064D233" w14:textId="6341338B">
      <w:pPr>
        <w:pStyle w:val="7316"/>
        <w:rPr>
          <w:rtl/>
        </w:rPr>
      </w:pPr>
      <w:r>
        <w:rPr>
          <w:rFonts w:hint="cs"/>
          <w:rtl/>
        </w:rPr>
        <w:t>נתוני התרשים מלמדים כי יותר</w:t>
      </w:r>
      <w:r w:rsidRPr="00265C73">
        <w:rPr>
          <w:rFonts w:hint="cs"/>
          <w:rtl/>
        </w:rPr>
        <w:t xml:space="preserve"> ממחצית ההון הפרטי בישראל בשנת 2021 הגיע לתחומי </w:t>
      </w:r>
      <w:r>
        <w:rPr>
          <w:rFonts w:hint="cs"/>
          <w:rtl/>
        </w:rPr>
        <w:t>ה</w:t>
      </w:r>
      <w:r w:rsidRPr="00265C73">
        <w:rPr>
          <w:rFonts w:hint="cs"/>
          <w:rtl/>
        </w:rPr>
        <w:t xml:space="preserve">תוכנה </w:t>
      </w:r>
      <w:r>
        <w:rPr>
          <w:rFonts w:hint="cs"/>
          <w:rtl/>
        </w:rPr>
        <w:t>ה</w:t>
      </w:r>
      <w:r w:rsidRPr="00265C73">
        <w:rPr>
          <w:rFonts w:hint="cs"/>
          <w:rtl/>
        </w:rPr>
        <w:t xml:space="preserve">ארגונית, </w:t>
      </w:r>
      <w:r>
        <w:rPr>
          <w:rFonts w:hint="cs"/>
          <w:rtl/>
        </w:rPr>
        <w:t>ה</w:t>
      </w:r>
      <w:r w:rsidRPr="00265C73">
        <w:rPr>
          <w:rFonts w:hint="cs"/>
          <w:rtl/>
        </w:rPr>
        <w:t>פינטק</w:t>
      </w:r>
      <w:r w:rsidRPr="00265C73">
        <w:rPr>
          <w:rFonts w:hint="cs"/>
          <w:rtl/>
        </w:rPr>
        <w:t xml:space="preserve"> ו</w:t>
      </w:r>
      <w:r>
        <w:rPr>
          <w:rFonts w:hint="cs"/>
          <w:rtl/>
        </w:rPr>
        <w:t>ה</w:t>
      </w:r>
      <w:r w:rsidRPr="00265C73">
        <w:rPr>
          <w:rFonts w:hint="cs"/>
          <w:rtl/>
        </w:rPr>
        <w:t>סייבר</w:t>
      </w:r>
      <w:r>
        <w:rPr>
          <w:rFonts w:hint="cs"/>
          <w:rtl/>
        </w:rPr>
        <w:t>. ב</w:t>
      </w:r>
      <w:r w:rsidRPr="00265C73">
        <w:rPr>
          <w:rFonts w:hint="cs"/>
          <w:rtl/>
        </w:rPr>
        <w:t>תחו</w:t>
      </w:r>
      <w:r>
        <w:rPr>
          <w:rFonts w:hint="cs"/>
          <w:rtl/>
        </w:rPr>
        <w:t>מי</w:t>
      </w:r>
      <w:r w:rsidRPr="00265C73">
        <w:rPr>
          <w:rFonts w:hint="cs"/>
          <w:rtl/>
        </w:rPr>
        <w:t xml:space="preserve"> החקלאות</w:t>
      </w:r>
      <w:r>
        <w:rPr>
          <w:rFonts w:hint="cs"/>
          <w:rtl/>
        </w:rPr>
        <w:t>, המזון ו</w:t>
      </w:r>
      <w:r w:rsidRPr="00265C73">
        <w:rPr>
          <w:rFonts w:hint="cs"/>
          <w:rtl/>
        </w:rPr>
        <w:t xml:space="preserve">המים </w:t>
      </w:r>
      <w:r>
        <w:rPr>
          <w:rFonts w:hint="cs"/>
          <w:rtl/>
        </w:rPr>
        <w:t>הושקעו</w:t>
      </w:r>
      <w:r w:rsidRPr="00265C73">
        <w:rPr>
          <w:rFonts w:hint="cs"/>
          <w:rtl/>
        </w:rPr>
        <w:t xml:space="preserve"> יחד כ-</w:t>
      </w:r>
      <w:r>
        <w:rPr>
          <w:rFonts w:hint="cs"/>
          <w:rtl/>
        </w:rPr>
        <w:t xml:space="preserve">2.5%, ובתחום </w:t>
      </w:r>
      <w:r>
        <w:rPr>
          <w:rFonts w:hint="cs"/>
          <w:rtl/>
        </w:rPr>
        <w:t>האנרגייה</w:t>
      </w:r>
      <w:r>
        <w:rPr>
          <w:rFonts w:hint="cs"/>
          <w:rtl/>
        </w:rPr>
        <w:t xml:space="preserve"> הושקע סכום נמוך מאוד של השקעה פרטית </w:t>
      </w:r>
      <w:r w:rsidR="0030038A">
        <w:rPr>
          <w:rFonts w:hint="cs"/>
          <w:rtl/>
        </w:rPr>
        <w:t>בשיעור</w:t>
      </w:r>
      <w:r>
        <w:rPr>
          <w:rFonts w:hint="cs"/>
          <w:rtl/>
        </w:rPr>
        <w:t xml:space="preserve"> כ-0.4% בלבד.</w:t>
      </w:r>
    </w:p>
    <w:p w:rsidR="00F20E3F" w:rsidRPr="00686209" w:rsidP="00686209" w14:paraId="66E0F133" w14:textId="2F781574">
      <w:pPr>
        <w:pStyle w:val="718"/>
        <w:rPr>
          <w:rtl/>
        </w:rPr>
      </w:pPr>
      <w:r w:rsidRPr="0030038A">
        <w:rPr>
          <w:rtl/>
        </w:rPr>
        <w:t xml:space="preserve">עולה כי מדינת ישראל אינה מממשת את החלטות הממשלה בתחום האקלים-טק: השקעות רשות החדשנות בתחומי </w:t>
      </w:r>
      <w:r w:rsidRPr="0030038A">
        <w:rPr>
          <w:rtl/>
        </w:rPr>
        <w:t>האנרגייה</w:t>
      </w:r>
      <w:r w:rsidRPr="0030038A">
        <w:rPr>
          <w:rtl/>
        </w:rPr>
        <w:t xml:space="preserve"> נמוכות יחסית - 39 מיליון ש"ח בשנת 2021 מתוך כלל השקעותיה שהיו בשנה זו כ-1.5 מיליארד ש"ח (2.6%), ו-96 מיליון ש"ח בשנת 2022 מתוך 1.7 מיליארד ש"ח (5.6%) (זאת לעומת תחומי החקלאות והמזון, שם הושקעו 139 מיליון ש"ח בשנת 2021 ו-104 מיליון ש"ח בשנת 2022). היקף ההשקעות הנמוכות של רשות החדשנות בתחום האקלים-טק אף מודגש יותר לנוכח הקושי לגייס השקעות פרטיות בחברות ההיי-טק הישראליות בתחום </w:t>
      </w:r>
      <w:r w:rsidRPr="0030038A">
        <w:rPr>
          <w:rtl/>
        </w:rPr>
        <w:t>האנרגייה</w:t>
      </w:r>
      <w:r w:rsidRPr="0030038A">
        <w:rPr>
          <w:rtl/>
        </w:rPr>
        <w:t>, שכן הן נמצאות בתחתית רשימת השקעות ההון הפרטיות בישראל - עם כ-0.4% בלבד מכלל ההון הפרטי שהושקע בישראל - מקום שלישי מהסוף. מציאות זו תקשה את פיתוח שוק האקלים-טק בישראל</w:t>
      </w:r>
      <w:r w:rsidRPr="00686209">
        <w:rPr>
          <w:rtl/>
        </w:rPr>
        <w:t>.</w:t>
      </w:r>
    </w:p>
    <w:p w:rsidR="00F20E3F" w:rsidRPr="00686209" w:rsidP="00686209" w14:paraId="5E922956" w14:textId="77777777">
      <w:pPr>
        <w:pStyle w:val="718"/>
        <w:rPr>
          <w:rtl/>
        </w:rPr>
      </w:pPr>
      <w:r w:rsidRPr="00686209">
        <w:rPr>
          <w:rFonts w:hint="cs"/>
          <w:rtl/>
        </w:rPr>
        <w:t xml:space="preserve">לנוכח ההשקעה הנמוכה מאוד של הון פרטי בחדשנות ישראלית בתחום </w:t>
      </w:r>
      <w:r w:rsidRPr="00686209">
        <w:rPr>
          <w:rFonts w:hint="cs"/>
          <w:rtl/>
        </w:rPr>
        <w:t>האנרגייה</w:t>
      </w:r>
      <w:r w:rsidRPr="00686209">
        <w:rPr>
          <w:rFonts w:hint="cs"/>
          <w:rtl/>
        </w:rPr>
        <w:t xml:space="preserve"> וייצור החשמל, מוצע כי רשות החדשנות תבחן עם משרדי האוצר, </w:t>
      </w:r>
      <w:r w:rsidRPr="00686209">
        <w:rPr>
          <w:rFonts w:hint="cs"/>
          <w:rtl/>
        </w:rPr>
        <w:t>האנרגייה</w:t>
      </w:r>
      <w:r w:rsidRPr="00686209">
        <w:rPr>
          <w:rFonts w:hint="cs"/>
          <w:rtl/>
        </w:rPr>
        <w:t xml:space="preserve">, החקלאות והכלכלה והחדשנות אם החלטות הממשלה בנושא האקלים-טק לסיוע להפחתת פליטות </w:t>
      </w:r>
      <w:r w:rsidRPr="00686209">
        <w:rPr>
          <w:rFonts w:hint="cs"/>
          <w:rtl/>
        </w:rPr>
        <w:t>גז</w:t>
      </w:r>
      <w:r w:rsidRPr="00686209">
        <w:rPr>
          <w:rtl/>
        </w:rPr>
        <w:t>"</w:t>
      </w:r>
      <w:r w:rsidRPr="00686209">
        <w:rPr>
          <w:rFonts w:hint="cs"/>
          <w:rtl/>
        </w:rPr>
        <w:t>ח</w:t>
      </w:r>
      <w:r w:rsidRPr="00686209">
        <w:rPr>
          <w:rFonts w:hint="cs"/>
          <w:rtl/>
        </w:rPr>
        <w:t xml:space="preserve"> בישראל מקודמות באופן היעיל ביותר, ואם פעולות רשות החדשנות בעניין יוכלו להשיג את צורכי הפיתוח הטכנולוגי של ישראל ולמצות את ההזדמנויות שלה בתחום ביחס לעולם. </w:t>
      </w:r>
    </w:p>
    <w:p w:rsidR="00F20E3F" w:rsidP="00686209" w14:paraId="2848B317" w14:textId="77777777">
      <w:pPr>
        <w:pStyle w:val="7316"/>
        <w:rPr>
          <w:rtl/>
        </w:rPr>
      </w:pPr>
      <w:r>
        <w:rPr>
          <w:rFonts w:hint="cs"/>
          <w:rtl/>
        </w:rPr>
        <w:t xml:space="preserve">רשות החדשנות מסרה בתשובתה כי היא פועלת להפחית את הסיכון בהשקעות על ידי תמיכה בחברות, והיא מעודדת את השקעות השוק הפרטי בין היתר באמצעות כנסים, סדנאות, שולחנות עגולים, מפגשי תעשייה-אקדמיה ופעילות עם קהילת החדשנות; כמו כן היא </w:t>
      </w:r>
      <w:r>
        <w:rPr>
          <w:rtl/>
        </w:rPr>
        <w:t>קידמה את</w:t>
      </w:r>
      <w:r>
        <w:rPr>
          <w:rFonts w:hint="cs"/>
          <w:rtl/>
        </w:rPr>
        <w:t xml:space="preserve"> </w:t>
      </w:r>
      <w:r>
        <w:rPr>
          <w:rtl/>
        </w:rPr>
        <w:t>הפעילות לחשיפת הטכנולוגיות הישראליות</w:t>
      </w:r>
      <w:r>
        <w:rPr>
          <w:rFonts w:hint="cs"/>
          <w:rtl/>
        </w:rPr>
        <w:t xml:space="preserve"> </w:t>
      </w:r>
      <w:r>
        <w:rPr>
          <w:rtl/>
        </w:rPr>
        <w:t>בוועידת האקלים העולמית בשארם-א-שייח,</w:t>
      </w:r>
      <w:r>
        <w:rPr>
          <w:rFonts w:hint="cs"/>
          <w:rtl/>
        </w:rPr>
        <w:t xml:space="preserve"> </w:t>
      </w:r>
      <w:r>
        <w:rPr>
          <w:rtl/>
        </w:rPr>
        <w:t xml:space="preserve">וגם השנה </w:t>
      </w:r>
      <w:r>
        <w:rPr>
          <w:rFonts w:hint="cs"/>
          <w:rtl/>
        </w:rPr>
        <w:t xml:space="preserve">היא </w:t>
      </w:r>
      <w:r>
        <w:rPr>
          <w:rtl/>
        </w:rPr>
        <w:t>מרכזת את משלחת החברות לוועידה</w:t>
      </w:r>
      <w:r>
        <w:rPr>
          <w:rFonts w:hint="cs"/>
          <w:rtl/>
        </w:rPr>
        <w:t xml:space="preserve"> </w:t>
      </w:r>
      <w:r>
        <w:rPr>
          <w:rtl/>
        </w:rPr>
        <w:t xml:space="preserve">בדובאי. </w:t>
      </w:r>
      <w:r>
        <w:rPr>
          <w:rFonts w:hint="cs"/>
          <w:rtl/>
        </w:rPr>
        <w:t xml:space="preserve">עוד ציינה רשות החדשנות כי היא מקבלת החלטות על בסיס מצוינות ומפרסמת </w:t>
      </w:r>
      <w:r>
        <w:rPr>
          <w:rtl/>
        </w:rPr>
        <w:t>קולות קוראים</w:t>
      </w:r>
      <w:r>
        <w:rPr>
          <w:rFonts w:hint="cs"/>
          <w:rtl/>
        </w:rPr>
        <w:t xml:space="preserve"> </w:t>
      </w:r>
      <w:r>
        <w:rPr>
          <w:rtl/>
        </w:rPr>
        <w:t>ייעודיים למחקר יישומי ולמסחור ידע</w:t>
      </w:r>
      <w:r>
        <w:rPr>
          <w:rFonts w:hint="cs"/>
          <w:rtl/>
        </w:rPr>
        <w:t xml:space="preserve"> </w:t>
      </w:r>
      <w:r>
        <w:rPr>
          <w:rtl/>
        </w:rPr>
        <w:t>באקדמיה</w:t>
      </w:r>
      <w:r>
        <w:rPr>
          <w:rFonts w:hint="cs"/>
          <w:rtl/>
        </w:rPr>
        <w:t xml:space="preserve"> </w:t>
      </w:r>
      <w:r>
        <w:rPr>
          <w:rtl/>
        </w:rPr>
        <w:t xml:space="preserve">בתחומי אקלים, </w:t>
      </w:r>
      <w:r>
        <w:rPr>
          <w:rFonts w:hint="cs"/>
          <w:rtl/>
        </w:rPr>
        <w:t>ל</w:t>
      </w:r>
      <w:r>
        <w:rPr>
          <w:rtl/>
        </w:rPr>
        <w:t>מימון תוכניות להון</w:t>
      </w:r>
      <w:r>
        <w:rPr>
          <w:rFonts w:hint="cs"/>
          <w:rtl/>
        </w:rPr>
        <w:t xml:space="preserve"> </w:t>
      </w:r>
      <w:r>
        <w:rPr>
          <w:rtl/>
        </w:rPr>
        <w:t>אנושי ולעידוד יזמות בתחומי האקלים</w:t>
      </w:r>
      <w:r>
        <w:rPr>
          <w:rFonts w:hint="cs"/>
          <w:rtl/>
        </w:rPr>
        <w:t xml:space="preserve">, ולטענתה הפעולות </w:t>
      </w:r>
      <w:r>
        <w:rPr>
          <w:rtl/>
        </w:rPr>
        <w:t xml:space="preserve">צפויות להגדיל את </w:t>
      </w:r>
      <w:r>
        <w:rPr>
          <w:rFonts w:hint="cs"/>
          <w:rtl/>
        </w:rPr>
        <w:t xml:space="preserve">מספר </w:t>
      </w:r>
      <w:r>
        <w:rPr>
          <w:rtl/>
        </w:rPr>
        <w:t xml:space="preserve">הבקשות האיכותיות בתחומים אלו </w:t>
      </w:r>
      <w:r>
        <w:rPr>
          <w:rFonts w:hint="cs"/>
          <w:rtl/>
        </w:rPr>
        <w:t>שיוגשו ל</w:t>
      </w:r>
      <w:r>
        <w:rPr>
          <w:rtl/>
        </w:rPr>
        <w:t>רשות</w:t>
      </w:r>
      <w:r>
        <w:rPr>
          <w:rFonts w:hint="cs"/>
          <w:rtl/>
        </w:rPr>
        <w:t xml:space="preserve"> </w:t>
      </w:r>
      <w:r>
        <w:rPr>
          <w:rtl/>
        </w:rPr>
        <w:t>בשנים הקרובות</w:t>
      </w:r>
      <w:r>
        <w:rPr>
          <w:rFonts w:hint="cs"/>
          <w:rtl/>
        </w:rPr>
        <w:t xml:space="preserve">. כמו כן נתוני שנת 2022 מעידים לדבריה של הרשות כי חלה עלייה קלה בהשקעות הפרטיות בתחום </w:t>
      </w:r>
      <w:r>
        <w:rPr>
          <w:rFonts w:hint="cs"/>
          <w:rtl/>
        </w:rPr>
        <w:t>האנרגייה</w:t>
      </w:r>
      <w:r>
        <w:rPr>
          <w:rFonts w:hint="cs"/>
          <w:rtl/>
        </w:rPr>
        <w:t xml:space="preserve"> מ-0.4% ל-1% מכלל ההשקעות הפרטיות בחברות היי-טק בישראל.</w:t>
      </w:r>
    </w:p>
    <w:p w:rsidR="00F20E3F" w:rsidRPr="00177A33" w:rsidP="00C44928" w14:paraId="080B53F3" w14:textId="77777777">
      <w:pPr>
        <w:pStyle w:val="7114"/>
        <w:numPr>
          <w:ilvl w:val="0"/>
          <w:numId w:val="83"/>
        </w:numPr>
        <w:rPr>
          <w:rtl/>
        </w:rPr>
      </w:pPr>
      <w:r>
        <w:rPr>
          <w:rFonts w:hint="cs"/>
          <w:rtl/>
        </w:rPr>
        <w:t xml:space="preserve">בבדיקת משרד מבקר המדינה נמצא כי אין לרשות החדשנות </w:t>
      </w:r>
      <w:r w:rsidRPr="00177A33">
        <w:rPr>
          <w:rtl/>
        </w:rPr>
        <w:t>מדד אחיד שיכול לסייע</w:t>
      </w:r>
      <w:r>
        <w:rPr>
          <w:rtl/>
        </w:rPr>
        <w:t xml:space="preserve"> בסיווג של השקעה בחברת אקלים-טק לעומת חברה שאינה ממוקדת אקלים-טק</w:t>
      </w:r>
      <w:r>
        <w:rPr>
          <w:rFonts w:hint="cs"/>
          <w:rtl/>
        </w:rPr>
        <w:t>, שי</w:t>
      </w:r>
      <w:r>
        <w:rPr>
          <w:rtl/>
        </w:rPr>
        <w:t xml:space="preserve">ש לה היבט </w:t>
      </w:r>
      <w:r>
        <w:rPr>
          <w:rFonts w:hint="cs"/>
          <w:rtl/>
        </w:rPr>
        <w:t xml:space="preserve">של פעילות </w:t>
      </w:r>
      <w:r>
        <w:rPr>
          <w:rtl/>
        </w:rPr>
        <w:t>שקשור לאקלים באופן רחב יותר</w:t>
      </w:r>
      <w:r>
        <w:rPr>
          <w:rFonts w:hint="cs"/>
          <w:rtl/>
        </w:rPr>
        <w:t xml:space="preserve">. מציאות זו עלולה להקשות על קידום השקעות בחברות אקלים-טק שעוסקות בהפחתת פליטות בתחום </w:t>
      </w:r>
      <w:r>
        <w:rPr>
          <w:rFonts w:hint="cs"/>
          <w:rtl/>
        </w:rPr>
        <w:t>האנרגייה</w:t>
      </w:r>
      <w:r>
        <w:rPr>
          <w:rFonts w:hint="cs"/>
          <w:rtl/>
        </w:rPr>
        <w:t>.</w:t>
      </w:r>
    </w:p>
    <w:p w:rsidR="00F20E3F" w:rsidP="00686209" w14:paraId="35A0358B" w14:textId="77777777">
      <w:pPr>
        <w:pStyle w:val="7316"/>
        <w:rPr>
          <w:rtl/>
        </w:rPr>
      </w:pPr>
      <w:r>
        <w:rPr>
          <w:rFonts w:hint="cs"/>
          <w:rtl/>
        </w:rPr>
        <w:t>אשר לאופן שבו רשות החדשנות מסווגת את תחומי האקלים-טק שהיא משקיעה בהם, רשות החדשנות מסרה למשרד מבקר המדינה כי היא רואה ב</w:t>
      </w:r>
      <w:r>
        <w:rPr>
          <w:rtl/>
        </w:rPr>
        <w:t xml:space="preserve">נושא האקלים </w:t>
      </w:r>
      <w:r>
        <w:rPr>
          <w:rFonts w:hint="cs"/>
          <w:rtl/>
        </w:rPr>
        <w:t>כמצוי</w:t>
      </w:r>
      <w:r>
        <w:rPr>
          <w:rtl/>
        </w:rPr>
        <w:t xml:space="preserve"> תחת "הגדרה רחבה" ו</w:t>
      </w:r>
      <w:r>
        <w:rPr>
          <w:rFonts w:hint="cs"/>
          <w:rtl/>
        </w:rPr>
        <w:t>כ</w:t>
      </w:r>
      <w:r>
        <w:rPr>
          <w:rtl/>
        </w:rPr>
        <w:t xml:space="preserve">כולל </w:t>
      </w:r>
      <w:r>
        <w:rPr>
          <w:rFonts w:hint="cs"/>
          <w:rtl/>
        </w:rPr>
        <w:t>כמה</w:t>
      </w:r>
      <w:r>
        <w:rPr>
          <w:rtl/>
        </w:rPr>
        <w:t xml:space="preserve"> תחומים מתוך התחומים </w:t>
      </w:r>
      <w:r>
        <w:rPr>
          <w:rFonts w:hint="cs"/>
          <w:rtl/>
        </w:rPr>
        <w:t>ש</w:t>
      </w:r>
      <w:r>
        <w:rPr>
          <w:rtl/>
        </w:rPr>
        <w:t>בהם הרשות עוסקת</w:t>
      </w:r>
      <w:r>
        <w:rPr>
          <w:rFonts w:hint="cs"/>
          <w:rtl/>
        </w:rPr>
        <w:t xml:space="preserve">. עוד מסרה הרשות כי על פי מחקר שנערך בנושא, לערך בכל אחת משבע חברות שהוקמו בשנת 2021 יש היבטי אקלים, וכיוון שתחום האקלים-טק אינו תחום מובחן בתעשיית ההיי-טק, סיווג הפעילות יהיה בארבעה תחומים עיקריים: הסביבה הבנויה, חומרים וייצור, שימושי קרקע ומערכות טבעיות. כמו כן מסרה הרשות כי </w:t>
      </w:r>
      <w:r>
        <w:rPr>
          <w:rtl/>
        </w:rPr>
        <w:t xml:space="preserve">כל תחום שיש </w:t>
      </w:r>
      <w:r>
        <w:rPr>
          <w:rFonts w:hint="cs"/>
          <w:rtl/>
        </w:rPr>
        <w:t>לו</w:t>
      </w:r>
      <w:r>
        <w:rPr>
          <w:rtl/>
        </w:rPr>
        <w:t xml:space="preserve"> השפעה לנושא של הפחתת פליטות או אדפטציה</w:t>
      </w:r>
      <w:r>
        <w:rPr>
          <w:rFonts w:hint="cs"/>
          <w:rtl/>
        </w:rPr>
        <w:t>, גם אם באופן עקיף ביותר,</w:t>
      </w:r>
      <w:r>
        <w:rPr>
          <w:rtl/>
        </w:rPr>
        <w:t xml:space="preserve"> יכול להיחשב משויך לקטגוריית אקלים.</w:t>
      </w:r>
      <w:r>
        <w:rPr>
          <w:rFonts w:hint="cs"/>
          <w:rtl/>
        </w:rPr>
        <w:t xml:space="preserve"> עוד מסרה הרשות כי בשלב זה היא משתמשת בהגדרה זמנית שמאפשרת הבחנה בין חברות אקלים-טק לבין חברות שאינן כאלו, והיא פועלת לדייק את המדד ולפרסומו בהמשך שנת 2023.</w:t>
      </w:r>
      <w:r>
        <w:rPr>
          <w:rtl/>
        </w:rPr>
        <w:t xml:space="preserve"> </w:t>
      </w:r>
    </w:p>
    <w:p w:rsidR="00F20E3F" w:rsidRPr="00686209" w:rsidP="00686209" w14:paraId="5E32EC09" w14:textId="77777777">
      <w:pPr>
        <w:pStyle w:val="718"/>
        <w:rPr>
          <w:rtl/>
        </w:rPr>
      </w:pPr>
      <w:r w:rsidRPr="00686209">
        <w:rPr>
          <w:rFonts w:hint="cs"/>
          <w:rtl/>
        </w:rPr>
        <w:t>הביקורת העלתה כי נכון ליוני 2023 המדד שבו משתמשת רשות החדשנות כדי לסווג השקעות באקלים-טק הוא רחב ועשוי לכלול השקעות שזיקתן לנושא האקלים חלשה. מוצע אפוא שרשות החדשנות תבחן קידום של מדד שיסייע בסיווג ברור יותר של מיזמי החדשנות השייכים לתחום האקלים-טק ויסייע בהכוונת השקעות ציבוריות במחקר ופיתוח לתחום זה כדי להגביר בו את פעילותן של חברות ישראליות.</w:t>
      </w:r>
    </w:p>
    <w:p w:rsidR="00F20E3F" w:rsidP="00686209" w14:paraId="62960D9A" w14:textId="77777777">
      <w:pPr>
        <w:pStyle w:val="7316"/>
        <w:rPr>
          <w:rtl/>
        </w:rPr>
      </w:pPr>
      <w:r>
        <w:rPr>
          <w:rFonts w:hint="cs"/>
          <w:rtl/>
        </w:rPr>
        <w:t xml:space="preserve">רשות החדשנות מסרה בתשובתה כי היא </w:t>
      </w:r>
      <w:r>
        <w:rPr>
          <w:rtl/>
        </w:rPr>
        <w:t>פעלה בחודשים האחרונים</w:t>
      </w:r>
      <w:r>
        <w:rPr>
          <w:rFonts w:hint="cs"/>
          <w:rtl/>
        </w:rPr>
        <w:t xml:space="preserve"> </w:t>
      </w:r>
      <w:r>
        <w:rPr>
          <w:rtl/>
        </w:rPr>
        <w:t xml:space="preserve">לדיוק הגדרת התחומים </w:t>
      </w:r>
      <w:r>
        <w:rPr>
          <w:rFonts w:hint="cs"/>
          <w:rtl/>
        </w:rPr>
        <w:t>ה</w:t>
      </w:r>
      <w:r>
        <w:rPr>
          <w:rtl/>
        </w:rPr>
        <w:t>רלוונטיים למשבר</w:t>
      </w:r>
      <w:r>
        <w:rPr>
          <w:rFonts w:hint="cs"/>
          <w:rtl/>
        </w:rPr>
        <w:t xml:space="preserve"> </w:t>
      </w:r>
      <w:r>
        <w:rPr>
          <w:rtl/>
        </w:rPr>
        <w:t>האקלים, כדי ליצור מדד אחיד שיכול לסייע</w:t>
      </w:r>
      <w:r>
        <w:rPr>
          <w:rFonts w:hint="cs"/>
          <w:rtl/>
        </w:rPr>
        <w:t xml:space="preserve"> </w:t>
      </w:r>
      <w:r>
        <w:rPr>
          <w:rtl/>
        </w:rPr>
        <w:t>בסיווג של השקעה בחברות אקלים-טק לעומת</w:t>
      </w:r>
      <w:r>
        <w:rPr>
          <w:rFonts w:hint="cs"/>
          <w:rtl/>
        </w:rPr>
        <w:t xml:space="preserve"> </w:t>
      </w:r>
      <w:r>
        <w:rPr>
          <w:rtl/>
        </w:rPr>
        <w:t>חברות שאינ</w:t>
      </w:r>
      <w:r>
        <w:rPr>
          <w:rFonts w:hint="cs"/>
          <w:rtl/>
        </w:rPr>
        <w:t>ן</w:t>
      </w:r>
      <w:r>
        <w:rPr>
          <w:rtl/>
        </w:rPr>
        <w:t xml:space="preserve"> ממוקד</w:t>
      </w:r>
      <w:r>
        <w:rPr>
          <w:rFonts w:hint="cs"/>
          <w:rtl/>
        </w:rPr>
        <w:t>ו</w:t>
      </w:r>
      <w:r>
        <w:rPr>
          <w:rtl/>
        </w:rPr>
        <w:t>ת אקלים-טק, בניגוד</w:t>
      </w:r>
      <w:r>
        <w:rPr>
          <w:rFonts w:hint="cs"/>
          <w:rtl/>
        </w:rPr>
        <w:t xml:space="preserve"> </w:t>
      </w:r>
      <w:r>
        <w:rPr>
          <w:rtl/>
        </w:rPr>
        <w:t>להגדרה הזמנית שהייתה נהוגה עד כה.</w:t>
      </w:r>
      <w:r>
        <w:rPr>
          <w:rFonts w:hint="cs"/>
          <w:rtl/>
        </w:rPr>
        <w:t xml:space="preserve"> הרשות מסרה כי בבדיקתה </w:t>
      </w:r>
      <w:r>
        <w:rPr>
          <w:rtl/>
        </w:rPr>
        <w:t>נמצא כי 20%</w:t>
      </w:r>
      <w:r>
        <w:rPr>
          <w:rFonts w:hint="cs"/>
          <w:rtl/>
        </w:rPr>
        <w:t xml:space="preserve"> </w:t>
      </w:r>
      <w:r>
        <w:rPr>
          <w:rtl/>
        </w:rPr>
        <w:t>מהבקשות שהגיעו לרשות בשנת 2022 היו</w:t>
      </w:r>
      <w:r>
        <w:rPr>
          <w:rFonts w:hint="cs"/>
          <w:rtl/>
        </w:rPr>
        <w:t xml:space="preserve"> </w:t>
      </w:r>
      <w:r>
        <w:rPr>
          <w:rtl/>
        </w:rPr>
        <w:t xml:space="preserve">רלוונטיות להתמודדות עם משבר האקלים, וכ-16% מתקציב הרשות </w:t>
      </w:r>
      <w:r>
        <w:rPr>
          <w:rFonts w:hint="cs"/>
          <w:rtl/>
        </w:rPr>
        <w:t xml:space="preserve">(כ-264 מיליון ש"ח) </w:t>
      </w:r>
      <w:r>
        <w:rPr>
          <w:rtl/>
        </w:rPr>
        <w:t>הושקע</w:t>
      </w:r>
      <w:r>
        <w:rPr>
          <w:rFonts w:hint="cs"/>
          <w:rtl/>
        </w:rPr>
        <w:t>ו</w:t>
      </w:r>
      <w:r>
        <w:rPr>
          <w:rtl/>
        </w:rPr>
        <w:t xml:space="preserve"> ב</w:t>
      </w:r>
      <w:r>
        <w:rPr>
          <w:rFonts w:hint="cs"/>
          <w:rtl/>
        </w:rPr>
        <w:t>כלל ה</w:t>
      </w:r>
      <w:r>
        <w:rPr>
          <w:rtl/>
        </w:rPr>
        <w:t>תחומים</w:t>
      </w:r>
      <w:r>
        <w:rPr>
          <w:rFonts w:hint="cs"/>
          <w:rtl/>
        </w:rPr>
        <w:t xml:space="preserve"> הרלוונטיים לאקלים</w:t>
      </w:r>
      <w:r>
        <w:rPr>
          <w:rtl/>
        </w:rPr>
        <w:t xml:space="preserve"> </w:t>
      </w:r>
      <w:r>
        <w:rPr>
          <w:rFonts w:hint="cs"/>
          <w:rtl/>
        </w:rPr>
        <w:t xml:space="preserve">(ובהם גם תחומי </w:t>
      </w:r>
      <w:r>
        <w:rPr>
          <w:rFonts w:hint="cs"/>
          <w:rtl/>
        </w:rPr>
        <w:t>האנרגייה</w:t>
      </w:r>
      <w:r>
        <w:rPr>
          <w:rFonts w:hint="cs"/>
          <w:rtl/>
        </w:rPr>
        <w:t>, המים, הסביבה, הקיימות, החקלאות והמזון)</w:t>
      </w:r>
      <w:r>
        <w:rPr>
          <w:rtl/>
        </w:rPr>
        <w:t>.</w:t>
      </w:r>
      <w:r>
        <w:rPr>
          <w:rFonts w:hint="cs"/>
          <w:rtl/>
        </w:rPr>
        <w:t xml:space="preserve"> </w:t>
      </w:r>
      <w:r>
        <w:rPr>
          <w:rtl/>
        </w:rPr>
        <w:t>נוסף</w:t>
      </w:r>
      <w:r>
        <w:rPr>
          <w:rFonts w:hint="cs"/>
          <w:rtl/>
        </w:rPr>
        <w:t xml:space="preserve"> על כך</w:t>
      </w:r>
      <w:r>
        <w:rPr>
          <w:rtl/>
        </w:rPr>
        <w:t>, מיפוי המחצית הראשונה של שנת 2023</w:t>
      </w:r>
      <w:r>
        <w:rPr>
          <w:rFonts w:hint="cs"/>
          <w:rtl/>
        </w:rPr>
        <w:t xml:space="preserve"> </w:t>
      </w:r>
      <w:r>
        <w:rPr>
          <w:rtl/>
        </w:rPr>
        <w:t>מראה כי 22% מהבקשות המגיעות לרשות</w:t>
      </w:r>
      <w:r>
        <w:rPr>
          <w:rFonts w:hint="cs"/>
          <w:rtl/>
        </w:rPr>
        <w:t xml:space="preserve"> </w:t>
      </w:r>
      <w:r>
        <w:rPr>
          <w:rtl/>
        </w:rPr>
        <w:t>נכללות בתחומי אקלים, וכ-21% מתקציב</w:t>
      </w:r>
      <w:r>
        <w:rPr>
          <w:rFonts w:hint="cs"/>
          <w:rtl/>
        </w:rPr>
        <w:t xml:space="preserve"> </w:t>
      </w:r>
      <w:r>
        <w:rPr>
          <w:rtl/>
        </w:rPr>
        <w:t>הרשות מגיע לתחומים אלה</w:t>
      </w:r>
      <w:r>
        <w:rPr>
          <w:rFonts w:hint="cs"/>
          <w:rtl/>
        </w:rPr>
        <w:t xml:space="preserve">. עוד ציינה הרשות בתשובתה כי </w:t>
      </w:r>
      <w:r>
        <w:rPr>
          <w:rtl/>
        </w:rPr>
        <w:t>העלייה בהשקעות בוצעה</w:t>
      </w:r>
      <w:r>
        <w:rPr>
          <w:rFonts w:hint="cs"/>
          <w:rtl/>
        </w:rPr>
        <w:t xml:space="preserve"> </w:t>
      </w:r>
      <w:r>
        <w:rPr>
          <w:rtl/>
        </w:rPr>
        <w:t>בלי לוותר על בחינת הבקשות על בסיס</w:t>
      </w:r>
      <w:r>
        <w:rPr>
          <w:rFonts w:hint="cs"/>
          <w:rtl/>
        </w:rPr>
        <w:t xml:space="preserve"> </w:t>
      </w:r>
      <w:r>
        <w:rPr>
          <w:rtl/>
        </w:rPr>
        <w:t>מצוינות טכנולוגית בקריטריונים הקבועים של</w:t>
      </w:r>
      <w:r>
        <w:rPr>
          <w:rFonts w:hint="cs"/>
          <w:rtl/>
        </w:rPr>
        <w:t xml:space="preserve"> </w:t>
      </w:r>
      <w:r>
        <w:rPr>
          <w:rtl/>
        </w:rPr>
        <w:t>הרשות, ביחס לכלל ההגשות בכלל התחומים</w:t>
      </w:r>
      <w:r>
        <w:rPr>
          <w:rFonts w:hint="cs"/>
          <w:rtl/>
        </w:rPr>
        <w:t xml:space="preserve"> </w:t>
      </w:r>
      <w:r>
        <w:rPr>
          <w:rtl/>
        </w:rPr>
        <w:t>הטכנולוגיים שאינם אקלים.</w:t>
      </w:r>
    </w:p>
    <w:p w:rsidR="00F20E3F" w:rsidP="00686209" w14:paraId="3194C236" w14:textId="77777777">
      <w:pPr>
        <w:pStyle w:val="7316"/>
        <w:rPr>
          <w:b/>
          <w:bCs/>
          <w:rtl/>
        </w:rPr>
      </w:pPr>
      <w:r>
        <w:rPr>
          <w:rFonts w:hint="cs"/>
          <w:rtl/>
        </w:rPr>
        <w:t xml:space="preserve">משרד מבקר </w:t>
      </w:r>
      <w:r w:rsidRPr="003D2ABC">
        <w:rPr>
          <w:rFonts w:hint="cs"/>
          <w:rtl/>
        </w:rPr>
        <w:t xml:space="preserve">המדינה </w:t>
      </w:r>
      <w:r w:rsidRPr="003D2ABC">
        <w:rPr>
          <w:rFonts w:hint="eastAsia"/>
          <w:rtl/>
        </w:rPr>
        <w:t>מציין</w:t>
      </w:r>
      <w:r w:rsidRPr="003D2ABC">
        <w:rPr>
          <w:rtl/>
        </w:rPr>
        <w:t xml:space="preserve"> כי</w:t>
      </w:r>
      <w:r w:rsidRPr="003D2ABC">
        <w:rPr>
          <w:rFonts w:hint="cs"/>
          <w:rtl/>
        </w:rPr>
        <w:t xml:space="preserve"> פעולת</w:t>
      </w:r>
      <w:r>
        <w:rPr>
          <w:rFonts w:hint="cs"/>
          <w:rtl/>
        </w:rPr>
        <w:t xml:space="preserve"> הרשות ליצירת מדד קבוע כפי שהומלץ על ידו תשמש כלי יעיל לקידום ולהגברה של המחקר והפיתוח של חברות ישראליות בתחום האקלים.</w:t>
      </w:r>
    </w:p>
    <w:p w:rsidR="0030038A" w:rsidRPr="00363CE5" w:rsidP="0030038A" w14:paraId="5378CBB9" w14:textId="77777777">
      <w:pPr>
        <w:pStyle w:val="0-"/>
        <w:rPr>
          <w:rtl/>
        </w:rPr>
      </w:pPr>
      <w:r w:rsidRPr="00363CE5">
        <w:rPr>
          <w:rFonts w:hint="cs"/>
          <w:rtl/>
        </w:rPr>
        <w:t>מידת תיקון הליקוי</w:t>
      </w:r>
    </w:p>
    <w:p w:rsidR="0030038A" w:rsidRPr="00363CE5" w:rsidP="0030038A" w14:paraId="5C2C617B" w14:textId="77777777">
      <w:pPr>
        <w:spacing w:before="240" w:after="360"/>
        <w:jc w:val="center"/>
        <w:rPr>
          <w:rtl/>
        </w:rPr>
      </w:pPr>
      <w:r>
        <w:rPr>
          <w:noProof/>
          <w:rtl/>
          <w:lang w:val="he-IL"/>
        </w:rPr>
        <w:drawing>
          <wp:inline distT="0" distB="0" distL="0" distR="0">
            <wp:extent cx="4069328" cy="794015"/>
            <wp:effectExtent l="0" t="0" r="0" b="0"/>
            <wp:docPr id="1986964554" name="תמונה 1986964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381410" name="תמונה 1216099384"/>
                    <pic:cNvPicPr/>
                  </pic:nvPicPr>
                  <pic:blipFill>
                    <a:blip xmlns:r="http://schemas.openxmlformats.org/officeDocument/2006/relationships" r:embed="rId56">
                      <a:extLst>
                        <a:ext xmlns:a="http://schemas.openxmlformats.org/drawingml/2006/main" uri="{28A0092B-C50C-407E-A947-70E740481C1C}">
                          <a14:useLocalDpi xmlns:a14="http://schemas.microsoft.com/office/drawing/2010/main" val="0"/>
                        </a:ext>
                      </a:extLst>
                    </a:blip>
                    <a:stretch>
                      <a:fillRect/>
                    </a:stretch>
                  </pic:blipFill>
                  <pic:spPr>
                    <a:xfrm>
                      <a:off x="0" y="0"/>
                      <a:ext cx="4069328" cy="794015"/>
                    </a:xfrm>
                    <a:prstGeom prst="rect">
                      <a:avLst/>
                    </a:prstGeom>
                  </pic:spPr>
                </pic:pic>
              </a:graphicData>
            </a:graphic>
          </wp:inline>
        </w:drawing>
      </w:r>
    </w:p>
    <w:p w:rsidR="00F20E3F" w:rsidP="007B7A97" w14:paraId="6D5C72D1" w14:textId="77777777">
      <w:pPr>
        <w:pStyle w:val="73414"/>
        <w:rPr>
          <w:rtl/>
        </w:rPr>
      </w:pPr>
      <w:r>
        <w:rPr>
          <w:rFonts w:hint="cs"/>
          <w:rtl/>
        </w:rPr>
        <w:t>היבטים נוספים בתחום האקלים-טק</w:t>
      </w:r>
    </w:p>
    <w:p w:rsidR="00F20E3F" w:rsidP="00C44928" w14:paraId="3A730B99" w14:textId="72736C81">
      <w:pPr>
        <w:pStyle w:val="7114"/>
        <w:numPr>
          <w:ilvl w:val="0"/>
          <w:numId w:val="84"/>
        </w:numPr>
      </w:pPr>
      <w:r w:rsidRPr="00A96762">
        <w:rPr>
          <w:rStyle w:val="7371"/>
          <w:rFonts w:hint="eastAsia"/>
          <w:rtl/>
        </w:rPr>
        <w:t>השקעות</w:t>
      </w:r>
      <w:r w:rsidRPr="00A96762">
        <w:rPr>
          <w:rStyle w:val="7371"/>
          <w:rtl/>
        </w:rPr>
        <w:t xml:space="preserve"> </w:t>
      </w:r>
      <w:r w:rsidRPr="00A96762">
        <w:rPr>
          <w:rStyle w:val="7371"/>
          <w:rFonts w:hint="eastAsia"/>
          <w:rtl/>
        </w:rPr>
        <w:t>לשכת</w:t>
      </w:r>
      <w:r w:rsidRPr="00A96762">
        <w:rPr>
          <w:rStyle w:val="7371"/>
          <w:rtl/>
        </w:rPr>
        <w:t xml:space="preserve"> </w:t>
      </w:r>
      <w:r w:rsidRPr="00A96762">
        <w:rPr>
          <w:rStyle w:val="7371"/>
          <w:rFonts w:hint="eastAsia"/>
          <w:rtl/>
        </w:rPr>
        <w:t>המדען</w:t>
      </w:r>
      <w:r w:rsidRPr="00A96762">
        <w:rPr>
          <w:rStyle w:val="7371"/>
          <w:rtl/>
        </w:rPr>
        <w:t xml:space="preserve"> </w:t>
      </w:r>
      <w:r w:rsidRPr="00A96762">
        <w:rPr>
          <w:rStyle w:val="7371"/>
          <w:rFonts w:hint="eastAsia"/>
          <w:rtl/>
        </w:rPr>
        <w:t>הראשי</w:t>
      </w:r>
      <w:r w:rsidRPr="00A96762">
        <w:rPr>
          <w:rStyle w:val="7371"/>
          <w:rtl/>
        </w:rPr>
        <w:t xml:space="preserve"> </w:t>
      </w:r>
      <w:r w:rsidRPr="00A96762">
        <w:rPr>
          <w:rStyle w:val="7371"/>
          <w:rFonts w:hint="cs"/>
          <w:rtl/>
        </w:rPr>
        <w:t xml:space="preserve">של משרד </w:t>
      </w:r>
      <w:r w:rsidRPr="00A96762">
        <w:rPr>
          <w:rStyle w:val="7371"/>
          <w:rFonts w:hint="cs"/>
          <w:rtl/>
        </w:rPr>
        <w:t>האנרגייה</w:t>
      </w:r>
      <w:r w:rsidRPr="00A96762">
        <w:rPr>
          <w:rStyle w:val="7371"/>
          <w:rFonts w:hint="cs"/>
          <w:rtl/>
        </w:rPr>
        <w:t xml:space="preserve"> </w:t>
      </w:r>
      <w:r w:rsidRPr="00A96762">
        <w:rPr>
          <w:rStyle w:val="7371"/>
          <w:rFonts w:hint="eastAsia"/>
          <w:rtl/>
        </w:rPr>
        <w:t>ב</w:t>
      </w:r>
      <w:r w:rsidRPr="00A96762">
        <w:rPr>
          <w:rStyle w:val="7371"/>
          <w:rFonts w:hint="cs"/>
          <w:rtl/>
        </w:rPr>
        <w:t xml:space="preserve">תחום </w:t>
      </w:r>
      <w:r w:rsidRPr="00A96762">
        <w:rPr>
          <w:rStyle w:val="7371"/>
          <w:rFonts w:hint="eastAsia"/>
          <w:rtl/>
        </w:rPr>
        <w:t>חדשנות</w:t>
      </w:r>
      <w:r w:rsidRPr="00A96762">
        <w:rPr>
          <w:rStyle w:val="7371"/>
          <w:rFonts w:hint="cs"/>
          <w:rtl/>
        </w:rPr>
        <w:t xml:space="preserve"> אקלים-טק</w:t>
      </w:r>
      <w:r w:rsidRPr="00A96762">
        <w:rPr>
          <w:rStyle w:val="7371"/>
          <w:rtl/>
        </w:rPr>
        <w:t>:</w:t>
      </w:r>
      <w:r>
        <w:rPr>
          <w:rFonts w:hint="cs"/>
          <w:rtl/>
        </w:rPr>
        <w:t xml:space="preserve"> כדי לסייע למדינת ישראל לעמוד ביעדיה ולהפחית פליטות בשיעור של 85% לעומת שנת 2015, פעל משרד </w:t>
      </w:r>
      <w:r>
        <w:rPr>
          <w:rFonts w:hint="cs"/>
          <w:rtl/>
        </w:rPr>
        <w:t>האנרגייה</w:t>
      </w:r>
      <w:r>
        <w:rPr>
          <w:rFonts w:hint="cs"/>
          <w:rtl/>
        </w:rPr>
        <w:t xml:space="preserve"> באמצעות לשכת המדען הראשי לקידום חדשנות בסקטור </w:t>
      </w:r>
      <w:r>
        <w:rPr>
          <w:rFonts w:hint="cs"/>
          <w:rtl/>
        </w:rPr>
        <w:t>האנרגייה</w:t>
      </w:r>
      <w:r>
        <w:rPr>
          <w:rFonts w:hint="cs"/>
          <w:rtl/>
        </w:rPr>
        <w:t xml:space="preserve"> וייצור החשמל, כדי להגדיל את </w:t>
      </w:r>
      <w:r w:rsidRPr="003E6AB1">
        <w:rPr>
          <w:rtl/>
        </w:rPr>
        <w:t>פוטנציאל ה</w:t>
      </w:r>
      <w:r>
        <w:rPr>
          <w:rFonts w:hint="cs"/>
          <w:rtl/>
        </w:rPr>
        <w:t>מחקר והפיתוח</w:t>
      </w:r>
      <w:r w:rsidRPr="003E6AB1">
        <w:rPr>
          <w:rtl/>
        </w:rPr>
        <w:t xml:space="preserve"> בישראל</w:t>
      </w:r>
      <w:r>
        <w:rPr>
          <w:rFonts w:hint="cs"/>
          <w:rtl/>
        </w:rPr>
        <w:t xml:space="preserve"> בתחום זה.</w:t>
      </w:r>
    </w:p>
    <w:p w:rsidR="00F20E3F" w:rsidP="00686209" w14:paraId="6A90BC27" w14:textId="77777777">
      <w:pPr>
        <w:pStyle w:val="7316"/>
        <w:rPr>
          <w:rtl/>
        </w:rPr>
      </w:pPr>
      <w:r>
        <w:rPr>
          <w:rFonts w:hint="cs"/>
          <w:rtl/>
        </w:rPr>
        <w:t xml:space="preserve">לשכת המדען הראשי סייעה בשנים אלה לכ-130 הצעות של חברות ישראליות לקידום המחקר והפיתוח בתחום </w:t>
      </w:r>
      <w:r>
        <w:rPr>
          <w:rFonts w:hint="cs"/>
          <w:rtl/>
        </w:rPr>
        <w:t>האנרגייה</w:t>
      </w:r>
      <w:r>
        <w:rPr>
          <w:rFonts w:hint="cs"/>
          <w:rtl/>
        </w:rPr>
        <w:t xml:space="preserve">. לפי לשכת המדען הראשי, בהתאם לסיכום בין משרד </w:t>
      </w:r>
      <w:r>
        <w:rPr>
          <w:rFonts w:hint="cs"/>
          <w:rtl/>
        </w:rPr>
        <w:t>האנרגייה</w:t>
      </w:r>
      <w:r>
        <w:rPr>
          <w:rFonts w:hint="cs"/>
          <w:rtl/>
        </w:rPr>
        <w:t xml:space="preserve"> ובין משרד האוצר על הקצאת כספים נוספים בשנים 2023 עד 2026, הוא פעל עם חברות בשוק לקידום פרויקטים, כגון הקמת מכוני </w:t>
      </w:r>
      <w:r>
        <w:rPr>
          <w:rFonts w:hint="cs"/>
          <w:rtl/>
        </w:rPr>
        <w:t>אנרגייה</w:t>
      </w:r>
      <w:r>
        <w:rPr>
          <w:rFonts w:hint="cs"/>
          <w:rtl/>
        </w:rPr>
        <w:t xml:space="preserve"> לאגירת חשמל, תחום שהוגדר על ידי המדען הראשי במשרד </w:t>
      </w:r>
      <w:r>
        <w:rPr>
          <w:rFonts w:hint="cs"/>
          <w:rtl/>
        </w:rPr>
        <w:t>האנרגייה</w:t>
      </w:r>
      <w:r>
        <w:rPr>
          <w:rFonts w:hint="cs"/>
          <w:rtl/>
        </w:rPr>
        <w:t xml:space="preserve"> כ"קריטי לשילוב </w:t>
      </w:r>
      <w:r>
        <w:rPr>
          <w:rFonts w:hint="cs"/>
          <w:rtl/>
        </w:rPr>
        <w:t>אנרגייה</w:t>
      </w:r>
      <w:r>
        <w:rPr>
          <w:rFonts w:hint="cs"/>
          <w:rtl/>
        </w:rPr>
        <w:t xml:space="preserve"> מתחדשת בכמות גדולה" ולהיתוך גרעיני, ומיזמים בתחומי המימן לטובת תחבורה נקייה, מיזמי ייצור </w:t>
      </w:r>
      <w:r>
        <w:rPr>
          <w:rFonts w:hint="cs"/>
          <w:rtl/>
        </w:rPr>
        <w:t>אנרגייה</w:t>
      </w:r>
      <w:r>
        <w:rPr>
          <w:rFonts w:hint="cs"/>
          <w:rtl/>
        </w:rPr>
        <w:t xml:space="preserve"> מפסולת, </w:t>
      </w:r>
      <w:r>
        <w:rPr>
          <w:rFonts w:hint="cs"/>
          <w:rtl/>
        </w:rPr>
        <w:t>אנרגייה</w:t>
      </w:r>
      <w:r>
        <w:rPr>
          <w:rFonts w:hint="cs"/>
          <w:rtl/>
        </w:rPr>
        <w:t xml:space="preserve"> סולרית בים, פרויקט </w:t>
      </w:r>
      <w:r>
        <w:rPr>
          <w:rFonts w:hint="cs"/>
          <w:rtl/>
        </w:rPr>
        <w:t>אנרגייה</w:t>
      </w:r>
      <w:r>
        <w:rPr>
          <w:rFonts w:hint="cs"/>
          <w:rtl/>
        </w:rPr>
        <w:t xml:space="preserve"> במכון הגיאולוגי ועוד.</w:t>
      </w:r>
    </w:p>
    <w:p w:rsidR="00F20E3F" w:rsidP="00686209" w14:paraId="4D8F20A0" w14:textId="4E1296EB">
      <w:pPr>
        <w:pStyle w:val="7316"/>
        <w:rPr>
          <w:rtl/>
        </w:rPr>
      </w:pPr>
      <w:r>
        <w:rPr>
          <w:rFonts w:hint="cs"/>
          <w:rtl/>
        </w:rPr>
        <w:t>בשנים 2021 עד 2023 תקציב הבסיס</w:t>
      </w:r>
      <w:r w:rsidR="0030038A">
        <w:rPr>
          <w:rFonts w:hint="cs"/>
          <w:rtl/>
        </w:rPr>
        <w:t xml:space="preserve"> של לשכת המדען הראשי</w:t>
      </w:r>
      <w:r>
        <w:rPr>
          <w:rFonts w:hint="cs"/>
          <w:rtl/>
        </w:rPr>
        <w:t xml:space="preserve"> שאושר היה כ-44 מיליון ש"ח לשנה. התקציב התוספתי (הרשאה להתחייב) של לשכת המדען הראשי היה כ-91.5 מיליון ש"ח בשנת 2021 וכ-99.5 מיליון ש"ח בשנת 2022. לעומת זאת בשנת 2023 חלה ירידה בתקציב התוספתי (הרשאה להתחייב), והוא היה 61.5 מיליון ש"ח - ירידה של כ-38% לעומת שנת 2022. </w:t>
      </w:r>
      <w:r w:rsidRPr="001D23D0">
        <w:rPr>
          <w:rFonts w:hint="cs"/>
          <w:rtl/>
        </w:rPr>
        <w:t xml:space="preserve">ירידה זו הביאה לכך שפרויקטים חדשים שאותם תכננה לשכת </w:t>
      </w:r>
      <w:r w:rsidRPr="001D23D0">
        <w:rPr>
          <w:rFonts w:hint="cs"/>
          <w:rtl/>
        </w:rPr>
        <w:t>המדען הראשי לקדם, לא קיבלו תקציב.</w:t>
      </w:r>
      <w:r>
        <w:rPr>
          <w:rFonts w:hint="cs"/>
          <w:rtl/>
        </w:rPr>
        <w:t xml:space="preserve"> </w:t>
      </w:r>
      <w:r w:rsidRPr="00D13FD3">
        <w:rPr>
          <w:rFonts w:hint="cs"/>
          <w:rtl/>
        </w:rPr>
        <w:t>על אף הירידה בשנת 2023, בשנת 2024 יחזור התקציב התוספתי לרמתו בשנים 2021 ו-2022.</w:t>
      </w:r>
    </w:p>
    <w:p w:rsidR="00F20E3F" w:rsidRPr="00D13FD3" w:rsidP="00686209" w14:paraId="06E368A7" w14:textId="3A34841F">
      <w:pPr>
        <w:pStyle w:val="7316"/>
        <w:rPr>
          <w:rtl/>
        </w:rPr>
      </w:pPr>
      <w:r>
        <w:rPr>
          <w:rFonts w:hint="cs"/>
          <w:rtl/>
        </w:rPr>
        <w:t>לפי לשכת המדען הראשי, ישנה חשיבות גדולה בהגדלת תקציבי המחקר והפיתוח ובקידום תוכנית תקציבית ארוכת טווח וזאת מכ</w:t>
      </w:r>
      <w:r w:rsidR="0030038A">
        <w:rPr>
          <w:rFonts w:hint="cs"/>
          <w:rtl/>
        </w:rPr>
        <w:t>י</w:t>
      </w:r>
      <w:r>
        <w:rPr>
          <w:rFonts w:hint="cs"/>
          <w:rtl/>
        </w:rPr>
        <w:t>וון שהעדר תקצוב ארוך טווח בבסיס התקציב, עלול להביא "לבלימת המחקר והפיתוח בתחום שבו הטכנולוגיה היא חיונית (על פי ה-</w:t>
      </w:r>
      <w:r>
        <w:rPr>
          <w:rFonts w:hint="cs"/>
        </w:rPr>
        <w:t>IEA</w:t>
      </w:r>
      <w:r>
        <w:rPr>
          <w:rFonts w:hint="cs"/>
          <w:rtl/>
        </w:rPr>
        <w:t xml:space="preserve"> כמחצית מהטכנולוגיות הדרושות להצלחה בהגעה ליעדי 2050 טרם פותחו). זהו איתות שלילי ממדרגה ראשונה לגבי הכוונות האמיתיות של ישראל להיות חלוצה בתחום </w:t>
      </w:r>
      <w:r>
        <w:rPr>
          <w:rFonts w:hint="cs"/>
          <w:rtl/>
        </w:rPr>
        <w:t>האנרגייה</w:t>
      </w:r>
      <w:r>
        <w:rPr>
          <w:rFonts w:hint="cs"/>
          <w:rtl/>
        </w:rPr>
        <w:t xml:space="preserve"> </w:t>
      </w:r>
      <w:r>
        <w:rPr>
          <w:rFonts w:hint="cs"/>
          <w:rtl/>
        </w:rPr>
        <w:t>הנקיה</w:t>
      </w:r>
      <w:r>
        <w:rPr>
          <w:rFonts w:hint="cs"/>
          <w:rtl/>
        </w:rPr>
        <w:t xml:space="preserve">", כי ההשקעה בחדשנות, מחקר ופיתוח בתחום </w:t>
      </w:r>
      <w:r>
        <w:rPr>
          <w:rFonts w:hint="cs"/>
          <w:rtl/>
        </w:rPr>
        <w:t>האנרגייה</w:t>
      </w:r>
      <w:r>
        <w:rPr>
          <w:rFonts w:hint="cs"/>
          <w:rtl/>
        </w:rPr>
        <w:t xml:space="preserve"> היא נחותה בהשוואה לתחומים אחרים שבהם יש כבר לישראל יכולות מבוססות, והקיצוץ פוגע ביכולת לתכנן פעולות קדימה ומרחיק יזמים ומשקיעים.</w:t>
      </w:r>
    </w:p>
    <w:p w:rsidR="00F20E3F" w:rsidP="00686209" w14:paraId="5D328FEE" w14:textId="77777777">
      <w:pPr>
        <w:pStyle w:val="7316"/>
        <w:rPr>
          <w:rtl/>
        </w:rPr>
      </w:pPr>
      <w:r>
        <w:rPr>
          <w:rFonts w:hint="cs"/>
          <w:rtl/>
        </w:rPr>
        <w:t xml:space="preserve">משרד </w:t>
      </w:r>
      <w:r>
        <w:rPr>
          <w:rFonts w:hint="cs"/>
          <w:rtl/>
        </w:rPr>
        <w:t>האנרגייה</w:t>
      </w:r>
      <w:r>
        <w:rPr>
          <w:rFonts w:hint="cs"/>
          <w:rtl/>
        </w:rPr>
        <w:t xml:space="preserve"> מסר למשרד מבקר המדינה כי העלייה בתקציב לשכת המדען הראשי</w:t>
      </w:r>
      <w:r w:rsidRPr="00193B5A">
        <w:rPr>
          <w:rFonts w:hint="cs"/>
          <w:rtl/>
        </w:rPr>
        <w:t xml:space="preserve"> </w:t>
      </w:r>
      <w:r>
        <w:rPr>
          <w:rFonts w:hint="cs"/>
          <w:rtl/>
        </w:rPr>
        <w:t xml:space="preserve">נבעה ממקורות תקציביים פנימיים שהעמיד משרד האנרגיה וכן כתלות באישור מס פחמן שבגינו הייתה ציפייה לתקבולים משמעותיים לקופת המדינה, זאת על פי החלטת ממשלה 541 אשר קבעה בין היתר כי משרד </w:t>
      </w:r>
      <w:r>
        <w:rPr>
          <w:rFonts w:hint="cs"/>
          <w:rtl/>
        </w:rPr>
        <w:t>האנרגייה</w:t>
      </w:r>
      <w:r>
        <w:rPr>
          <w:rFonts w:hint="cs"/>
          <w:rtl/>
        </w:rPr>
        <w:t xml:space="preserve"> יקצה תקציב שלא יפחת מ-35 מש"ח בין השנים 2022 - 2023. עוד מסר משרד </w:t>
      </w:r>
      <w:r>
        <w:rPr>
          <w:rFonts w:hint="cs"/>
          <w:rtl/>
        </w:rPr>
        <w:t>האנרגייה</w:t>
      </w:r>
      <w:r>
        <w:rPr>
          <w:rFonts w:hint="cs"/>
          <w:rtl/>
        </w:rPr>
        <w:t xml:space="preserve"> כי העובדה כי תוספת התקציב לפעילות המחקר והפיתוח תלויה במקורות שמעמיד המשרד או משרד האוצר (במס פחמן) מקשה על היכולת להשקיע לטווח ארוך בחדשנות בתחום.</w:t>
      </w:r>
    </w:p>
    <w:p w:rsidR="00F20E3F" w:rsidRPr="00686209" w:rsidP="00686209" w14:paraId="77C87F50" w14:textId="5A18C629">
      <w:pPr>
        <w:pStyle w:val="718"/>
        <w:rPr>
          <w:rtl/>
        </w:rPr>
      </w:pPr>
      <w:r w:rsidRPr="00686209">
        <w:rPr>
          <w:rFonts w:hint="cs"/>
          <w:rtl/>
        </w:rPr>
        <w:t xml:space="preserve">ביקורת המעקב העלתה כי בניגוד לאמור בהחלטות הממשלה לקידום האקלים-טק בישראל כמרכיב בעמידת ישראל ביעדי הפחתת פליטות </w:t>
      </w:r>
      <w:r w:rsidRPr="00686209">
        <w:rPr>
          <w:rFonts w:hint="cs"/>
          <w:rtl/>
        </w:rPr>
        <w:t>הגז"ח</w:t>
      </w:r>
      <w:r w:rsidRPr="00686209">
        <w:rPr>
          <w:rFonts w:hint="cs"/>
          <w:rtl/>
        </w:rPr>
        <w:t>, בשנת 2023 חלה ירידה בתקציבים התוספתיים לעומת השנים 2021 ו-2022 מכ-99.5 מיליון ש"ח ל-61.5 מיליון ש"ח (ירידה של כ-38%),</w:t>
      </w:r>
      <w:r w:rsidR="00E308F9">
        <w:rPr>
          <w:rFonts w:hint="cs"/>
          <w:rtl/>
        </w:rPr>
        <w:t xml:space="preserve"> </w:t>
      </w:r>
      <w:r w:rsidRPr="00686209">
        <w:rPr>
          <w:rFonts w:hint="cs"/>
          <w:rtl/>
        </w:rPr>
        <w:t xml:space="preserve">שהביאה לכך שפרויקטים חדשים שאותם תכננה לשכת המדען הראשי לקדם, לא קיבלו תקציב. אי-קיומה של תוכנית תקציבית ארוכת טווח המייצרת וודאות למשק עלולה להוביל לבלימת המחקר והפיתוח של טכנולוגיות חיוניות בתחום </w:t>
      </w:r>
      <w:r w:rsidRPr="00686209">
        <w:rPr>
          <w:rFonts w:hint="cs"/>
          <w:rtl/>
        </w:rPr>
        <w:t>האנרגייה</w:t>
      </w:r>
      <w:r w:rsidRPr="00686209">
        <w:rPr>
          <w:rFonts w:hint="cs"/>
          <w:rtl/>
        </w:rPr>
        <w:t xml:space="preserve"> והחשמל. הדבר פוגע מהותית בקידום הפרויקטים, עלול להביא לאובדן הזדמנויות </w:t>
      </w:r>
      <w:r w:rsidRPr="00686209">
        <w:rPr>
          <w:rFonts w:hint="cs"/>
          <w:rtl/>
        </w:rPr>
        <w:t>ול"בריחת</w:t>
      </w:r>
      <w:r w:rsidRPr="00686209">
        <w:rPr>
          <w:rFonts w:hint="cs"/>
          <w:rtl/>
        </w:rPr>
        <w:t xml:space="preserve"> משקיעים" ויזמים ישראלים מישראל, מהווה איתות שלילי ונסיגה דה-פקטו של מדינת ישראל מהצהרותיה בהחלטות הממשלה בנושא האקלים-טק שקיבלו ביטוי בין היתר בוועידות האקלים העולמיות שהתקיימו בגלזגו ובשארם א-שייח' בשנים האחרונות. </w:t>
      </w:r>
    </w:p>
    <w:p w:rsidR="00F20E3F" w:rsidRPr="00686209" w:rsidP="00686209" w14:paraId="61C928CE" w14:textId="77777777">
      <w:pPr>
        <w:pStyle w:val="718"/>
        <w:rPr>
          <w:rtl/>
        </w:rPr>
      </w:pPr>
      <w:r w:rsidRPr="00686209">
        <w:rPr>
          <w:rFonts w:hint="eastAsia"/>
          <w:rtl/>
        </w:rPr>
        <w:t>ללשכת</w:t>
      </w:r>
      <w:r w:rsidRPr="00686209">
        <w:rPr>
          <w:rtl/>
        </w:rPr>
        <w:t xml:space="preserve"> המדען הראשי חשיבות בקידום חדשנות וטכנולוגיות בתחום </w:t>
      </w:r>
      <w:r w:rsidRPr="00686209">
        <w:rPr>
          <w:rFonts w:hint="eastAsia"/>
          <w:rtl/>
        </w:rPr>
        <w:t>האנרגייה</w:t>
      </w:r>
      <w:r w:rsidRPr="00686209">
        <w:rPr>
          <w:rtl/>
        </w:rPr>
        <w:t xml:space="preserve"> והחשמל לטובת קידום </w:t>
      </w:r>
      <w:r w:rsidRPr="00686209">
        <w:rPr>
          <w:rFonts w:hint="eastAsia"/>
          <w:rtl/>
        </w:rPr>
        <w:t>בין</w:t>
      </w:r>
      <w:r w:rsidRPr="00686209">
        <w:rPr>
          <w:rtl/>
        </w:rPr>
        <w:t xml:space="preserve"> היתר של </w:t>
      </w:r>
      <w:r w:rsidRPr="00686209">
        <w:rPr>
          <w:rFonts w:hint="eastAsia"/>
          <w:rtl/>
        </w:rPr>
        <w:t>החלטות</w:t>
      </w:r>
      <w:r w:rsidRPr="00686209">
        <w:rPr>
          <w:rtl/>
        </w:rPr>
        <w:t xml:space="preserve"> הממשלה בתחום האקלים</w:t>
      </w:r>
      <w:r w:rsidRPr="00686209">
        <w:rPr>
          <w:rFonts w:hint="cs"/>
          <w:rtl/>
        </w:rPr>
        <w:t>-</w:t>
      </w:r>
      <w:r w:rsidRPr="00686209">
        <w:rPr>
          <w:rtl/>
        </w:rPr>
        <w:t>טק, מיצוב ישראל כמובילה עולמית ועמיד</w:t>
      </w:r>
      <w:r w:rsidRPr="00686209">
        <w:rPr>
          <w:rFonts w:hint="cs"/>
          <w:rtl/>
        </w:rPr>
        <w:t>ת</w:t>
      </w:r>
      <w:r w:rsidRPr="00686209">
        <w:rPr>
          <w:rtl/>
        </w:rPr>
        <w:t xml:space="preserve">ה של ישראל ביעדיה להפחתת פליטות. מוצע כי משרד </w:t>
      </w:r>
      <w:r w:rsidRPr="00686209">
        <w:rPr>
          <w:rFonts w:hint="eastAsia"/>
          <w:rtl/>
        </w:rPr>
        <w:t>האנרגייה</w:t>
      </w:r>
      <w:r w:rsidRPr="00686209">
        <w:rPr>
          <w:rtl/>
        </w:rPr>
        <w:t xml:space="preserve"> </w:t>
      </w:r>
      <w:r w:rsidRPr="00686209">
        <w:rPr>
          <w:rFonts w:hint="cs"/>
          <w:rtl/>
        </w:rPr>
        <w:t xml:space="preserve">יבחן </w:t>
      </w:r>
      <w:r w:rsidRPr="00686209">
        <w:rPr>
          <w:rtl/>
        </w:rPr>
        <w:t>עם משרד האוצר את התקציבים שהוקצו בשנים האחרונות ל</w:t>
      </w:r>
      <w:r w:rsidRPr="00686209">
        <w:rPr>
          <w:rFonts w:hint="eastAsia"/>
          <w:rtl/>
        </w:rPr>
        <w:t>לשכת</w:t>
      </w:r>
      <w:r w:rsidRPr="00686209">
        <w:rPr>
          <w:rtl/>
        </w:rPr>
        <w:t xml:space="preserve"> </w:t>
      </w:r>
      <w:r w:rsidRPr="00686209">
        <w:rPr>
          <w:rFonts w:hint="eastAsia"/>
          <w:rtl/>
        </w:rPr>
        <w:t>המדען</w:t>
      </w:r>
      <w:r w:rsidRPr="00686209">
        <w:rPr>
          <w:rtl/>
        </w:rPr>
        <w:t xml:space="preserve"> </w:t>
      </w:r>
      <w:r w:rsidRPr="00686209">
        <w:rPr>
          <w:rFonts w:hint="eastAsia"/>
          <w:rtl/>
        </w:rPr>
        <w:t>הראשי</w:t>
      </w:r>
      <w:r w:rsidRPr="00686209">
        <w:rPr>
          <w:rtl/>
        </w:rPr>
        <w:t xml:space="preserve"> </w:t>
      </w:r>
      <w:r w:rsidRPr="00686209">
        <w:rPr>
          <w:rFonts w:hint="eastAsia"/>
          <w:rtl/>
        </w:rPr>
        <w:t>לקידום</w:t>
      </w:r>
      <w:r w:rsidRPr="00686209">
        <w:rPr>
          <w:rtl/>
        </w:rPr>
        <w:t xml:space="preserve"> </w:t>
      </w:r>
      <w:r w:rsidRPr="00686209">
        <w:rPr>
          <w:rFonts w:hint="eastAsia"/>
          <w:rtl/>
        </w:rPr>
        <w:t>חדשנות</w:t>
      </w:r>
      <w:r w:rsidRPr="00686209">
        <w:rPr>
          <w:rtl/>
        </w:rPr>
        <w:t xml:space="preserve"> </w:t>
      </w:r>
      <w:r w:rsidRPr="00686209">
        <w:rPr>
          <w:rFonts w:hint="eastAsia"/>
          <w:rtl/>
        </w:rPr>
        <w:t>טכנולוגית</w:t>
      </w:r>
      <w:r w:rsidRPr="00686209">
        <w:rPr>
          <w:rtl/>
        </w:rPr>
        <w:t xml:space="preserve"> </w:t>
      </w:r>
      <w:r w:rsidRPr="00686209">
        <w:rPr>
          <w:rFonts w:hint="eastAsia"/>
          <w:rtl/>
        </w:rPr>
        <w:t>בתחום</w:t>
      </w:r>
      <w:r w:rsidRPr="00686209">
        <w:rPr>
          <w:rtl/>
        </w:rPr>
        <w:t xml:space="preserve"> </w:t>
      </w:r>
      <w:r w:rsidRPr="00686209">
        <w:rPr>
          <w:rFonts w:hint="eastAsia"/>
          <w:rtl/>
        </w:rPr>
        <w:t>האקלים</w:t>
      </w:r>
      <w:r w:rsidRPr="00686209">
        <w:rPr>
          <w:rtl/>
        </w:rPr>
        <w:t xml:space="preserve">-טק </w:t>
      </w:r>
      <w:r w:rsidRPr="00686209">
        <w:rPr>
          <w:rFonts w:hint="eastAsia"/>
          <w:rtl/>
        </w:rPr>
        <w:t>ואם</w:t>
      </w:r>
      <w:r w:rsidRPr="00686209">
        <w:rPr>
          <w:rtl/>
        </w:rPr>
        <w:t xml:space="preserve"> </w:t>
      </w:r>
      <w:r w:rsidRPr="00686209">
        <w:rPr>
          <w:rFonts w:hint="eastAsia"/>
          <w:rtl/>
        </w:rPr>
        <w:t>הם</w:t>
      </w:r>
      <w:r w:rsidRPr="00686209">
        <w:rPr>
          <w:rtl/>
        </w:rPr>
        <w:t xml:space="preserve"> </w:t>
      </w:r>
      <w:r w:rsidRPr="00686209">
        <w:rPr>
          <w:rFonts w:hint="eastAsia"/>
          <w:rtl/>
        </w:rPr>
        <w:t>בהלימה</w:t>
      </w:r>
      <w:r w:rsidRPr="00686209">
        <w:rPr>
          <w:rtl/>
        </w:rPr>
        <w:t xml:space="preserve"> </w:t>
      </w:r>
      <w:r w:rsidRPr="00686209">
        <w:rPr>
          <w:rFonts w:hint="eastAsia"/>
          <w:rtl/>
        </w:rPr>
        <w:t>לצרכים</w:t>
      </w:r>
      <w:r w:rsidRPr="00686209">
        <w:rPr>
          <w:rtl/>
        </w:rPr>
        <w:t xml:space="preserve"> </w:t>
      </w:r>
      <w:r w:rsidRPr="00686209">
        <w:rPr>
          <w:rFonts w:hint="eastAsia"/>
          <w:rtl/>
        </w:rPr>
        <w:t>הקיימים</w:t>
      </w:r>
      <w:r w:rsidRPr="00686209">
        <w:rPr>
          <w:rtl/>
        </w:rPr>
        <w:t xml:space="preserve"> </w:t>
      </w:r>
      <w:r w:rsidRPr="00686209">
        <w:rPr>
          <w:rFonts w:hint="eastAsia"/>
          <w:rtl/>
        </w:rPr>
        <w:t>ולפוטנציאל</w:t>
      </w:r>
      <w:r w:rsidRPr="00686209">
        <w:rPr>
          <w:rtl/>
        </w:rPr>
        <w:t xml:space="preserve"> </w:t>
      </w:r>
      <w:r w:rsidRPr="00686209">
        <w:rPr>
          <w:rFonts w:hint="eastAsia"/>
          <w:rtl/>
        </w:rPr>
        <w:t>הטמון</w:t>
      </w:r>
      <w:r w:rsidRPr="00686209">
        <w:rPr>
          <w:rtl/>
        </w:rPr>
        <w:t xml:space="preserve"> </w:t>
      </w:r>
      <w:r w:rsidRPr="00686209">
        <w:rPr>
          <w:rFonts w:hint="eastAsia"/>
          <w:rtl/>
        </w:rPr>
        <w:t>במדינת</w:t>
      </w:r>
      <w:r w:rsidRPr="00686209">
        <w:rPr>
          <w:rtl/>
        </w:rPr>
        <w:t xml:space="preserve"> </w:t>
      </w:r>
      <w:r w:rsidRPr="00686209">
        <w:rPr>
          <w:rFonts w:hint="eastAsia"/>
          <w:rtl/>
        </w:rPr>
        <w:t>ישראל</w:t>
      </w:r>
      <w:r w:rsidRPr="00686209">
        <w:rPr>
          <w:rtl/>
        </w:rPr>
        <w:t xml:space="preserve"> </w:t>
      </w:r>
      <w:r w:rsidRPr="00686209">
        <w:rPr>
          <w:rFonts w:hint="eastAsia"/>
          <w:rtl/>
        </w:rPr>
        <w:t>בנושאים</w:t>
      </w:r>
      <w:r w:rsidRPr="00686209">
        <w:rPr>
          <w:rtl/>
        </w:rPr>
        <w:t xml:space="preserve"> </w:t>
      </w:r>
      <w:r w:rsidRPr="00686209">
        <w:rPr>
          <w:rFonts w:hint="eastAsia"/>
          <w:rtl/>
        </w:rPr>
        <w:t>אלה</w:t>
      </w:r>
      <w:r w:rsidRPr="00686209">
        <w:rPr>
          <w:rtl/>
        </w:rPr>
        <w:t xml:space="preserve">. </w:t>
      </w:r>
      <w:r w:rsidRPr="00686209">
        <w:rPr>
          <w:rFonts w:hint="cs"/>
          <w:rtl/>
        </w:rPr>
        <w:t xml:space="preserve">עוד מוצע כי לשכת המדען הראשי תקיים בחינה לגבי סדרי העדיפויות שלה בקידום מחקרים כך שיהלמו את היעדים אשר משרד </w:t>
      </w:r>
      <w:r w:rsidRPr="00686209">
        <w:rPr>
          <w:rFonts w:hint="cs"/>
          <w:rtl/>
        </w:rPr>
        <w:t>האנרגייה</w:t>
      </w:r>
      <w:r w:rsidRPr="00686209">
        <w:rPr>
          <w:rFonts w:hint="cs"/>
          <w:rtl/>
        </w:rPr>
        <w:t xml:space="preserve"> נדרש להשיג במסגרת מדיניות האקלים של ממשלת ישראל. כמו כן על משרדי </w:t>
      </w:r>
      <w:r w:rsidRPr="00686209">
        <w:rPr>
          <w:rFonts w:hint="cs"/>
          <w:rtl/>
        </w:rPr>
        <w:t>האנרגייה</w:t>
      </w:r>
      <w:r w:rsidRPr="00686209">
        <w:rPr>
          <w:rFonts w:hint="cs"/>
          <w:rtl/>
        </w:rPr>
        <w:t xml:space="preserve"> והאוצר לבחון אם פעולת משרד </w:t>
      </w:r>
      <w:r w:rsidRPr="00686209">
        <w:rPr>
          <w:rFonts w:hint="cs"/>
          <w:rtl/>
        </w:rPr>
        <w:t>האנרגייה</w:t>
      </w:r>
      <w:r w:rsidRPr="00686209">
        <w:rPr>
          <w:rFonts w:hint="cs"/>
          <w:rtl/>
        </w:rPr>
        <w:t xml:space="preserve"> באמצעות לשכת המדען הראשי מקבלת את כלל המשאבים הדרושים לה לקידום הפחתת פליטות ולחדשנות טכנולוגית בתחומי </w:t>
      </w:r>
      <w:r w:rsidRPr="00686209">
        <w:rPr>
          <w:rFonts w:hint="cs"/>
          <w:rtl/>
        </w:rPr>
        <w:t>האנרגייה</w:t>
      </w:r>
      <w:r w:rsidRPr="00686209">
        <w:rPr>
          <w:rFonts w:hint="cs"/>
          <w:rtl/>
        </w:rPr>
        <w:t xml:space="preserve"> וייצור החשמל.</w:t>
      </w:r>
    </w:p>
    <w:p w:rsidR="00F20E3F" w:rsidP="00686209" w14:paraId="7D2F53B4" w14:textId="77777777">
      <w:pPr>
        <w:pStyle w:val="7316"/>
        <w:rPr>
          <w:rtl/>
        </w:rPr>
      </w:pPr>
      <w:r>
        <w:rPr>
          <w:rFonts w:hint="cs"/>
          <w:rtl/>
        </w:rPr>
        <w:t>אגף התקציבים מסר בתשובתו כי</w:t>
      </w:r>
      <w:r w:rsidRPr="00D017E4">
        <w:rPr>
          <w:rtl/>
        </w:rPr>
        <w:t xml:space="preserve"> הוסכם בין משרד </w:t>
      </w:r>
      <w:r w:rsidRPr="00D017E4">
        <w:rPr>
          <w:rtl/>
        </w:rPr>
        <w:t>האנרגי</w:t>
      </w:r>
      <w:r>
        <w:rPr>
          <w:rFonts w:hint="cs"/>
          <w:rtl/>
        </w:rPr>
        <w:t>י</w:t>
      </w:r>
      <w:r w:rsidRPr="00D017E4">
        <w:rPr>
          <w:rtl/>
        </w:rPr>
        <w:t>ה</w:t>
      </w:r>
      <w:r w:rsidRPr="00D017E4">
        <w:rPr>
          <w:rtl/>
        </w:rPr>
        <w:t xml:space="preserve"> למשרד האוצר כי הקצאת התקציבים האמורים בשנים 2023</w:t>
      </w:r>
      <w:r>
        <w:rPr>
          <w:rFonts w:hint="cs"/>
          <w:rtl/>
        </w:rPr>
        <w:t xml:space="preserve"> עד </w:t>
      </w:r>
      <w:r w:rsidRPr="00D017E4">
        <w:rPr>
          <w:rtl/>
        </w:rPr>
        <w:t>2026 מותנ</w:t>
      </w:r>
      <w:r>
        <w:rPr>
          <w:rFonts w:hint="cs"/>
          <w:rtl/>
        </w:rPr>
        <w:t>י</w:t>
      </w:r>
      <w:r w:rsidRPr="00D017E4">
        <w:rPr>
          <w:rtl/>
        </w:rPr>
        <w:t>ת במעבר מס פחמן כנוסחו בהחלטה 286, מס אשר מהווה את התמריץ היעיל ביותר לעידוד השקעה בטכנולוגיות מופחתות פליטות. לפיכך היה ידוע למשרד</w:t>
      </w:r>
      <w:r>
        <w:rPr>
          <w:rFonts w:hint="cs"/>
          <w:rtl/>
        </w:rPr>
        <w:t xml:space="preserve"> </w:t>
      </w:r>
      <w:r>
        <w:rPr>
          <w:rFonts w:hint="cs"/>
          <w:rtl/>
        </w:rPr>
        <w:t>האנרגייה</w:t>
      </w:r>
      <w:r w:rsidRPr="00D017E4">
        <w:rPr>
          <w:rtl/>
        </w:rPr>
        <w:t xml:space="preserve"> ולמדען כי ללא החלת המס לא יוקצו התקציבים כאמור.</w:t>
      </w:r>
      <w:r>
        <w:rPr>
          <w:rFonts w:hint="cs"/>
          <w:rtl/>
        </w:rPr>
        <w:t xml:space="preserve"> עוד מסר אגף התקציבים כי בפועל תקציב משרד </w:t>
      </w:r>
      <w:r>
        <w:rPr>
          <w:rFonts w:hint="cs"/>
          <w:rtl/>
        </w:rPr>
        <w:t>האנרגייה</w:t>
      </w:r>
      <w:r>
        <w:rPr>
          <w:rFonts w:hint="cs"/>
          <w:rtl/>
        </w:rPr>
        <w:t xml:space="preserve"> גדל בשנים 2023 עד 2024 לעומת השנים 2021 עד 2022, ו</w:t>
      </w:r>
      <w:r w:rsidRPr="004C2E09">
        <w:rPr>
          <w:rtl/>
        </w:rPr>
        <w:t xml:space="preserve">כחלק מדיוני התקציב </w:t>
      </w:r>
      <w:r>
        <w:rPr>
          <w:rFonts w:hint="cs"/>
          <w:rtl/>
        </w:rPr>
        <w:t xml:space="preserve">ביצע </w:t>
      </w:r>
      <w:r w:rsidRPr="004C2E09">
        <w:rPr>
          <w:rtl/>
        </w:rPr>
        <w:t xml:space="preserve">משרד </w:t>
      </w:r>
      <w:r>
        <w:rPr>
          <w:rFonts w:hint="cs"/>
          <w:rtl/>
        </w:rPr>
        <w:t>האנרגייה</w:t>
      </w:r>
      <w:r>
        <w:rPr>
          <w:rFonts w:hint="cs"/>
          <w:rtl/>
        </w:rPr>
        <w:t xml:space="preserve"> </w:t>
      </w:r>
      <w:r w:rsidRPr="004C2E09">
        <w:rPr>
          <w:rtl/>
        </w:rPr>
        <w:t>ת</w:t>
      </w:r>
      <w:r>
        <w:rPr>
          <w:rFonts w:hint="cs"/>
          <w:rtl/>
        </w:rPr>
        <w:t>י</w:t>
      </w:r>
      <w:r w:rsidRPr="004C2E09">
        <w:rPr>
          <w:rtl/>
        </w:rPr>
        <w:t>עדוף של משימותיו</w:t>
      </w:r>
      <w:r>
        <w:rPr>
          <w:rFonts w:hint="cs"/>
          <w:rtl/>
        </w:rPr>
        <w:t>,</w:t>
      </w:r>
      <w:r w:rsidRPr="004C2E09">
        <w:rPr>
          <w:rtl/>
        </w:rPr>
        <w:t xml:space="preserve"> וההחלטה להקצות תקציב למטרות אחרות </w:t>
      </w:r>
      <w:r>
        <w:rPr>
          <w:rFonts w:hint="cs"/>
          <w:rtl/>
        </w:rPr>
        <w:t xml:space="preserve">(התייעלות אנרגטית למשל) </w:t>
      </w:r>
      <w:r w:rsidRPr="004C2E09">
        <w:rPr>
          <w:rtl/>
        </w:rPr>
        <w:t>מבוססת על סדר עדיפויות המשרד.</w:t>
      </w:r>
      <w:r>
        <w:rPr>
          <w:rFonts w:hint="cs"/>
          <w:rtl/>
        </w:rPr>
        <w:t xml:space="preserve"> </w:t>
      </w:r>
    </w:p>
    <w:p w:rsidR="00F20E3F" w:rsidRPr="004C2E09" w:rsidP="00686209" w14:paraId="1BAB1DAC" w14:textId="0A717FCE">
      <w:pPr>
        <w:pStyle w:val="718"/>
        <w:rPr>
          <w:rtl/>
        </w:rPr>
      </w:pPr>
      <w:r w:rsidRPr="00523140">
        <w:rPr>
          <w:rtl/>
        </w:rPr>
        <w:t xml:space="preserve">כאמור, עולה קושי מהותי בעצם התניית תקציבים לקידום חדשנות בסקטור </w:t>
      </w:r>
      <w:r w:rsidRPr="00523140">
        <w:rPr>
          <w:rtl/>
        </w:rPr>
        <w:t>האנרגייה</w:t>
      </w:r>
      <w:r w:rsidRPr="00523140">
        <w:rPr>
          <w:rtl/>
        </w:rPr>
        <w:t xml:space="preserve"> וייצור החשמל ביישום החלטת הממשלה 286 בעניין מס פחמן ובתקבולים שיתקבלו בקשר לכך</w:t>
      </w:r>
      <w:r w:rsidRPr="00686209">
        <w:rPr>
          <w:rtl/>
        </w:rPr>
        <w:t>.</w:t>
      </w:r>
    </w:p>
    <w:p w:rsidR="00F20E3F" w:rsidP="00C44928" w14:paraId="0E9E1DF0" w14:textId="77777777">
      <w:pPr>
        <w:pStyle w:val="7114"/>
        <w:numPr>
          <w:ilvl w:val="0"/>
          <w:numId w:val="85"/>
        </w:numPr>
      </w:pPr>
      <w:r w:rsidRPr="00A96762">
        <w:rPr>
          <w:rStyle w:val="7371"/>
          <w:rFonts w:hint="eastAsia"/>
          <w:rtl/>
        </w:rPr>
        <w:t>תקציבים</w:t>
      </w:r>
      <w:r w:rsidRPr="00A96762">
        <w:rPr>
          <w:rStyle w:val="7371"/>
          <w:rtl/>
        </w:rPr>
        <w:t xml:space="preserve"> </w:t>
      </w:r>
      <w:r w:rsidRPr="00A96762">
        <w:rPr>
          <w:rStyle w:val="7371"/>
          <w:rFonts w:hint="eastAsia"/>
          <w:rtl/>
        </w:rPr>
        <w:t>בתחום</w:t>
      </w:r>
      <w:r w:rsidRPr="00A96762">
        <w:rPr>
          <w:rStyle w:val="7371"/>
          <w:rtl/>
        </w:rPr>
        <w:t xml:space="preserve"> </w:t>
      </w:r>
      <w:r w:rsidRPr="00A96762">
        <w:rPr>
          <w:rStyle w:val="7371"/>
          <w:rFonts w:hint="eastAsia"/>
          <w:rtl/>
        </w:rPr>
        <w:t>האקלים</w:t>
      </w:r>
      <w:r w:rsidRPr="00A96762">
        <w:rPr>
          <w:rStyle w:val="7371"/>
          <w:rtl/>
        </w:rPr>
        <w:t>-טק</w:t>
      </w:r>
      <w:r w:rsidRPr="00A96762">
        <w:rPr>
          <w:rStyle w:val="7371"/>
          <w:rFonts w:hint="cs"/>
          <w:rtl/>
        </w:rPr>
        <w:t>:</w:t>
      </w:r>
      <w:r>
        <w:rPr>
          <w:rFonts w:hint="cs"/>
        </w:rPr>
        <w:t xml:space="preserve"> </w:t>
      </w:r>
      <w:r>
        <w:rPr>
          <w:rFonts w:hint="cs"/>
          <w:rtl/>
        </w:rPr>
        <w:t xml:space="preserve">בהחלטת הממשלה 544 </w:t>
      </w:r>
      <w:r w:rsidRPr="00525FA7">
        <w:rPr>
          <w:rtl/>
        </w:rPr>
        <w:t>צוין כי יש לעודד השקעה במחקר ופיתוח של טכנולוגיות למאבק במשבר האקלים</w:t>
      </w:r>
      <w:r w:rsidRPr="00525FA7">
        <w:rPr>
          <w:rFonts w:hint="cs"/>
          <w:rtl/>
        </w:rPr>
        <w:t xml:space="preserve">, אולם נמצא כי </w:t>
      </w:r>
      <w:r w:rsidRPr="00525FA7">
        <w:rPr>
          <w:rtl/>
        </w:rPr>
        <w:t>החלטה</w:t>
      </w:r>
      <w:r w:rsidRPr="00525FA7">
        <w:rPr>
          <w:rFonts w:hint="cs"/>
          <w:rtl/>
        </w:rPr>
        <w:t xml:space="preserve"> זו</w:t>
      </w:r>
      <w:r w:rsidRPr="00525FA7">
        <w:rPr>
          <w:rtl/>
        </w:rPr>
        <w:t xml:space="preserve"> אינה כוללת הקצאת משאבים ספציפית של </w:t>
      </w:r>
      <w:r w:rsidRPr="00525FA7">
        <w:rPr>
          <w:rFonts w:hint="cs"/>
          <w:rtl/>
        </w:rPr>
        <w:t>מי מ</w:t>
      </w:r>
      <w:r w:rsidRPr="00525FA7">
        <w:rPr>
          <w:rtl/>
        </w:rPr>
        <w:t xml:space="preserve">משרדי </w:t>
      </w:r>
      <w:r>
        <w:rPr>
          <w:rFonts w:hint="cs"/>
          <w:rtl/>
        </w:rPr>
        <w:t>ה</w:t>
      </w:r>
      <w:r w:rsidRPr="00525FA7">
        <w:rPr>
          <w:rtl/>
        </w:rPr>
        <w:t>ממשלה</w:t>
      </w:r>
      <w:r w:rsidRPr="00525FA7">
        <w:rPr>
          <w:rFonts w:hint="cs"/>
          <w:rtl/>
        </w:rPr>
        <w:t xml:space="preserve"> או תקציב נוסף ממשרד האוצר לצורך </w:t>
      </w:r>
      <w:r w:rsidRPr="00686209">
        <w:rPr>
          <w:rStyle w:val="7"/>
          <w:rFonts w:eastAsiaTheme="minorHAnsi" w:hint="cs"/>
          <w:bCs w:val="0"/>
          <w:spacing w:val="0"/>
          <w:rtl/>
        </w:rPr>
        <w:t>קידום</w:t>
      </w:r>
      <w:r w:rsidRPr="00525FA7">
        <w:rPr>
          <w:rFonts w:hint="cs"/>
          <w:rtl/>
        </w:rPr>
        <w:t xml:space="preserve"> הפעולות הדרושות. החלט</w:t>
      </w:r>
      <w:r>
        <w:rPr>
          <w:rFonts w:hint="cs"/>
          <w:rtl/>
        </w:rPr>
        <w:t>ת הממשלה</w:t>
      </w:r>
      <w:r w:rsidRPr="00525FA7">
        <w:rPr>
          <w:rFonts w:hint="cs"/>
          <w:rtl/>
        </w:rPr>
        <w:t xml:space="preserve"> 1685 אשר בין יעדיה גם </w:t>
      </w:r>
      <w:r w:rsidRPr="00525FA7">
        <w:rPr>
          <w:rFonts w:hint="eastAsia"/>
          <w:rtl/>
        </w:rPr>
        <w:t>הכפלת</w:t>
      </w:r>
      <w:r w:rsidRPr="00525FA7">
        <w:rPr>
          <w:rtl/>
        </w:rPr>
        <w:t xml:space="preserve"> מספר חברות </w:t>
      </w:r>
      <w:r w:rsidRPr="00525FA7">
        <w:rPr>
          <w:rtl/>
        </w:rPr>
        <w:t>ההזנק</w:t>
      </w:r>
      <w:r w:rsidRPr="00525FA7">
        <w:rPr>
          <w:rtl/>
        </w:rPr>
        <w:t xml:space="preserve"> החדשות </w:t>
      </w:r>
      <w:r>
        <w:rPr>
          <w:rFonts w:hint="cs"/>
          <w:rtl/>
        </w:rPr>
        <w:t xml:space="preserve">עד שנת 2027 </w:t>
      </w:r>
      <w:r w:rsidRPr="00525FA7">
        <w:rPr>
          <w:rtl/>
        </w:rPr>
        <w:t>ועידוד מו"פ תעשיית</w:t>
      </w:r>
      <w:r w:rsidRPr="00525FA7">
        <w:rPr>
          <w:rFonts w:hint="cs"/>
          <w:rtl/>
        </w:rPr>
        <w:t>י, קבעה הקצאת תקציבים ממשלתיים רק בנושא יצירת ידע ומחקר יישומי בסך 15.9 מ</w:t>
      </w:r>
      <w:r>
        <w:rPr>
          <w:rFonts w:hint="cs"/>
          <w:rtl/>
        </w:rPr>
        <w:t xml:space="preserve">יליון </w:t>
      </w:r>
      <w:r w:rsidRPr="00525FA7">
        <w:rPr>
          <w:rFonts w:hint="cs"/>
          <w:rtl/>
        </w:rPr>
        <w:t xml:space="preserve">ש"ח. </w:t>
      </w:r>
    </w:p>
    <w:p w:rsidR="00F20E3F" w:rsidP="00686209" w14:paraId="62EF3A7B" w14:textId="77777777">
      <w:pPr>
        <w:pStyle w:val="7316"/>
        <w:rPr>
          <w:rtl/>
        </w:rPr>
      </w:pPr>
      <w:r>
        <w:rPr>
          <w:rFonts w:hint="cs"/>
          <w:rtl/>
        </w:rPr>
        <w:t>רשות החדשנות מסרה למשרד מבקר המדינה ביולי 2023 כי היא אוספת נתונים בעניין זה, ומהם עולה כי בשנים 2010 עד 2021 מספר החברות החדשות בתחום האקלים-טק עלה בהתמדה מ-25 בשנה (2010) ל-51 חברות בשנה (2021).</w:t>
      </w:r>
    </w:p>
    <w:p w:rsidR="00F20E3F" w:rsidP="00686209" w14:paraId="0EA366AA" w14:textId="0376F37B">
      <w:pPr>
        <w:pStyle w:val="7316"/>
        <w:rPr>
          <w:rtl/>
        </w:rPr>
      </w:pPr>
      <w:r>
        <w:rPr>
          <w:rFonts w:hint="cs"/>
          <w:rtl/>
        </w:rPr>
        <w:t xml:space="preserve">כדי לממן את ההשקעה הציבורית בתחום האקלים-טק בשנת 2022 התקיימו כמה שיתופי פעולה בין רשות החדשנות ומשרדי </w:t>
      </w:r>
      <w:r>
        <w:rPr>
          <w:rFonts w:hint="cs"/>
          <w:rtl/>
        </w:rPr>
        <w:t>האנרגייה</w:t>
      </w:r>
      <w:r>
        <w:rPr>
          <w:rFonts w:hint="cs"/>
          <w:rtl/>
        </w:rPr>
        <w:t xml:space="preserve">, </w:t>
      </w:r>
      <w:r>
        <w:rPr>
          <w:rFonts w:hint="cs"/>
          <w:rtl/>
        </w:rPr>
        <w:t>הג"ס</w:t>
      </w:r>
      <w:r>
        <w:rPr>
          <w:rFonts w:hint="cs"/>
          <w:rtl/>
        </w:rPr>
        <w:t xml:space="preserve">, החקלאות, התחבורה וחברות ממשלתיות לקידום חדשנות אקלים-טק בישראל. המשרדים הסכימו לתת מענקים בהיקף </w:t>
      </w:r>
      <w:r w:rsidRPr="0030038A" w:rsidR="0030038A">
        <w:rPr>
          <w:rtl/>
        </w:rPr>
        <w:t>של כ-38.3 מיליון ש"ח מתוך השקעה כוללת של כ-115 מיליון ש"ח בפרויקטים אלו</w:t>
      </w:r>
      <w:r>
        <w:rPr>
          <w:rStyle w:val="FootnoteReference2"/>
          <w:rtl/>
        </w:rPr>
        <w:footnoteReference w:id="114"/>
      </w:r>
      <w:r w:rsidRPr="0030038A" w:rsidR="0030038A">
        <w:rPr>
          <w:rtl/>
        </w:rPr>
        <w:t xml:space="preserve">. נוסף על כך רשות החדשנות העריכה כי יתקבלו מקורות תקציביים נוספים לקידום חדשנות טכנולוגית בתחום האקלים-טק בשנים הקרובות, על בסיס שיתופי פעולה של התעשייה הישראלית עם פרויקטים אירופיים כמו </w:t>
      </w:r>
      <w:r w:rsidRPr="0030038A" w:rsidR="0030038A">
        <w:rPr>
          <w:rtl/>
        </w:rPr>
        <w:t>הורייזן</w:t>
      </w:r>
      <w:r w:rsidRPr="0030038A" w:rsidR="0030038A">
        <w:rPr>
          <w:rtl/>
        </w:rPr>
        <w:t xml:space="preserve">. מנתוני רשות החדשנות עולה כי בשנת 2022 הגישו חוקרים ישראלים </w:t>
      </w:r>
      <w:r w:rsidR="008600E1">
        <w:rPr>
          <w:rFonts w:hint="cs"/>
          <w:rtl/>
        </w:rPr>
        <w:t>412</w:t>
      </w:r>
      <w:r w:rsidRPr="0030038A" w:rsidR="0030038A">
        <w:rPr>
          <w:rtl/>
        </w:rPr>
        <w:t xml:space="preserve"> בקשות להשתתפות בתוכנית </w:t>
      </w:r>
      <w:r w:rsidRPr="0030038A" w:rsidR="0030038A">
        <w:rPr>
          <w:rtl/>
        </w:rPr>
        <w:t>הורייזן</w:t>
      </w:r>
      <w:r w:rsidRPr="0030038A" w:rsidR="0030038A">
        <w:rPr>
          <w:rtl/>
        </w:rPr>
        <w:t xml:space="preserve"> בתחום האקלים, ומהן אושרו </w:t>
      </w:r>
      <w:r w:rsidR="008600E1">
        <w:rPr>
          <w:rFonts w:hint="cs"/>
          <w:rtl/>
        </w:rPr>
        <w:t>79</w:t>
      </w:r>
      <w:r w:rsidRPr="0030038A" w:rsidR="0030038A">
        <w:rPr>
          <w:rtl/>
        </w:rPr>
        <w:t xml:space="preserve"> בקשות בסך כולל של כ-</w:t>
      </w:r>
      <w:r w:rsidR="008600E1">
        <w:rPr>
          <w:rFonts w:hint="cs"/>
          <w:rtl/>
        </w:rPr>
        <w:t>41</w:t>
      </w:r>
      <w:r w:rsidRPr="0030038A" w:rsidR="0030038A">
        <w:rPr>
          <w:rtl/>
        </w:rPr>
        <w:t xml:space="preserve"> מיליון אירו; זאת לעומת </w:t>
      </w:r>
      <w:r w:rsidR="008600E1">
        <w:rPr>
          <w:rFonts w:hint="cs"/>
          <w:rtl/>
        </w:rPr>
        <w:t>48</w:t>
      </w:r>
      <w:r w:rsidRPr="0030038A" w:rsidR="0030038A">
        <w:rPr>
          <w:rtl/>
        </w:rPr>
        <w:t xml:space="preserve"> בקשות שאושרו מתוך </w:t>
      </w:r>
      <w:r w:rsidR="008600E1">
        <w:rPr>
          <w:rFonts w:hint="cs"/>
          <w:rtl/>
        </w:rPr>
        <w:t>185</w:t>
      </w:r>
      <w:r w:rsidRPr="0030038A" w:rsidR="0030038A">
        <w:rPr>
          <w:rtl/>
        </w:rPr>
        <w:t xml:space="preserve"> בקשות בסך של כ-</w:t>
      </w:r>
      <w:r w:rsidR="008600E1">
        <w:rPr>
          <w:rFonts w:hint="cs"/>
          <w:rtl/>
        </w:rPr>
        <w:t>24</w:t>
      </w:r>
      <w:r w:rsidRPr="0030038A" w:rsidR="0030038A">
        <w:rPr>
          <w:rtl/>
        </w:rPr>
        <w:t xml:space="preserve"> מיליון אירו בשנת 2021. מדובר בעלייה של המענקים מ-</w:t>
      </w:r>
      <w:r w:rsidR="008600E1">
        <w:rPr>
          <w:rFonts w:hint="cs"/>
          <w:rtl/>
        </w:rPr>
        <w:t>10.4</w:t>
      </w:r>
      <w:r w:rsidRPr="0030038A" w:rsidR="0030038A">
        <w:rPr>
          <w:rtl/>
        </w:rPr>
        <w:t xml:space="preserve">% בשנת 2021 לכ-16% בשנת 2022 מתוך כלל המענקים שישראל קיבלה בכלל התחומים שבהם היא משתתפת בתוכנית </w:t>
      </w:r>
      <w:r w:rsidRPr="0030038A" w:rsidR="0030038A">
        <w:rPr>
          <w:rtl/>
        </w:rPr>
        <w:t>הורייזן</w:t>
      </w:r>
      <w:r w:rsidRPr="0030038A" w:rsidR="0030038A">
        <w:rPr>
          <w:rtl/>
        </w:rPr>
        <w:t xml:space="preserve"> בשנים אלה, סך של כ-</w:t>
      </w:r>
      <w:r w:rsidR="008600E1">
        <w:rPr>
          <w:rFonts w:hint="cs"/>
          <w:rtl/>
        </w:rPr>
        <w:t>486</w:t>
      </w:r>
      <w:r w:rsidRPr="0030038A" w:rsidR="0030038A">
        <w:rPr>
          <w:rtl/>
        </w:rPr>
        <w:t xml:space="preserve"> מיליון יורו (כ-231 מיליון יורו בשנת 2021 וכ-</w:t>
      </w:r>
      <w:r w:rsidR="008600E1">
        <w:rPr>
          <w:rFonts w:hint="cs"/>
          <w:rtl/>
        </w:rPr>
        <w:t>255</w:t>
      </w:r>
      <w:r w:rsidRPr="0030038A" w:rsidR="0030038A">
        <w:rPr>
          <w:rtl/>
        </w:rPr>
        <w:t xml:space="preserve"> מיליון יורו בשנת 2022). לדברי הרשות נושא זה אינו מקודם באופן יעיל בין היתר מפני שחברות ישראליות אינן מנגישות את המידע על פעילותן לרשות. מידע זה דרוש לה כדי לסייע בחיבור של החברות הישראליות לתקציבים שקיימים בפרויקט </w:t>
      </w:r>
      <w:r w:rsidRPr="0030038A" w:rsidR="0030038A">
        <w:rPr>
          <w:rtl/>
        </w:rPr>
        <w:t>הורייזן</w:t>
      </w:r>
      <w:r>
        <w:rPr>
          <w:rFonts w:hint="cs"/>
          <w:rtl/>
        </w:rPr>
        <w:t>.</w:t>
      </w:r>
    </w:p>
    <w:p w:rsidR="00F20E3F" w:rsidP="00686209" w14:paraId="2DA64367" w14:textId="77777777">
      <w:pPr>
        <w:pStyle w:val="7316"/>
        <w:rPr>
          <w:rtl/>
        </w:rPr>
      </w:pPr>
      <w:r>
        <w:rPr>
          <w:rFonts w:hint="cs"/>
          <w:rtl/>
        </w:rPr>
        <w:t xml:space="preserve">לפי רשות החדשנות, </w:t>
      </w:r>
      <w:r w:rsidRPr="006B402C">
        <w:rPr>
          <w:rtl/>
        </w:rPr>
        <w:t>כדי להגיע למטרות הפחתת הפליטות ו</w:t>
      </w:r>
      <w:r>
        <w:rPr>
          <w:rFonts w:hint="cs"/>
          <w:rtl/>
        </w:rPr>
        <w:t>ה</w:t>
      </w:r>
      <w:r w:rsidRPr="006B402C">
        <w:rPr>
          <w:rtl/>
        </w:rPr>
        <w:t>הכנה למשבר</w:t>
      </w:r>
      <w:r>
        <w:rPr>
          <w:rFonts w:hint="cs"/>
          <w:rtl/>
        </w:rPr>
        <w:t xml:space="preserve"> האקלים (כאמור בהחלטות הממשלה בתחום האקלים-טק)</w:t>
      </w:r>
      <w:r w:rsidRPr="006B402C">
        <w:rPr>
          <w:rtl/>
        </w:rPr>
        <w:t xml:space="preserve"> נדרש תקצוב נוסף להטמעה וליישום של טכנולוגיות אקלים-טק בישראל בהיבטים השונים, </w:t>
      </w:r>
      <w:r>
        <w:rPr>
          <w:rFonts w:hint="cs"/>
          <w:rtl/>
        </w:rPr>
        <w:t>וב</w:t>
      </w:r>
      <w:r w:rsidRPr="006B402C">
        <w:rPr>
          <w:rtl/>
        </w:rPr>
        <w:t>כלל</w:t>
      </w:r>
      <w:r>
        <w:rPr>
          <w:rFonts w:hint="cs"/>
          <w:rtl/>
        </w:rPr>
        <w:t xml:space="preserve"> זה</w:t>
      </w:r>
      <w:r w:rsidRPr="006B402C">
        <w:rPr>
          <w:rtl/>
        </w:rPr>
        <w:t xml:space="preserve"> </w:t>
      </w:r>
      <w:r w:rsidRPr="006B402C">
        <w:rPr>
          <w:rtl/>
        </w:rPr>
        <w:t>תמרוצים</w:t>
      </w:r>
      <w:r w:rsidRPr="006B402C">
        <w:rPr>
          <w:rtl/>
        </w:rPr>
        <w:t xml:space="preserve"> שונים שיאפשרו לחברות בשלבי צמיחה להצליח בישראל</w:t>
      </w:r>
      <w:r>
        <w:rPr>
          <w:rFonts w:hint="cs"/>
          <w:rtl/>
        </w:rPr>
        <w:t xml:space="preserve"> וכן </w:t>
      </w:r>
      <w:r>
        <w:rPr>
          <w:rtl/>
        </w:rPr>
        <w:t>מימון מספק בכל שלבי החיים של המיזמים, ובפרט בשלבים הראשונים</w:t>
      </w:r>
      <w:r>
        <w:rPr>
          <w:rFonts w:hint="cs"/>
          <w:rtl/>
        </w:rPr>
        <w:t>.</w:t>
      </w:r>
      <w:r w:rsidRPr="00303A72">
        <w:rPr>
          <w:rStyle w:val="EndnoteReference"/>
          <w:rtl/>
        </w:rPr>
        <w:t xml:space="preserve"> </w:t>
      </w:r>
    </w:p>
    <w:p w:rsidR="00F20E3F" w:rsidRPr="00686209" w:rsidP="00686209" w14:paraId="5E74905F" w14:textId="1E8398A2">
      <w:pPr>
        <w:pStyle w:val="718"/>
        <w:rPr>
          <w:rtl/>
        </w:rPr>
      </w:pPr>
      <w:r w:rsidRPr="00D617B3">
        <w:rPr>
          <w:rtl/>
        </w:rPr>
        <w:t xml:space="preserve">אשר להשקעות עתידיות של הממשלה, נמצא כי החלטות הממשלה 544 ו-1685 אינן כוללות מקורות תקציביים ייעודיים למיזמי חדשנות ולהקמת חברות הזנק חדשות בתחום האקלים-טק. עם זאת, בשנת 2022 הושקע סך של כ-38.3 מיליון ש"ח על ידי משרדי ממשלה. בכל הנוגע לתקציבים עתידיים פוטנציאליים שיתקבלו מפרויקטים אירופיים כדוגמת </w:t>
      </w:r>
      <w:r w:rsidRPr="00D617B3">
        <w:rPr>
          <w:rtl/>
        </w:rPr>
        <w:t>הורייזן</w:t>
      </w:r>
      <w:r w:rsidRPr="00D617B3">
        <w:rPr>
          <w:rtl/>
        </w:rPr>
        <w:t>, נמצא קושי למקסם את הפעילות של חברות ישראליות ולזכות במימון בשל פערי ידע שקיימים בנושא; התקבל סך של כ-</w:t>
      </w:r>
      <w:r w:rsidR="008600E1">
        <w:rPr>
          <w:rFonts w:hint="cs"/>
          <w:rtl/>
        </w:rPr>
        <w:t>65</w:t>
      </w:r>
      <w:r w:rsidRPr="00D617B3">
        <w:rPr>
          <w:rtl/>
        </w:rPr>
        <w:t xml:space="preserve"> מיליון אירו בשנים 2021 ו-2022 מתוכנית זו (סך של כ-</w:t>
      </w:r>
      <w:r w:rsidR="008600E1">
        <w:rPr>
          <w:rFonts w:hint="cs"/>
          <w:rtl/>
        </w:rPr>
        <w:t>24</w:t>
      </w:r>
      <w:r w:rsidRPr="00D617B3">
        <w:rPr>
          <w:rtl/>
        </w:rPr>
        <w:t xml:space="preserve"> מיליון </w:t>
      </w:r>
      <w:r w:rsidRPr="00D617B3" w:rsidR="00120D57">
        <w:rPr>
          <w:rtl/>
        </w:rPr>
        <w:t xml:space="preserve">אירו </w:t>
      </w:r>
      <w:r w:rsidRPr="00D617B3">
        <w:rPr>
          <w:rtl/>
        </w:rPr>
        <w:t>בשנת 2021 וסך של כ-</w:t>
      </w:r>
      <w:r w:rsidR="008600E1">
        <w:rPr>
          <w:rFonts w:hint="cs"/>
          <w:rtl/>
        </w:rPr>
        <w:t>41</w:t>
      </w:r>
      <w:r w:rsidRPr="00D617B3">
        <w:rPr>
          <w:rtl/>
        </w:rPr>
        <w:t xml:space="preserve"> מיליון </w:t>
      </w:r>
      <w:r w:rsidRPr="00D617B3" w:rsidR="00120D57">
        <w:rPr>
          <w:rtl/>
        </w:rPr>
        <w:t xml:space="preserve">אירו </w:t>
      </w:r>
      <w:r w:rsidRPr="00D617B3">
        <w:rPr>
          <w:rtl/>
        </w:rPr>
        <w:t>בשנת 2022), כאשר סך המענקים הכולל שישראל קיבלה מתוכנית זו בשנים אלה הוא כ-</w:t>
      </w:r>
      <w:r w:rsidR="008600E1">
        <w:rPr>
          <w:rFonts w:hint="cs"/>
          <w:rtl/>
        </w:rPr>
        <w:t>486</w:t>
      </w:r>
      <w:r w:rsidRPr="00D617B3">
        <w:rPr>
          <w:rtl/>
        </w:rPr>
        <w:t xml:space="preserve"> מיליון </w:t>
      </w:r>
      <w:r w:rsidRPr="00D617B3" w:rsidR="00120D57">
        <w:rPr>
          <w:rtl/>
        </w:rPr>
        <w:t xml:space="preserve">אירו </w:t>
      </w:r>
      <w:r w:rsidRPr="00D617B3">
        <w:rPr>
          <w:rtl/>
        </w:rPr>
        <w:t xml:space="preserve">(סך של כ-231 מיליון </w:t>
      </w:r>
      <w:r w:rsidRPr="00D617B3" w:rsidR="00120D57">
        <w:rPr>
          <w:rtl/>
        </w:rPr>
        <w:t xml:space="preserve">אירו </w:t>
      </w:r>
      <w:r w:rsidRPr="00D617B3">
        <w:rPr>
          <w:rtl/>
        </w:rPr>
        <w:t>בשנת 2021 וכ-</w:t>
      </w:r>
      <w:r w:rsidR="008600E1">
        <w:rPr>
          <w:rFonts w:hint="cs"/>
          <w:rtl/>
        </w:rPr>
        <w:t>255</w:t>
      </w:r>
      <w:r w:rsidRPr="00D617B3">
        <w:rPr>
          <w:rtl/>
        </w:rPr>
        <w:t xml:space="preserve"> מיליון </w:t>
      </w:r>
      <w:r w:rsidRPr="00D617B3" w:rsidR="00120D57">
        <w:rPr>
          <w:rtl/>
        </w:rPr>
        <w:t xml:space="preserve">אירו </w:t>
      </w:r>
      <w:r w:rsidRPr="00D617B3">
        <w:rPr>
          <w:rtl/>
        </w:rPr>
        <w:t xml:space="preserve">בשנת 2022), כלומר שיעורי מימוש תקציבי תוכנית </w:t>
      </w:r>
      <w:r w:rsidRPr="00D617B3">
        <w:rPr>
          <w:rtl/>
        </w:rPr>
        <w:t>הורייזן</w:t>
      </w:r>
      <w:r w:rsidRPr="00D617B3">
        <w:rPr>
          <w:rtl/>
        </w:rPr>
        <w:t xml:space="preserve"> שנע מ-</w:t>
      </w:r>
      <w:r w:rsidR="008600E1">
        <w:rPr>
          <w:rFonts w:hint="cs"/>
          <w:rtl/>
        </w:rPr>
        <w:t>10.4</w:t>
      </w:r>
      <w:r w:rsidRPr="00D617B3">
        <w:rPr>
          <w:rtl/>
        </w:rPr>
        <w:t xml:space="preserve"> עד 16 אחוזים. שיעור מימוש זה נמוך משמעותית מהפוטנציאל. במציאות זו עולה חשש כי ללא תקציבים ממשלתיים משמעותיים ייעודיים ארוכי טווח יהיה קושי לקדם את החלטות הממשלה בתחום האקלים-טק</w:t>
      </w:r>
      <w:r w:rsidRPr="00686209">
        <w:rPr>
          <w:rtl/>
        </w:rPr>
        <w:t>.</w:t>
      </w:r>
    </w:p>
    <w:p w:rsidR="00F20E3F" w:rsidP="00686209" w14:paraId="38D37111" w14:textId="12F5AAF3">
      <w:pPr>
        <w:pStyle w:val="718"/>
        <w:rPr>
          <w:rtl/>
        </w:rPr>
      </w:pPr>
      <w:r w:rsidRPr="00686209">
        <w:rPr>
          <w:rFonts w:hint="cs"/>
          <w:rtl/>
        </w:rPr>
        <w:t>ללא יצירת ודאות כלכלית לקידום חדשנות טכנולוגית בתחום האקלים-טק בישראל י</w:t>
      </w:r>
      <w:r w:rsidR="00120D57">
        <w:rPr>
          <w:rFonts w:hint="cs"/>
          <w:rtl/>
        </w:rPr>
        <w:t xml:space="preserve">היה </w:t>
      </w:r>
      <w:r w:rsidRPr="00686209">
        <w:rPr>
          <w:rFonts w:hint="cs"/>
          <w:rtl/>
        </w:rPr>
        <w:t>קשה מאוד לקדם את החלטות הממשלה בנושא, ועל כן מומלץ כי משרד החדשנות יגבש הצעת מחליטים משלימה שתבטיח את התקציבים הדרושים לקידום התחום.</w:t>
      </w:r>
    </w:p>
    <w:p w:rsidR="00F20E3F" w:rsidRPr="00A2277E" w:rsidP="00686209" w14:paraId="22A569E0" w14:textId="77777777">
      <w:pPr>
        <w:pStyle w:val="7316"/>
        <w:rPr>
          <w:rtl/>
        </w:rPr>
      </w:pPr>
      <w:r>
        <w:rPr>
          <w:rFonts w:hint="cs"/>
          <w:rtl/>
        </w:rPr>
        <w:t xml:space="preserve">רשות החדשנות מסרה בתשובתה כי היא אינה מגדירה תקציב ייעודי לאקלים אולם היא פועלת להגדיל את ההשקעות בתחום באמצעות שיתוף פעולה עם משרדי ממשלה אחרים </w:t>
      </w:r>
      <w:r>
        <w:rPr>
          <w:rFonts w:hint="cs"/>
          <w:rtl/>
        </w:rPr>
        <w:t>ו</w:t>
      </w:r>
      <w:r>
        <w:rPr>
          <w:rtl/>
        </w:rPr>
        <w:t>פעילויות תומכות של פיתוח עסקי, ארגון</w:t>
      </w:r>
      <w:r>
        <w:rPr>
          <w:rFonts w:hint="cs"/>
          <w:rtl/>
        </w:rPr>
        <w:t xml:space="preserve"> </w:t>
      </w:r>
      <w:r>
        <w:rPr>
          <w:rtl/>
        </w:rPr>
        <w:t xml:space="preserve">ותמיכה </w:t>
      </w:r>
      <w:r>
        <w:rPr>
          <w:rFonts w:hint="cs"/>
          <w:rtl/>
        </w:rPr>
        <w:t xml:space="preserve">בקיום של </w:t>
      </w:r>
      <w:r>
        <w:rPr>
          <w:rtl/>
        </w:rPr>
        <w:t xml:space="preserve">כנסים רלוונטיים </w:t>
      </w:r>
      <w:r>
        <w:rPr>
          <w:rFonts w:hint="cs"/>
          <w:rtl/>
        </w:rPr>
        <w:t>ו</w:t>
      </w:r>
      <w:r>
        <w:rPr>
          <w:rtl/>
        </w:rPr>
        <w:t>שיווק מסוגים</w:t>
      </w:r>
      <w:r>
        <w:rPr>
          <w:rFonts w:hint="cs"/>
          <w:rtl/>
        </w:rPr>
        <w:t xml:space="preserve"> </w:t>
      </w:r>
      <w:r>
        <w:rPr>
          <w:rtl/>
        </w:rPr>
        <w:t xml:space="preserve">שונים, </w:t>
      </w:r>
      <w:r>
        <w:rPr>
          <w:rFonts w:hint="cs"/>
          <w:rtl/>
        </w:rPr>
        <w:t>כדי</w:t>
      </w:r>
      <w:r>
        <w:rPr>
          <w:rtl/>
        </w:rPr>
        <w:t xml:space="preserve"> לחזק קשרים עם הגורמים</w:t>
      </w:r>
      <w:r>
        <w:rPr>
          <w:rFonts w:hint="cs"/>
          <w:rtl/>
        </w:rPr>
        <w:t xml:space="preserve"> </w:t>
      </w:r>
      <w:r>
        <w:rPr>
          <w:rtl/>
        </w:rPr>
        <w:t xml:space="preserve">הרלוונטיים </w:t>
      </w:r>
      <w:r>
        <w:rPr>
          <w:rtl/>
        </w:rPr>
        <w:t>באקוסיסטם</w:t>
      </w:r>
      <w:r>
        <w:rPr>
          <w:rtl/>
        </w:rPr>
        <w:t xml:space="preserve"> הישראלי ולהגדיל את</w:t>
      </w:r>
      <w:r>
        <w:rPr>
          <w:rFonts w:hint="cs"/>
          <w:rtl/>
        </w:rPr>
        <w:t xml:space="preserve"> </w:t>
      </w:r>
      <w:r>
        <w:rPr>
          <w:rtl/>
        </w:rPr>
        <w:t>מספר הבקשות המגיעות לרשות ואת איכותן.</w:t>
      </w:r>
      <w:r>
        <w:rPr>
          <w:rFonts w:hint="cs"/>
          <w:rtl/>
        </w:rPr>
        <w:t xml:space="preserve"> כמו כן ציינה הרשות כי היא פועלת גם לסייע להגדיל את ההשתתפות של מגישים ישראלים לתוכנית </w:t>
      </w:r>
      <w:r>
        <w:rPr>
          <w:rFonts w:hint="cs"/>
          <w:rtl/>
        </w:rPr>
        <w:t>הורייזן</w:t>
      </w:r>
      <w:r>
        <w:rPr>
          <w:rFonts w:hint="cs"/>
          <w:rtl/>
        </w:rPr>
        <w:t xml:space="preserve"> האירופית; וכי </w:t>
      </w:r>
      <w:r>
        <w:rPr>
          <w:rtl/>
        </w:rPr>
        <w:t>פעילות</w:t>
      </w:r>
      <w:r>
        <w:rPr>
          <w:rFonts w:hint="cs"/>
          <w:rtl/>
        </w:rPr>
        <w:t>ה</w:t>
      </w:r>
      <w:r>
        <w:rPr>
          <w:rtl/>
        </w:rPr>
        <w:t>, גם אם אינה כרוכה בצביעת</w:t>
      </w:r>
      <w:r>
        <w:rPr>
          <w:rFonts w:hint="cs"/>
          <w:rtl/>
        </w:rPr>
        <w:t xml:space="preserve"> </w:t>
      </w:r>
      <w:r>
        <w:rPr>
          <w:rtl/>
        </w:rPr>
        <w:t>תקציב ייעודי, מגדילה את היקף ההשקעות</w:t>
      </w:r>
      <w:r>
        <w:rPr>
          <w:rFonts w:hint="cs"/>
          <w:rtl/>
        </w:rPr>
        <w:t xml:space="preserve"> </w:t>
      </w:r>
      <w:r>
        <w:rPr>
          <w:rtl/>
        </w:rPr>
        <w:t>בתחום בלי לוותר על המצוינות הטכנולוגית,</w:t>
      </w:r>
      <w:r>
        <w:rPr>
          <w:rFonts w:hint="cs"/>
          <w:rtl/>
        </w:rPr>
        <w:t xml:space="preserve"> </w:t>
      </w:r>
      <w:r>
        <w:rPr>
          <w:rtl/>
        </w:rPr>
        <w:t>מה שיביא לפיתוח טכנולוגיות ויגדיל את</w:t>
      </w:r>
      <w:r>
        <w:rPr>
          <w:rFonts w:hint="cs"/>
          <w:rtl/>
        </w:rPr>
        <w:t xml:space="preserve"> </w:t>
      </w:r>
      <w:r>
        <w:rPr>
          <w:rtl/>
        </w:rPr>
        <w:t>הסיכויים לצמיחת חברות מצליחות בתחומים</w:t>
      </w:r>
      <w:r>
        <w:rPr>
          <w:rFonts w:hint="cs"/>
          <w:rtl/>
        </w:rPr>
        <w:t xml:space="preserve"> </w:t>
      </w:r>
      <w:r>
        <w:rPr>
          <w:rtl/>
        </w:rPr>
        <w:t>הרלוונטיים, שיסייעו להתמודד עם משבר</w:t>
      </w:r>
      <w:r>
        <w:rPr>
          <w:rFonts w:hint="cs"/>
          <w:rtl/>
        </w:rPr>
        <w:t xml:space="preserve"> </w:t>
      </w:r>
      <w:r>
        <w:rPr>
          <w:rtl/>
        </w:rPr>
        <w:t>האקלים בהטמעת טכנולוגיות חדשניות.</w:t>
      </w:r>
    </w:p>
    <w:p w:rsidR="00F20E3F" w:rsidRPr="004146FA" w:rsidP="00C44928" w14:paraId="3EDB81E7" w14:textId="77777777">
      <w:pPr>
        <w:pStyle w:val="7114"/>
        <w:numPr>
          <w:ilvl w:val="0"/>
          <w:numId w:val="86"/>
        </w:numPr>
        <w:rPr>
          <w:rtl/>
        </w:rPr>
      </w:pPr>
      <w:r w:rsidRPr="00A96762">
        <w:rPr>
          <w:rStyle w:val="7371"/>
          <w:rtl/>
        </w:rPr>
        <w:t>צוות משימה להאצת טכנולוגיות אקלים</w:t>
      </w:r>
      <w:r w:rsidRPr="00A96762">
        <w:rPr>
          <w:rStyle w:val="7371"/>
          <w:rFonts w:hint="cs"/>
          <w:rtl/>
        </w:rPr>
        <w:t>:</w:t>
      </w:r>
      <w:r>
        <w:rPr>
          <w:rFonts w:hint="cs"/>
          <w:rtl/>
        </w:rPr>
        <w:t xml:space="preserve"> בדוח הקודם צוינו שורה של חסמים וצרכים בתחום אשר מקשים את קידום החלטות הממשלה בנושא האקלים-טק.</w:t>
      </w:r>
      <w:r w:rsidRPr="0019340B">
        <w:rPr>
          <w:rFonts w:hint="cs"/>
          <w:rtl/>
        </w:rPr>
        <w:t xml:space="preserve"> </w:t>
      </w:r>
      <w:r>
        <w:rPr>
          <w:rFonts w:hint="cs"/>
          <w:rtl/>
        </w:rPr>
        <w:t>החלטת הממשלה 544 הנחתה על הקמת</w:t>
      </w:r>
      <w:r w:rsidRPr="00E64B94">
        <w:rPr>
          <w:rtl/>
        </w:rPr>
        <w:t xml:space="preserve"> צוות משימה להאצת טכנולוגיות אקלים</w:t>
      </w:r>
      <w:r>
        <w:rPr>
          <w:rStyle w:val="FootnoteReference2"/>
          <w:rtl/>
        </w:rPr>
        <w:footnoteReference w:id="115"/>
      </w:r>
      <w:r>
        <w:rPr>
          <w:rFonts w:hint="cs"/>
          <w:rtl/>
        </w:rPr>
        <w:t xml:space="preserve">, בראשות מנכ"ל משרד ראש הממשלה ובהשתתפות החשב הכללי במשרד האוצר והממונה על התקציבים (או נציגיהם). לפי ההחלטה הצוות יפעל </w:t>
      </w:r>
      <w:r w:rsidRPr="00E64B94">
        <w:rPr>
          <w:rtl/>
        </w:rPr>
        <w:t>להסרת חסמים רגולטוריים למחקר, לפיתוח, ליישום ולהטמעה של טכנולוגיות בתחום</w:t>
      </w:r>
      <w:r>
        <w:rPr>
          <w:rFonts w:hint="cs"/>
          <w:rtl/>
        </w:rPr>
        <w:t xml:space="preserve"> (</w:t>
      </w:r>
      <w:r w:rsidRPr="00E64B94">
        <w:rPr>
          <w:rtl/>
        </w:rPr>
        <w:t xml:space="preserve">להלן </w:t>
      </w:r>
      <w:r>
        <w:rPr>
          <w:rFonts w:hint="cs"/>
          <w:rtl/>
        </w:rPr>
        <w:t>-</w:t>
      </w:r>
      <w:r w:rsidRPr="00E64B94">
        <w:rPr>
          <w:rtl/>
        </w:rPr>
        <w:t xml:space="preserve"> הצוות</w:t>
      </w:r>
      <w:r>
        <w:rPr>
          <w:rFonts w:hint="cs"/>
          <w:rtl/>
        </w:rPr>
        <w:t xml:space="preserve"> להסרת חסמים</w:t>
      </w:r>
      <w:r w:rsidRPr="00E64B94">
        <w:rPr>
          <w:rtl/>
        </w:rPr>
        <w:t>)</w:t>
      </w:r>
      <w:r>
        <w:rPr>
          <w:rFonts w:hint="cs"/>
          <w:rtl/>
        </w:rPr>
        <w:t xml:space="preserve">. </w:t>
      </w:r>
      <w:r w:rsidRPr="003A19F7">
        <w:rPr>
          <w:rFonts w:hint="cs"/>
          <w:rtl/>
        </w:rPr>
        <w:t xml:space="preserve">בבדיקת משרד מבקר המדינה נמצא כי נכון </w:t>
      </w:r>
      <w:r>
        <w:rPr>
          <w:rFonts w:hint="cs"/>
          <w:rtl/>
        </w:rPr>
        <w:t xml:space="preserve">ליוני </w:t>
      </w:r>
      <w:r w:rsidRPr="003A19F7">
        <w:rPr>
          <w:rFonts w:hint="cs"/>
          <w:rtl/>
        </w:rPr>
        <w:t xml:space="preserve">2023 </w:t>
      </w:r>
      <w:r>
        <w:rPr>
          <w:rFonts w:hint="cs"/>
          <w:rtl/>
        </w:rPr>
        <w:t>לא</w:t>
      </w:r>
      <w:r w:rsidRPr="003A19F7">
        <w:rPr>
          <w:rFonts w:hint="cs"/>
          <w:rtl/>
        </w:rPr>
        <w:t xml:space="preserve"> הוקם צוות זה</w:t>
      </w:r>
      <w:r>
        <w:rPr>
          <w:rFonts w:hint="cs"/>
          <w:rtl/>
        </w:rPr>
        <w:t>.</w:t>
      </w:r>
    </w:p>
    <w:p w:rsidR="00F20E3F" w:rsidRPr="00686209" w:rsidP="00686209" w14:paraId="0613585B" w14:textId="77777777">
      <w:pPr>
        <w:pStyle w:val="718"/>
        <w:rPr>
          <w:rtl/>
        </w:rPr>
      </w:pPr>
      <w:r w:rsidRPr="00686209">
        <w:rPr>
          <w:rFonts w:hint="cs"/>
          <w:rtl/>
        </w:rPr>
        <w:t xml:space="preserve">בדוח הקודם עלו שורה של חסמים ופערים המקשים על קידום טכנולוגיות אקלים-טק בישראל, והומלץ על קידום פעולה לצורך הסרת החסמים. ביקורת המעקב העלתה שלמרות ההנחיה בהחלטת הממשלה 544 להקים צוות </w:t>
      </w:r>
      <w:r w:rsidRPr="00686209">
        <w:rPr>
          <w:rtl/>
        </w:rPr>
        <w:t>להסרת חסמים</w:t>
      </w:r>
      <w:r w:rsidRPr="00686209">
        <w:rPr>
          <w:rFonts w:hint="cs"/>
          <w:rtl/>
        </w:rPr>
        <w:t xml:space="preserve"> לקידום נושא זה </w:t>
      </w:r>
      <w:r w:rsidRPr="00686209">
        <w:rPr>
          <w:rtl/>
        </w:rPr>
        <w:t>בראשות מנכ"ל משרד ראש הממשלה</w:t>
      </w:r>
      <w:r w:rsidRPr="00686209">
        <w:rPr>
          <w:rFonts w:hint="cs"/>
          <w:rtl/>
        </w:rPr>
        <w:t>, הצוות לא הוקם. מציאות זו מקשה ל</w:t>
      </w:r>
      <w:r w:rsidRPr="00686209">
        <w:rPr>
          <w:rtl/>
        </w:rPr>
        <w:t>מצ</w:t>
      </w:r>
      <w:r w:rsidRPr="00686209">
        <w:rPr>
          <w:rFonts w:hint="cs"/>
          <w:rtl/>
        </w:rPr>
        <w:t>ו</w:t>
      </w:r>
      <w:r w:rsidRPr="00686209">
        <w:rPr>
          <w:rtl/>
        </w:rPr>
        <w:t>א פתרונות לחסמים רגולטוריים למחקר, לפיתוח, ליישום ולהטמעה של טכנולוגיות בתחום האקלים</w:t>
      </w:r>
      <w:r w:rsidRPr="00686209">
        <w:rPr>
          <w:rFonts w:hint="cs"/>
          <w:rtl/>
        </w:rPr>
        <w:t>, ומקשה את מקסום הפוטנציאל הקיים בישראל בנושא טכנולוגיות אקלים-טק וקידום למדינה "ירוקה", שיסייעו בעמידה של ישראל ביעדיה להפחתת פליטות. כמו כן ישראל עלולה לאבד הזדמנויות לקידום טכנולוגיות לצורך היערכות למשבר האקלים וחיזוק הצמיחה הכלכלית בישראל.</w:t>
      </w:r>
      <w:r w:rsidRPr="00686209">
        <w:rPr>
          <w:rStyle w:val="EndnoteReference"/>
          <w:vertAlign w:val="baseline"/>
          <w:rtl/>
        </w:rPr>
        <w:t xml:space="preserve"> </w:t>
      </w:r>
    </w:p>
    <w:p w:rsidR="00F20E3F" w:rsidRPr="00686209" w:rsidP="00686209" w14:paraId="2F3161F1" w14:textId="77777777">
      <w:pPr>
        <w:pStyle w:val="718"/>
        <w:rPr>
          <w:rtl/>
        </w:rPr>
      </w:pPr>
      <w:r w:rsidRPr="00686209">
        <w:rPr>
          <w:rFonts w:hint="cs"/>
          <w:rtl/>
        </w:rPr>
        <w:t xml:space="preserve">כדי לקדם את ביצוען של החלטות הממשלה בתחום האקלים-טק, מוצע כי ממצאי פרק זה ייבחנו על ידי רשות החדשנות ומשרד </w:t>
      </w:r>
      <w:r w:rsidRPr="00686209">
        <w:rPr>
          <w:rFonts w:hint="cs"/>
          <w:rtl/>
        </w:rPr>
        <w:t>האנרגייה</w:t>
      </w:r>
      <w:r w:rsidRPr="00686209">
        <w:rPr>
          <w:rFonts w:hint="cs"/>
          <w:rtl/>
        </w:rPr>
        <w:t xml:space="preserve"> בשיתוף משרד האוצר, וימוצו התהליכים הדרושים לצורך יישומן בפועל לרבות עניין עידוד משיכת הון פרטי לתחום זה. זאת, על בסיס תקצוב הולם. כמו כן בהתאם להחלטת הממשלה 544, על </w:t>
      </w:r>
      <w:r w:rsidRPr="00686209">
        <w:rPr>
          <w:rFonts w:hint="eastAsia"/>
          <w:rtl/>
        </w:rPr>
        <w:t>מנכ</w:t>
      </w:r>
      <w:r w:rsidRPr="00686209">
        <w:rPr>
          <w:rtl/>
        </w:rPr>
        <w:t xml:space="preserve">"ל משרד ראש הממשלה </w:t>
      </w:r>
      <w:r w:rsidRPr="00686209">
        <w:rPr>
          <w:rFonts w:hint="eastAsia"/>
          <w:rtl/>
        </w:rPr>
        <w:t>לפעול</w:t>
      </w:r>
      <w:r w:rsidRPr="00686209">
        <w:rPr>
          <w:rtl/>
        </w:rPr>
        <w:t xml:space="preserve"> </w:t>
      </w:r>
      <w:r w:rsidRPr="00686209">
        <w:rPr>
          <w:rFonts w:hint="cs"/>
          <w:rtl/>
        </w:rPr>
        <w:t xml:space="preserve">להקמת צוות משימה להאצת טכנולוגיות אקלים שיפעל לאיתור חסמים ולביצוע פעולות להסרתם, בהשתתפות החשב הכללי במשרד האוצר והממונה על התקציבים. </w:t>
      </w:r>
    </w:p>
    <w:p w:rsidR="00F20E3F" w:rsidRPr="00686209" w:rsidP="00686209" w14:paraId="20FA7D20" w14:textId="5A296F72">
      <w:pPr>
        <w:pStyle w:val="7316"/>
        <w:rPr>
          <w:rtl/>
        </w:rPr>
      </w:pPr>
      <w:r w:rsidRPr="00686209">
        <w:rPr>
          <w:rFonts w:hint="cs"/>
          <w:rtl/>
        </w:rPr>
        <w:t xml:space="preserve">רשות החדשנות מסרה בתשובתה כי היא </w:t>
      </w:r>
      <w:r w:rsidRPr="00686209">
        <w:rPr>
          <w:rtl/>
        </w:rPr>
        <w:t>מבצעת תהליכים שמטרתם לאתר</w:t>
      </w:r>
      <w:r w:rsidRPr="00686209">
        <w:rPr>
          <w:rFonts w:hint="cs"/>
          <w:rtl/>
        </w:rPr>
        <w:t xml:space="preserve"> </w:t>
      </w:r>
      <w:r w:rsidRPr="00686209">
        <w:rPr>
          <w:rtl/>
        </w:rPr>
        <w:t>חסמים ולפעול עם הגופים הרלוונטיים</w:t>
      </w:r>
      <w:r w:rsidRPr="00686209">
        <w:rPr>
          <w:rFonts w:hint="cs"/>
          <w:rtl/>
        </w:rPr>
        <w:t xml:space="preserve"> </w:t>
      </w:r>
      <w:r w:rsidRPr="00686209">
        <w:rPr>
          <w:rtl/>
        </w:rPr>
        <w:t>בממשלה</w:t>
      </w:r>
      <w:r w:rsidRPr="00686209">
        <w:rPr>
          <w:rFonts w:hint="cs"/>
          <w:rtl/>
        </w:rPr>
        <w:t xml:space="preserve"> להסרתם</w:t>
      </w:r>
      <w:r w:rsidRPr="00686209">
        <w:rPr>
          <w:rtl/>
        </w:rPr>
        <w:t>. תהליך זה</w:t>
      </w:r>
      <w:r w:rsidRPr="00686209">
        <w:rPr>
          <w:rFonts w:hint="cs"/>
          <w:rtl/>
        </w:rPr>
        <w:t xml:space="preserve"> </w:t>
      </w:r>
      <w:r w:rsidRPr="00686209">
        <w:rPr>
          <w:rtl/>
        </w:rPr>
        <w:t>מתמקד בכל תת</w:t>
      </w:r>
      <w:r w:rsidRPr="00686209">
        <w:rPr>
          <w:rFonts w:hint="cs"/>
          <w:rtl/>
        </w:rPr>
        <w:t>-</w:t>
      </w:r>
      <w:r w:rsidRPr="00686209">
        <w:rPr>
          <w:rtl/>
        </w:rPr>
        <w:t>תחום הנוגע למשבר האקלים</w:t>
      </w:r>
      <w:r w:rsidRPr="00686209">
        <w:rPr>
          <w:rFonts w:hint="cs"/>
          <w:rtl/>
        </w:rPr>
        <w:t xml:space="preserve">, </w:t>
      </w:r>
      <w:r w:rsidRPr="00686209">
        <w:rPr>
          <w:rtl/>
        </w:rPr>
        <w:t>ו</w:t>
      </w:r>
      <w:r w:rsidRPr="00686209">
        <w:rPr>
          <w:rFonts w:hint="cs"/>
          <w:rtl/>
        </w:rPr>
        <w:t xml:space="preserve">היא </w:t>
      </w:r>
      <w:r w:rsidRPr="00686209">
        <w:rPr>
          <w:rtl/>
        </w:rPr>
        <w:t>פועלת</w:t>
      </w:r>
      <w:r w:rsidRPr="00686209">
        <w:rPr>
          <w:rFonts w:hint="cs"/>
          <w:rtl/>
        </w:rPr>
        <w:t xml:space="preserve"> </w:t>
      </w:r>
      <w:r w:rsidRPr="00686209">
        <w:rPr>
          <w:rtl/>
        </w:rPr>
        <w:t>לאיסוף כלל המידע על תמיכה באקלים-טק</w:t>
      </w:r>
      <w:r w:rsidRPr="00686209">
        <w:rPr>
          <w:rFonts w:hint="cs"/>
          <w:rtl/>
        </w:rPr>
        <w:t xml:space="preserve"> </w:t>
      </w:r>
      <w:r w:rsidRPr="00686209">
        <w:rPr>
          <w:rtl/>
        </w:rPr>
        <w:t>במשרדי הממשלה השונים מתוך מטרה לפרסם</w:t>
      </w:r>
      <w:r w:rsidRPr="00686209">
        <w:rPr>
          <w:rFonts w:hint="cs"/>
          <w:rtl/>
        </w:rPr>
        <w:t xml:space="preserve"> </w:t>
      </w:r>
      <w:r w:rsidRPr="00686209">
        <w:rPr>
          <w:rtl/>
        </w:rPr>
        <w:t>את המידע עד סוף</w:t>
      </w:r>
      <w:r w:rsidRPr="00686209">
        <w:rPr>
          <w:rFonts w:hint="cs"/>
          <w:rtl/>
        </w:rPr>
        <w:t xml:space="preserve"> שנת</w:t>
      </w:r>
      <w:r w:rsidRPr="00686209">
        <w:rPr>
          <w:rtl/>
        </w:rPr>
        <w:t xml:space="preserve"> 2023</w:t>
      </w:r>
      <w:r w:rsidRPr="00686209">
        <w:rPr>
          <w:rFonts w:hint="cs"/>
          <w:rtl/>
        </w:rPr>
        <w:t xml:space="preserve">. </w:t>
      </w:r>
      <w:r w:rsidRPr="00686209">
        <w:rPr>
          <w:rtl/>
        </w:rPr>
        <w:t xml:space="preserve">מבחינת ההנחיה </w:t>
      </w:r>
      <w:r w:rsidRPr="00686209">
        <w:rPr>
          <w:rtl/>
        </w:rPr>
        <w:t>בהחלטה 544, הרשות תשמח</w:t>
      </w:r>
      <w:r w:rsidRPr="00686209">
        <w:rPr>
          <w:rFonts w:hint="cs"/>
          <w:rtl/>
        </w:rPr>
        <w:t xml:space="preserve"> </w:t>
      </w:r>
      <w:r w:rsidRPr="00686209">
        <w:rPr>
          <w:rtl/>
        </w:rPr>
        <w:t>להצטרף לצוות בראשות מנכ"ל משרד ראש</w:t>
      </w:r>
      <w:r w:rsidRPr="00686209">
        <w:rPr>
          <w:rFonts w:hint="cs"/>
          <w:rtl/>
        </w:rPr>
        <w:t xml:space="preserve"> </w:t>
      </w:r>
      <w:r w:rsidRPr="00686209">
        <w:rPr>
          <w:rtl/>
        </w:rPr>
        <w:t>הממשלה להסרת החסמים ו</w:t>
      </w:r>
      <w:r w:rsidRPr="00686209">
        <w:rPr>
          <w:rFonts w:hint="cs"/>
          <w:rtl/>
        </w:rPr>
        <w:t>ל</w:t>
      </w:r>
      <w:r w:rsidRPr="00686209">
        <w:rPr>
          <w:rtl/>
        </w:rPr>
        <w:t>עמידת ישראל</w:t>
      </w:r>
      <w:r w:rsidRPr="00686209">
        <w:rPr>
          <w:rFonts w:hint="cs"/>
          <w:rtl/>
        </w:rPr>
        <w:t xml:space="preserve"> </w:t>
      </w:r>
      <w:r w:rsidRPr="00686209">
        <w:rPr>
          <w:rtl/>
        </w:rPr>
        <w:t>ביעדיה.</w:t>
      </w:r>
    </w:p>
    <w:p w:rsidR="00FB13B2" w:rsidRPr="00363CE5" w:rsidP="00FB13B2" w14:paraId="74446E74" w14:textId="77777777">
      <w:pPr>
        <w:pStyle w:val="0-"/>
        <w:rPr>
          <w:rtl/>
        </w:rPr>
      </w:pPr>
      <w:r w:rsidRPr="00363CE5">
        <w:rPr>
          <w:rFonts w:hint="cs"/>
          <w:rtl/>
        </w:rPr>
        <w:t>מידת תיקון הליקוי</w:t>
      </w:r>
    </w:p>
    <w:p w:rsidR="00FB13B2" w:rsidRPr="00363CE5" w:rsidP="00FB13B2" w14:paraId="004E477D" w14:textId="77777777">
      <w:pPr>
        <w:spacing w:before="240" w:after="360"/>
        <w:jc w:val="center"/>
        <w:rPr>
          <w:rtl/>
        </w:rPr>
      </w:pPr>
      <w:r>
        <w:rPr>
          <w:noProof/>
          <w:rtl/>
          <w:lang w:val="he-IL"/>
        </w:rPr>
        <w:drawing>
          <wp:inline distT="0" distB="0" distL="0" distR="0">
            <wp:extent cx="3962400" cy="794631"/>
            <wp:effectExtent l="0" t="0" r="0" b="0"/>
            <wp:docPr id="1360253451" name="תמונה 1360253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704335" name="תמונה 160439327"/>
                    <pic:cNvPicPr/>
                  </pic:nvPicPr>
                  <pic:blipFill>
                    <a:blip xmlns:r="http://schemas.openxmlformats.org/officeDocument/2006/relationships" r:embed="rId57">
                      <a:extLst>
                        <a:ext xmlns:a="http://schemas.openxmlformats.org/drawingml/2006/main" uri="{28A0092B-C50C-407E-A947-70E740481C1C}">
                          <a14:useLocalDpi xmlns:a14="http://schemas.microsoft.com/office/drawing/2010/main" val="0"/>
                        </a:ext>
                      </a:extLst>
                    </a:blip>
                    <a:stretch>
                      <a:fillRect/>
                    </a:stretch>
                  </pic:blipFill>
                  <pic:spPr>
                    <a:xfrm>
                      <a:off x="0" y="0"/>
                      <a:ext cx="4069328" cy="816075"/>
                    </a:xfrm>
                    <a:prstGeom prst="rect">
                      <a:avLst/>
                    </a:prstGeom>
                  </pic:spPr>
                </pic:pic>
              </a:graphicData>
            </a:graphic>
          </wp:inline>
        </w:drawing>
      </w:r>
    </w:p>
    <w:p w:rsidR="00F20E3F" w:rsidP="00A168D9" w14:paraId="569E6BA1" w14:textId="18AEF33D">
      <w:pPr>
        <w:pStyle w:val="733155"/>
        <w:rPr>
          <w:rtl/>
        </w:rPr>
      </w:pPr>
      <w:r w:rsidRPr="00F271A9">
        <w:rPr>
          <w:rFonts w:hint="cs"/>
          <w:rtl/>
        </w:rPr>
        <w:t>3.</w:t>
      </w:r>
      <w:r>
        <w:rPr>
          <w:rFonts w:hint="cs"/>
          <w:rtl/>
        </w:rPr>
        <w:t>5</w:t>
      </w:r>
      <w:r w:rsidRPr="00F271A9">
        <w:rPr>
          <w:rFonts w:hint="cs"/>
          <w:rtl/>
        </w:rPr>
        <w:t xml:space="preserve"> </w:t>
      </w:r>
      <w:r w:rsidRPr="00073C31">
        <w:rPr>
          <w:rFonts w:hint="cs"/>
          <w:rtl/>
        </w:rPr>
        <w:t>ההיערכות לסיכונים פיננסיים שמקורם בשינויי האקלים</w:t>
      </w:r>
      <w:r>
        <w:rPr>
          <w:rFonts w:hint="cs"/>
          <w:rtl/>
        </w:rPr>
        <w:t xml:space="preserve"> </w:t>
      </w:r>
    </w:p>
    <w:p w:rsidR="00F20E3F" w:rsidP="00686209" w14:paraId="1693D8BB" w14:textId="28F7AEB7">
      <w:pPr>
        <w:pStyle w:val="7392"/>
        <w:rPr>
          <w:rtl/>
        </w:rPr>
      </w:pPr>
      <w:r>
        <w:rPr>
          <w:rFonts w:hint="cs"/>
          <w:rtl/>
        </w:rPr>
        <w:t>בשנים האחרונות התגברה ה</w:t>
      </w:r>
      <w:r>
        <w:rPr>
          <w:rtl/>
        </w:rPr>
        <w:t xml:space="preserve">הבנה בעולם שלשינויי האקלים יש השפעה </w:t>
      </w:r>
      <w:r>
        <w:rPr>
          <w:rFonts w:hint="cs"/>
          <w:rtl/>
        </w:rPr>
        <w:t>ניכרת על העולמות ה</w:t>
      </w:r>
      <w:r>
        <w:rPr>
          <w:rtl/>
        </w:rPr>
        <w:t>פיננסי</w:t>
      </w:r>
      <w:r>
        <w:rPr>
          <w:rFonts w:hint="cs"/>
          <w:rtl/>
        </w:rPr>
        <w:t>ים.</w:t>
      </w:r>
      <w:r>
        <w:rPr>
          <w:rtl/>
        </w:rPr>
        <w:t xml:space="preserve"> </w:t>
      </w:r>
      <w:r>
        <w:rPr>
          <w:rFonts w:hint="cs"/>
          <w:rtl/>
        </w:rPr>
        <w:t xml:space="preserve">מקובל לראות במשבר האקלים מחולל שני סיכונים </w:t>
      </w:r>
      <w:r>
        <w:rPr>
          <w:rtl/>
        </w:rPr>
        <w:t>פיננסיים למדינות, חברות ופרטים</w:t>
      </w:r>
      <w:r>
        <w:rPr>
          <w:rFonts w:hint="cs"/>
          <w:rtl/>
        </w:rPr>
        <w:t xml:space="preserve"> -</w:t>
      </w:r>
      <w:r>
        <w:rPr>
          <w:rFonts w:hint="cs"/>
        </w:rPr>
        <w:t xml:space="preserve"> </w:t>
      </w:r>
      <w:r>
        <w:rPr>
          <w:b/>
          <w:bCs/>
          <w:rtl/>
        </w:rPr>
        <w:t>"סיכונים פיזיים"</w:t>
      </w:r>
      <w:r>
        <w:rPr>
          <w:rStyle w:val="FootnoteReference2"/>
          <w:rtl/>
        </w:rPr>
        <w:footnoteReference w:id="116"/>
      </w:r>
      <w:r>
        <w:rPr>
          <w:b/>
          <w:bCs/>
          <w:rtl/>
        </w:rPr>
        <w:t xml:space="preserve"> ו"סיכוני מעבר"</w:t>
      </w:r>
      <w:r>
        <w:rPr>
          <w:rStyle w:val="FootnoteReference2"/>
          <w:rtl/>
        </w:rPr>
        <w:footnoteReference w:id="117"/>
      </w:r>
      <w:r>
        <w:rPr>
          <w:rFonts w:hint="cs"/>
          <w:rtl/>
        </w:rPr>
        <w:t>. ההתמודדות עם סיכונים אלו ת</w:t>
      </w:r>
      <w:r>
        <w:rPr>
          <w:rtl/>
        </w:rPr>
        <w:t>דר</w:t>
      </w:r>
      <w:r>
        <w:rPr>
          <w:rFonts w:hint="cs"/>
          <w:rtl/>
        </w:rPr>
        <w:t>ו</w:t>
      </w:r>
      <w:r>
        <w:rPr>
          <w:rtl/>
        </w:rPr>
        <w:t>ש הגדלה ניכרת של השקעות והתאמ</w:t>
      </w:r>
      <w:r>
        <w:rPr>
          <w:rFonts w:hint="cs"/>
          <w:rtl/>
        </w:rPr>
        <w:t>ה של</w:t>
      </w:r>
      <w:r>
        <w:rPr>
          <w:rtl/>
        </w:rPr>
        <w:t xml:space="preserve"> חברות, משקי בית וממשלות</w:t>
      </w:r>
      <w:r>
        <w:rPr>
          <w:rFonts w:hint="cs"/>
          <w:rtl/>
        </w:rPr>
        <w:t xml:space="preserve">. </w:t>
      </w:r>
      <w:r>
        <w:rPr>
          <w:rtl/>
        </w:rPr>
        <w:t xml:space="preserve">העיסוק </w:t>
      </w:r>
      <w:r>
        <w:rPr>
          <w:rFonts w:hint="cs"/>
          <w:rtl/>
        </w:rPr>
        <w:t>ב</w:t>
      </w:r>
      <w:r w:rsidRPr="00923CEA">
        <w:rPr>
          <w:rFonts w:hint="cs"/>
          <w:rtl/>
        </w:rPr>
        <w:t xml:space="preserve">סיכונים </w:t>
      </w:r>
      <w:r>
        <w:rPr>
          <w:rFonts w:hint="cs"/>
          <w:rtl/>
        </w:rPr>
        <w:t>ה</w:t>
      </w:r>
      <w:r w:rsidRPr="00923CEA">
        <w:rPr>
          <w:rFonts w:hint="cs"/>
          <w:rtl/>
        </w:rPr>
        <w:t xml:space="preserve">פיננסיים שמקורם בשינויי </w:t>
      </w:r>
      <w:r>
        <w:rPr>
          <w:rFonts w:hint="cs"/>
          <w:rtl/>
        </w:rPr>
        <w:t>ה</w:t>
      </w:r>
      <w:r w:rsidRPr="00923CEA">
        <w:rPr>
          <w:rFonts w:hint="cs"/>
          <w:rtl/>
        </w:rPr>
        <w:t xml:space="preserve">אקלים </w:t>
      </w:r>
      <w:r>
        <w:rPr>
          <w:rFonts w:hint="cs"/>
          <w:rtl/>
        </w:rPr>
        <w:t xml:space="preserve">מתקיים </w:t>
      </w:r>
      <w:r>
        <w:rPr>
          <w:rtl/>
        </w:rPr>
        <w:t>בפורומים בין-לאומיים כמעט שני עשורים, ובשנים האחרונות החל לחלחל גם לרמה הלאומית</w:t>
      </w:r>
      <w:r>
        <w:rPr>
          <w:rFonts w:hint="cs"/>
          <w:rtl/>
        </w:rPr>
        <w:t>,</w:t>
      </w:r>
      <w:r>
        <w:rPr>
          <w:rtl/>
        </w:rPr>
        <w:t xml:space="preserve"> </w:t>
      </w:r>
      <w:r>
        <w:rPr>
          <w:rFonts w:hint="cs"/>
          <w:rtl/>
        </w:rPr>
        <w:t>ו</w:t>
      </w:r>
      <w:r>
        <w:rPr>
          <w:rtl/>
        </w:rPr>
        <w:t xml:space="preserve">רגולטורים פיננסיים החלו לפעול בכלים </w:t>
      </w:r>
      <w:r>
        <w:rPr>
          <w:rFonts w:hint="cs"/>
          <w:rtl/>
        </w:rPr>
        <w:t>רגולטוריים שונים</w:t>
      </w:r>
      <w:r>
        <w:rPr>
          <w:rtl/>
        </w:rPr>
        <w:t xml:space="preserve"> כדי </w:t>
      </w:r>
      <w:r>
        <w:rPr>
          <w:rFonts w:hint="cs"/>
          <w:rtl/>
        </w:rPr>
        <w:t>ל</w:t>
      </w:r>
      <w:r>
        <w:rPr>
          <w:rtl/>
        </w:rPr>
        <w:t>הטמ</w:t>
      </w:r>
      <w:r>
        <w:rPr>
          <w:rFonts w:hint="cs"/>
          <w:rtl/>
        </w:rPr>
        <w:t>י</w:t>
      </w:r>
      <w:r>
        <w:rPr>
          <w:rtl/>
        </w:rPr>
        <w:t xml:space="preserve">ע </w:t>
      </w:r>
      <w:r>
        <w:rPr>
          <w:rFonts w:hint="cs"/>
          <w:rtl/>
        </w:rPr>
        <w:t xml:space="preserve">את </w:t>
      </w:r>
      <w:r>
        <w:rPr>
          <w:rtl/>
        </w:rPr>
        <w:t>סיכוני האקלים במערכת הפיננסית.</w:t>
      </w:r>
      <w:r>
        <w:rPr>
          <w:rFonts w:hint="cs"/>
          <w:b/>
          <w:bCs/>
          <w:rtl/>
        </w:rPr>
        <w:t xml:space="preserve"> </w:t>
      </w:r>
      <w:r>
        <w:rPr>
          <w:rFonts w:hint="cs"/>
          <w:rtl/>
        </w:rPr>
        <w:t xml:space="preserve">בין היתר, רגולטורים פיננסיים פועלים בתחום </w:t>
      </w:r>
      <w:r w:rsidRPr="00671936">
        <w:rPr>
          <w:rFonts w:hint="eastAsia"/>
          <w:rtl/>
        </w:rPr>
        <w:t>הגברת</w:t>
      </w:r>
      <w:r w:rsidRPr="00671936">
        <w:rPr>
          <w:rtl/>
        </w:rPr>
        <w:t xml:space="preserve"> חובות גילוי ודיווח בנושא סיכוני </w:t>
      </w:r>
      <w:r>
        <w:rPr>
          <w:rFonts w:hint="cs"/>
          <w:rtl/>
        </w:rPr>
        <w:t>ה</w:t>
      </w:r>
      <w:r w:rsidRPr="00671936">
        <w:rPr>
          <w:rtl/>
        </w:rPr>
        <w:t xml:space="preserve">אקלים וסיכונים סביבתיים אחרים של חברות או גופים פיננסיים </w:t>
      </w:r>
      <w:r>
        <w:rPr>
          <w:rFonts w:hint="cs"/>
          <w:rtl/>
        </w:rPr>
        <w:t xml:space="preserve">בנוגע </w:t>
      </w:r>
      <w:r w:rsidRPr="00671936">
        <w:rPr>
          <w:rtl/>
        </w:rPr>
        <w:t xml:space="preserve">לחשיפתם לסיכוני </w:t>
      </w:r>
      <w:r>
        <w:rPr>
          <w:rFonts w:hint="cs"/>
          <w:rtl/>
        </w:rPr>
        <w:t>ה</w:t>
      </w:r>
      <w:r w:rsidRPr="00671936">
        <w:rPr>
          <w:rtl/>
        </w:rPr>
        <w:t xml:space="preserve">אקלים ולסיכוני סביבה אחרים, </w:t>
      </w:r>
      <w:r w:rsidRPr="00671936">
        <w:rPr>
          <w:rFonts w:hint="eastAsia"/>
          <w:rtl/>
        </w:rPr>
        <w:t>ו</w:t>
      </w:r>
      <w:r>
        <w:rPr>
          <w:rFonts w:hint="cs"/>
          <w:rtl/>
        </w:rPr>
        <w:t xml:space="preserve">בתחום </w:t>
      </w:r>
      <w:r w:rsidRPr="00671936">
        <w:rPr>
          <w:rFonts w:hint="eastAsia"/>
          <w:rtl/>
        </w:rPr>
        <w:t>הגברת</w:t>
      </w:r>
      <w:r w:rsidRPr="00671936">
        <w:rPr>
          <w:rtl/>
        </w:rPr>
        <w:t xml:space="preserve"> </w:t>
      </w:r>
      <w:r>
        <w:rPr>
          <w:rFonts w:hint="cs"/>
          <w:rtl/>
        </w:rPr>
        <w:t>ה</w:t>
      </w:r>
      <w:r w:rsidRPr="00671936">
        <w:rPr>
          <w:rtl/>
        </w:rPr>
        <w:t>פיתוח ו</w:t>
      </w:r>
      <w:r>
        <w:rPr>
          <w:rFonts w:hint="cs"/>
          <w:rtl/>
        </w:rPr>
        <w:t>ה</w:t>
      </w:r>
      <w:r w:rsidRPr="00671936">
        <w:rPr>
          <w:rtl/>
        </w:rPr>
        <w:t xml:space="preserve">יישום של כלים </w:t>
      </w:r>
      <w:r w:rsidRPr="00671936">
        <w:rPr>
          <w:rFonts w:hint="eastAsia"/>
          <w:rtl/>
        </w:rPr>
        <w:t>ומתודולוגיות</w:t>
      </w:r>
      <w:r w:rsidRPr="00671936">
        <w:rPr>
          <w:rtl/>
        </w:rPr>
        <w:t xml:space="preserve"> לניתוח סיכוני </w:t>
      </w:r>
      <w:r>
        <w:rPr>
          <w:rFonts w:hint="cs"/>
          <w:rtl/>
        </w:rPr>
        <w:t>ה</w:t>
      </w:r>
      <w:r w:rsidRPr="00671936">
        <w:rPr>
          <w:rtl/>
        </w:rPr>
        <w:t>אקלים ו</w:t>
      </w:r>
      <w:r>
        <w:rPr>
          <w:rFonts w:hint="cs"/>
          <w:rtl/>
        </w:rPr>
        <w:t>ל</w:t>
      </w:r>
      <w:r w:rsidRPr="00671936">
        <w:rPr>
          <w:rtl/>
        </w:rPr>
        <w:t>הטמעתם בפעילות הגופים המפוקחים</w:t>
      </w:r>
      <w:r>
        <w:rPr>
          <w:rFonts w:hint="cs"/>
          <w:rtl/>
        </w:rPr>
        <w:t xml:space="preserve">. </w:t>
      </w:r>
    </w:p>
    <w:p w:rsidR="00F20E3F" w:rsidRPr="00443DA2" w:rsidP="00686209" w14:paraId="40EE3E39" w14:textId="77777777">
      <w:pPr>
        <w:pStyle w:val="7392"/>
        <w:rPr>
          <w:sz w:val="24"/>
          <w:rtl/>
        </w:rPr>
      </w:pPr>
      <w:r w:rsidRPr="00443DA2">
        <w:rPr>
          <w:rtl/>
        </w:rPr>
        <w:t>בפרקטיקות</w:t>
      </w:r>
      <w:r w:rsidRPr="00443DA2">
        <w:rPr>
          <w:rtl/>
        </w:rPr>
        <w:t xml:space="preserve"> אלה שנוקטים הרגולטורים הפיננסיים הם מבקשים לשלב עקרונות של "אחראיות</w:t>
      </w:r>
      <w:r w:rsidRPr="00443DA2">
        <w:rPr>
          <w:rFonts w:hint="cs"/>
          <w:rtl/>
        </w:rPr>
        <w:t xml:space="preserve"> תאגידית</w:t>
      </w:r>
      <w:r w:rsidRPr="00443DA2">
        <w:rPr>
          <w:rtl/>
        </w:rPr>
        <w:t>"</w:t>
      </w:r>
      <w:r w:rsidRPr="00443DA2">
        <w:rPr>
          <w:rFonts w:hint="cs"/>
          <w:rtl/>
        </w:rPr>
        <w:t xml:space="preserve"> ושיקולי קיימות</w:t>
      </w:r>
      <w:r w:rsidRPr="00443DA2">
        <w:rPr>
          <w:rtl/>
        </w:rPr>
        <w:t xml:space="preserve"> בפעילות העסקית של תאגידים, בשוק ההון ובמערכת הפיננסית</w:t>
      </w:r>
      <w:r w:rsidRPr="00443DA2">
        <w:rPr>
          <w:rFonts w:hint="cs"/>
          <w:rtl/>
        </w:rPr>
        <w:t xml:space="preserve">, ולהן כינויים שונים (למשל כללי האחריות התאגידית, </w:t>
      </w:r>
      <w:r w:rsidRPr="00443DA2">
        <w:rPr>
          <w:rFonts w:hint="cs"/>
        </w:rPr>
        <w:t>CSR</w:t>
      </w:r>
      <w:r w:rsidRPr="00443DA2">
        <w:rPr>
          <w:rFonts w:hint="cs"/>
          <w:rtl/>
        </w:rPr>
        <w:t xml:space="preserve">, </w:t>
      </w:r>
      <w:r w:rsidRPr="00443DA2">
        <w:rPr>
          <w:rFonts w:hint="cs"/>
        </w:rPr>
        <w:t>SRI</w:t>
      </w:r>
      <w:r w:rsidRPr="00443DA2">
        <w:rPr>
          <w:rFonts w:hint="cs"/>
          <w:rtl/>
        </w:rPr>
        <w:t xml:space="preserve"> או ה-</w:t>
      </w:r>
      <w:r w:rsidRPr="00443DA2">
        <w:rPr>
          <w:rFonts w:hint="cs"/>
        </w:rPr>
        <w:t>SASB</w:t>
      </w:r>
      <w:r>
        <w:rPr>
          <w:rStyle w:val="FootnoteReference2"/>
          <w:rtl/>
        </w:rPr>
        <w:footnoteReference w:id="118"/>
      </w:r>
      <w:r w:rsidRPr="00443DA2">
        <w:rPr>
          <w:rFonts w:hint="cs"/>
          <w:rtl/>
        </w:rPr>
        <w:t xml:space="preserve">), ואף שקיימים ביניהן ממשקים </w:t>
      </w:r>
      <w:r>
        <w:rPr>
          <w:rFonts w:hint="cs"/>
          <w:rtl/>
        </w:rPr>
        <w:t>וקווי דמיון רבים, קיימת גם מ</w:t>
      </w:r>
      <w:r w:rsidRPr="00D11650">
        <w:rPr>
          <w:rFonts w:hint="cs"/>
          <w:sz w:val="24"/>
          <w:rtl/>
        </w:rPr>
        <w:t>ידה רבה של חוסר אחידות</w:t>
      </w:r>
      <w:r>
        <w:rPr>
          <w:rFonts w:hint="cs"/>
          <w:sz w:val="24"/>
          <w:rtl/>
        </w:rPr>
        <w:t xml:space="preserve"> ביניהן או בפרשנות שניתנת להן</w:t>
      </w:r>
      <w:r w:rsidRPr="00D11650">
        <w:rPr>
          <w:rFonts w:hint="cs"/>
          <w:sz w:val="24"/>
          <w:rtl/>
        </w:rPr>
        <w:t xml:space="preserve">. </w:t>
      </w:r>
      <w:r w:rsidRPr="00D11650">
        <w:rPr>
          <w:sz w:val="24"/>
          <w:rtl/>
        </w:rPr>
        <w:t xml:space="preserve">אחת המתודולוגיות </w:t>
      </w:r>
      <w:r w:rsidRPr="00D11650">
        <w:rPr>
          <w:rFonts w:hint="cs"/>
          <w:sz w:val="24"/>
          <w:rtl/>
        </w:rPr>
        <w:t xml:space="preserve">המוכרות </w:t>
      </w:r>
      <w:r>
        <w:rPr>
          <w:rFonts w:hint="cs"/>
          <w:sz w:val="24"/>
          <w:rtl/>
        </w:rPr>
        <w:t xml:space="preserve">בתחום </w:t>
      </w:r>
      <w:r w:rsidRPr="00D11650">
        <w:rPr>
          <w:sz w:val="24"/>
          <w:rtl/>
        </w:rPr>
        <w:t xml:space="preserve">היא שילוב של שיקולים סביבתיים וחברתיים ושיקולים </w:t>
      </w:r>
      <w:r w:rsidRPr="00D11650">
        <w:rPr>
          <w:sz w:val="24"/>
          <w:rtl/>
        </w:rPr>
        <w:t xml:space="preserve">מתחום הממשל </w:t>
      </w:r>
      <w:r w:rsidRPr="00686209">
        <w:rPr>
          <w:rtl/>
        </w:rPr>
        <w:t>התאגידי (</w:t>
      </w:r>
      <w:r w:rsidRPr="00686209">
        <w:t>Environmental, Social and Governance</w:t>
      </w:r>
      <w:r w:rsidRPr="00686209">
        <w:rPr>
          <w:rtl/>
        </w:rPr>
        <w:t>) (להלן -</w:t>
      </w:r>
      <w:r w:rsidRPr="00686209">
        <w:rPr>
          <w:rFonts w:hint="cs"/>
          <w:rtl/>
        </w:rPr>
        <w:t xml:space="preserve"> </w:t>
      </w:r>
      <w:r w:rsidRPr="00686209">
        <w:t>ESG</w:t>
      </w:r>
      <w:r w:rsidRPr="00686209">
        <w:rPr>
          <w:rtl/>
        </w:rPr>
        <w:t>)</w:t>
      </w:r>
      <w:r w:rsidRPr="00D11650">
        <w:rPr>
          <w:sz w:val="24"/>
          <w:rtl/>
        </w:rPr>
        <w:t xml:space="preserve"> במדיניות עסקית ופיננסית</w:t>
      </w:r>
      <w:r>
        <w:rPr>
          <w:rStyle w:val="FootnoteReference2"/>
          <w:sz w:val="24"/>
          <w:rtl/>
        </w:rPr>
        <w:footnoteReference w:id="119"/>
      </w:r>
      <w:r w:rsidRPr="00D11650">
        <w:rPr>
          <w:rFonts w:hint="cs"/>
          <w:sz w:val="24"/>
          <w:rtl/>
        </w:rPr>
        <w:t>, ובפרט בכל הקשור בחובות גילוי ודיווח לציבור</w:t>
      </w:r>
      <w:r w:rsidRPr="00D11650">
        <w:rPr>
          <w:sz w:val="24"/>
          <w:rtl/>
        </w:rPr>
        <w:t>. חלק משיקולי ה-</w:t>
      </w:r>
      <w:r w:rsidRPr="00B27105">
        <w:t>ESG</w:t>
      </w:r>
      <w:r w:rsidRPr="00B27105">
        <w:rPr>
          <w:rtl/>
        </w:rPr>
        <w:t xml:space="preserve"> עוסקים בהטמעת שיקולי סביבה, </w:t>
      </w:r>
      <w:r w:rsidRPr="00B27105">
        <w:rPr>
          <w:b/>
          <w:bCs/>
          <w:rtl/>
        </w:rPr>
        <w:t>ושיקולי האקלים הם קטגוריה בתוך שיקולי הסביבה</w:t>
      </w:r>
      <w:r w:rsidRPr="00B27105">
        <w:rPr>
          <w:rtl/>
        </w:rPr>
        <w:t xml:space="preserve">. </w:t>
      </w:r>
      <w:r>
        <w:rPr>
          <w:rFonts w:hint="cs"/>
          <w:rtl/>
        </w:rPr>
        <w:t xml:space="preserve">יצוין שגם במקרה של </w:t>
      </w:r>
      <w:r>
        <w:rPr>
          <w:rFonts w:hint="cs"/>
        </w:rPr>
        <w:t>ESG</w:t>
      </w:r>
      <w:r>
        <w:rPr>
          <w:rFonts w:hint="cs"/>
          <w:rtl/>
        </w:rPr>
        <w:t xml:space="preserve"> גורמים שונים יוצקים תוכן שונה למושג, והפרשנות </w:t>
      </w:r>
      <w:r w:rsidRPr="00D11650">
        <w:rPr>
          <w:rFonts w:hint="cs"/>
          <w:sz w:val="24"/>
          <w:rtl/>
        </w:rPr>
        <w:t xml:space="preserve">בפרקטיקה משתנה ממקום </w:t>
      </w:r>
      <w:r w:rsidRPr="00443DA2">
        <w:rPr>
          <w:rFonts w:hint="cs"/>
          <w:sz w:val="24"/>
          <w:rtl/>
        </w:rPr>
        <w:t xml:space="preserve">למקום ומארגון לארגון. </w:t>
      </w:r>
    </w:p>
    <w:p w:rsidR="00F20E3F" w:rsidRPr="0031588E" w:rsidP="00686209" w14:paraId="0ED5E4B4" w14:textId="6A407F59">
      <w:pPr>
        <w:pStyle w:val="7392"/>
        <w:rPr>
          <w:sz w:val="24"/>
          <w:rtl/>
        </w:rPr>
      </w:pPr>
      <w:r w:rsidRPr="00443DA2">
        <w:rPr>
          <w:sz w:val="24"/>
          <w:rtl/>
        </w:rPr>
        <w:t xml:space="preserve">אף שקיימת חפיפה </w:t>
      </w:r>
      <w:r w:rsidRPr="00686209">
        <w:rPr>
          <w:rtl/>
        </w:rPr>
        <w:t>מסוימת</w:t>
      </w:r>
      <w:r w:rsidRPr="00443DA2">
        <w:rPr>
          <w:sz w:val="24"/>
          <w:rtl/>
        </w:rPr>
        <w:t xml:space="preserve"> בין חלק מ</w:t>
      </w:r>
      <w:r w:rsidRPr="00443DA2">
        <w:rPr>
          <w:rFonts w:hint="cs"/>
          <w:sz w:val="24"/>
          <w:rtl/>
        </w:rPr>
        <w:t>שיקולי</w:t>
      </w:r>
      <w:r w:rsidRPr="00443DA2">
        <w:rPr>
          <w:sz w:val="24"/>
          <w:rtl/>
        </w:rPr>
        <w:t xml:space="preserve"> ה-</w:t>
      </w:r>
      <w:r w:rsidRPr="00686209">
        <w:t>ESG</w:t>
      </w:r>
      <w:r w:rsidRPr="00443DA2">
        <w:rPr>
          <w:sz w:val="22"/>
          <w:szCs w:val="22"/>
          <w:rtl/>
        </w:rPr>
        <w:t xml:space="preserve"> </w:t>
      </w:r>
      <w:r w:rsidRPr="00443DA2">
        <w:rPr>
          <w:rFonts w:hint="cs"/>
          <w:sz w:val="24"/>
          <w:rtl/>
        </w:rPr>
        <w:t xml:space="preserve">המוטמעים בפעילות העסקית </w:t>
      </w:r>
      <w:r w:rsidRPr="00443DA2">
        <w:rPr>
          <w:sz w:val="24"/>
          <w:rtl/>
        </w:rPr>
        <w:t>ל</w:t>
      </w:r>
      <w:r w:rsidRPr="00443DA2">
        <w:rPr>
          <w:rFonts w:hint="cs"/>
          <w:sz w:val="24"/>
          <w:rtl/>
        </w:rPr>
        <w:t xml:space="preserve">שיקולי </w:t>
      </w:r>
      <w:r w:rsidRPr="00443DA2">
        <w:rPr>
          <w:sz w:val="24"/>
          <w:rtl/>
        </w:rPr>
        <w:t xml:space="preserve">האקלים, </w:t>
      </w:r>
      <w:r w:rsidRPr="00443DA2">
        <w:rPr>
          <w:rFonts w:hint="cs"/>
          <w:sz w:val="24"/>
          <w:rtl/>
        </w:rPr>
        <w:t xml:space="preserve">שינויי </w:t>
      </w:r>
      <w:r w:rsidRPr="00D11650">
        <w:rPr>
          <w:sz w:val="24"/>
          <w:rtl/>
        </w:rPr>
        <w:t>האקלים מקבל</w:t>
      </w:r>
      <w:r>
        <w:rPr>
          <w:rFonts w:hint="cs"/>
          <w:sz w:val="24"/>
          <w:rtl/>
        </w:rPr>
        <w:t>ים</w:t>
      </w:r>
      <w:r w:rsidRPr="00D11650">
        <w:rPr>
          <w:sz w:val="24"/>
          <w:rtl/>
        </w:rPr>
        <w:t xml:space="preserve"> במידה רבה התייחסות </w:t>
      </w:r>
      <w:r>
        <w:rPr>
          <w:rFonts w:hint="cs"/>
          <w:sz w:val="24"/>
          <w:rtl/>
        </w:rPr>
        <w:t xml:space="preserve">בולטת </w:t>
      </w:r>
      <w:r w:rsidRPr="00D11650">
        <w:rPr>
          <w:sz w:val="24"/>
          <w:rtl/>
        </w:rPr>
        <w:t>מרגולטורים וגופים פיננסיים בעולם</w:t>
      </w:r>
      <w:r>
        <w:rPr>
          <w:rFonts w:hint="cs"/>
          <w:sz w:val="24"/>
          <w:rtl/>
        </w:rPr>
        <w:t>,</w:t>
      </w:r>
      <w:r w:rsidRPr="00D11650">
        <w:rPr>
          <w:rFonts w:hint="cs"/>
          <w:sz w:val="24"/>
          <w:rtl/>
        </w:rPr>
        <w:t xml:space="preserve"> וה</w:t>
      </w:r>
      <w:r>
        <w:rPr>
          <w:rFonts w:hint="cs"/>
          <w:sz w:val="24"/>
          <w:rtl/>
        </w:rPr>
        <w:t>ם</w:t>
      </w:r>
      <w:r w:rsidRPr="00D11650">
        <w:rPr>
          <w:rFonts w:hint="cs"/>
          <w:sz w:val="24"/>
          <w:rtl/>
        </w:rPr>
        <w:t xml:space="preserve"> נידונים במסגרות נבדלות </w:t>
      </w:r>
      <w:r>
        <w:rPr>
          <w:rFonts w:hint="cs"/>
          <w:sz w:val="24"/>
          <w:rtl/>
        </w:rPr>
        <w:t>נ</w:t>
      </w:r>
      <w:r w:rsidRPr="00D11650">
        <w:rPr>
          <w:rFonts w:hint="cs"/>
          <w:sz w:val="24"/>
          <w:rtl/>
        </w:rPr>
        <w:t xml:space="preserve">וספות, </w:t>
      </w:r>
      <w:r>
        <w:rPr>
          <w:rFonts w:hint="cs"/>
          <w:sz w:val="24"/>
          <w:rtl/>
        </w:rPr>
        <w:t xml:space="preserve">למשל </w:t>
      </w:r>
      <w:r w:rsidRPr="006733C5">
        <w:rPr>
          <w:rFonts w:hint="cs"/>
          <w:sz w:val="24"/>
          <w:rtl/>
        </w:rPr>
        <w:t>בפורומים של רגולטורים של המערכת הבנקאית והבנקים המרכזיים כמו ה-</w:t>
      </w:r>
      <w:r w:rsidRPr="00686209">
        <w:t>NGFS</w:t>
      </w:r>
      <w:r w:rsidRPr="00E95B4C">
        <w:rPr>
          <w:sz w:val="22"/>
          <w:szCs w:val="22"/>
          <w:rtl/>
        </w:rPr>
        <w:t xml:space="preserve"> </w:t>
      </w:r>
      <w:r w:rsidRPr="006733C5">
        <w:rPr>
          <w:rFonts w:hint="cs"/>
          <w:sz w:val="24"/>
          <w:rtl/>
        </w:rPr>
        <w:t xml:space="preserve">(רשת </w:t>
      </w:r>
      <w:r w:rsidRPr="006733C5">
        <w:rPr>
          <w:rFonts w:hint="cs"/>
          <w:sz w:val="24"/>
          <w:rtl/>
        </w:rPr>
        <w:t>י</w:t>
      </w:r>
      <w:r>
        <w:rPr>
          <w:rFonts w:hint="cs"/>
          <w:sz w:val="24"/>
          <w:rtl/>
        </w:rPr>
        <w:t>י</w:t>
      </w:r>
      <w:r w:rsidRPr="006733C5">
        <w:rPr>
          <w:rFonts w:hint="cs"/>
          <w:sz w:val="24"/>
          <w:rtl/>
        </w:rPr>
        <w:t>רוּק</w:t>
      </w:r>
      <w:r w:rsidRPr="006733C5">
        <w:rPr>
          <w:rFonts w:hint="cs"/>
          <w:sz w:val="24"/>
          <w:rtl/>
        </w:rPr>
        <w:t xml:space="preserve"> המערכת</w:t>
      </w:r>
      <w:r w:rsidRPr="00D11650">
        <w:rPr>
          <w:rFonts w:hint="cs"/>
          <w:sz w:val="24"/>
          <w:rtl/>
        </w:rPr>
        <w:t xml:space="preserve"> הבנקאית) של המפקחים על הבנקים; ה</w:t>
      </w:r>
      <w:r>
        <w:rPr>
          <w:rFonts w:hint="cs"/>
          <w:sz w:val="24"/>
          <w:rtl/>
        </w:rPr>
        <w:t>ה</w:t>
      </w:r>
      <w:r w:rsidRPr="00D11650">
        <w:rPr>
          <w:rFonts w:hint="cs"/>
          <w:sz w:val="24"/>
          <w:rtl/>
        </w:rPr>
        <w:t xml:space="preserve">מלצות של ועדות </w:t>
      </w:r>
      <w:r>
        <w:rPr>
          <w:rFonts w:hint="cs"/>
          <w:sz w:val="24"/>
          <w:rtl/>
        </w:rPr>
        <w:t>ב</w:t>
      </w:r>
      <w:r w:rsidRPr="00432EF3">
        <w:rPr>
          <w:sz w:val="24"/>
          <w:rtl/>
        </w:rPr>
        <w:t>ארגון הבנק להסדרי סליקה בין-לאומיים</w:t>
      </w:r>
      <w:r>
        <w:rPr>
          <w:rStyle w:val="FootnoteReference2"/>
          <w:sz w:val="24"/>
          <w:rtl/>
        </w:rPr>
        <w:footnoteReference w:id="120"/>
      </w:r>
      <w:r w:rsidRPr="00D11650">
        <w:rPr>
          <w:rFonts w:hint="cs"/>
          <w:sz w:val="24"/>
          <w:rtl/>
        </w:rPr>
        <w:t xml:space="preserve">; או </w:t>
      </w:r>
      <w:r w:rsidRPr="00D11650">
        <w:rPr>
          <w:sz w:val="24"/>
          <w:rtl/>
        </w:rPr>
        <w:t>המלצות כוח המשימה בנושא גילויים פיננסיים הקשורים לאקלים (</w:t>
      </w:r>
      <w:r w:rsidRPr="00686209">
        <w:t>TCFD</w:t>
      </w:r>
      <w:r w:rsidRPr="00D11650">
        <w:rPr>
          <w:sz w:val="24"/>
          <w:rtl/>
        </w:rPr>
        <w:t>)</w:t>
      </w:r>
      <w:r w:rsidRPr="00D11650">
        <w:rPr>
          <w:rFonts w:hint="cs"/>
          <w:sz w:val="24"/>
          <w:rtl/>
        </w:rPr>
        <w:t xml:space="preserve"> שנקבעו לבקשת</w:t>
      </w:r>
      <w:r>
        <w:rPr>
          <w:rFonts w:hint="cs"/>
          <w:rtl/>
        </w:rPr>
        <w:t xml:space="preserve"> הבנקים המרכזיים </w:t>
      </w:r>
      <w:r w:rsidRPr="00D11650">
        <w:rPr>
          <w:rFonts w:hint="cs"/>
          <w:sz w:val="24"/>
          <w:rtl/>
        </w:rPr>
        <w:t>של</w:t>
      </w:r>
      <w:r>
        <w:rPr>
          <w:rFonts w:hint="cs"/>
          <w:sz w:val="24"/>
          <w:rtl/>
        </w:rPr>
        <w:t xml:space="preserve"> מדינות</w:t>
      </w:r>
      <w:r w:rsidRPr="00D11650">
        <w:rPr>
          <w:rFonts w:hint="cs"/>
          <w:sz w:val="24"/>
          <w:rtl/>
        </w:rPr>
        <w:t xml:space="preserve"> ה-</w:t>
      </w:r>
      <w:r w:rsidRPr="00686209">
        <w:t>G-20</w:t>
      </w:r>
      <w:r w:rsidRPr="00686209" w:rsidR="00686209">
        <w:rPr>
          <w:rFonts w:hint="cs"/>
          <w:sz w:val="2"/>
          <w:szCs w:val="2"/>
          <w:rtl/>
        </w:rPr>
        <w:t xml:space="preserve"> </w:t>
      </w:r>
      <w:r>
        <w:rPr>
          <w:vertAlign w:val="superscript"/>
        </w:rPr>
        <w:footnoteReference w:id="121"/>
      </w:r>
      <w:r w:rsidRPr="00686209">
        <w:rPr>
          <w:rFonts w:hint="cs"/>
          <w:rtl/>
        </w:rPr>
        <w:t>. מסגרות</w:t>
      </w:r>
      <w:r>
        <w:rPr>
          <w:rFonts w:hint="cs"/>
          <w:sz w:val="24"/>
          <w:rtl/>
        </w:rPr>
        <w:t xml:space="preserve"> </w:t>
      </w:r>
      <w:r w:rsidRPr="0031588E">
        <w:rPr>
          <w:rFonts w:hint="cs"/>
          <w:sz w:val="24"/>
          <w:rtl/>
        </w:rPr>
        <w:t>אלו מתייחסות באופן ממוקד לנושא האקלים</w:t>
      </w:r>
      <w:r>
        <w:rPr>
          <w:rFonts w:hint="cs"/>
          <w:sz w:val="24"/>
          <w:rtl/>
        </w:rPr>
        <w:t>,</w:t>
      </w:r>
      <w:r w:rsidRPr="0031588E">
        <w:rPr>
          <w:rFonts w:hint="cs"/>
          <w:sz w:val="24"/>
          <w:rtl/>
        </w:rPr>
        <w:t xml:space="preserve"> וההמלצות שלהן מתהוות כסטנדרט עולמי בתחום</w:t>
      </w:r>
      <w:r w:rsidRPr="0031588E">
        <w:rPr>
          <w:sz w:val="24"/>
          <w:rtl/>
        </w:rPr>
        <w:t>.</w:t>
      </w:r>
      <w:r w:rsidRPr="0031588E">
        <w:rPr>
          <w:rFonts w:hint="cs"/>
          <w:sz w:val="24"/>
          <w:rtl/>
        </w:rPr>
        <w:t xml:space="preserve"> לנוחות הדיון, </w:t>
      </w:r>
      <w:r w:rsidRPr="0031588E">
        <w:rPr>
          <w:sz w:val="24"/>
          <w:rtl/>
        </w:rPr>
        <w:t xml:space="preserve">השימוש </w:t>
      </w:r>
      <w:r w:rsidRPr="00686209">
        <w:rPr>
          <w:rtl/>
        </w:rPr>
        <w:t xml:space="preserve">במונח </w:t>
      </w:r>
      <w:r w:rsidRPr="00686209">
        <w:t>ESG</w:t>
      </w:r>
      <w:r w:rsidRPr="00686209">
        <w:rPr>
          <w:rtl/>
        </w:rPr>
        <w:t xml:space="preserve"> בחלק</w:t>
      </w:r>
      <w:r w:rsidRPr="0031588E">
        <w:rPr>
          <w:sz w:val="24"/>
          <w:rtl/>
        </w:rPr>
        <w:t xml:space="preserve"> זה</w:t>
      </w:r>
      <w:r w:rsidRPr="0031588E">
        <w:rPr>
          <w:rFonts w:hint="cs"/>
          <w:sz w:val="24"/>
          <w:rtl/>
        </w:rPr>
        <w:t xml:space="preserve"> של דוח המעקב י</w:t>
      </w:r>
      <w:r>
        <w:rPr>
          <w:rFonts w:hint="cs"/>
          <w:sz w:val="24"/>
          <w:rtl/>
        </w:rPr>
        <w:t>י</w:t>
      </w:r>
      <w:r w:rsidRPr="0031588E">
        <w:rPr>
          <w:rFonts w:hint="cs"/>
          <w:sz w:val="24"/>
          <w:rtl/>
        </w:rPr>
        <w:t>עשה במובן הגנרי והרחב של הטמעת שיקולי קיימות, לרבות אקלים, בפעילות העסקית והציבורית של הגופים הנידונים בדוח.</w:t>
      </w:r>
      <w:r>
        <w:rPr>
          <w:rFonts w:hint="cs"/>
          <w:sz w:val="24"/>
          <w:rtl/>
        </w:rPr>
        <w:t xml:space="preserve"> </w:t>
      </w:r>
    </w:p>
    <w:p w:rsidR="00F20E3F" w:rsidRPr="00443DA2" w:rsidP="00686209" w14:paraId="3EB3989E" w14:textId="77777777">
      <w:pPr>
        <w:pStyle w:val="7392"/>
        <w:rPr>
          <w:sz w:val="24"/>
        </w:rPr>
      </w:pPr>
      <w:r>
        <w:rPr>
          <w:rFonts w:hint="cs"/>
          <w:rtl/>
        </w:rPr>
        <w:t xml:space="preserve">במהלך יוני 2023 חלה התקדמות ניכרת </w:t>
      </w:r>
      <w:r w:rsidRPr="006733C5">
        <w:rPr>
          <w:rFonts w:hint="eastAsia"/>
          <w:rtl/>
        </w:rPr>
        <w:t>ברמה</w:t>
      </w:r>
      <w:r w:rsidRPr="006733C5">
        <w:rPr>
          <w:rtl/>
        </w:rPr>
        <w:t xml:space="preserve"> הבי</w:t>
      </w:r>
      <w:r>
        <w:rPr>
          <w:rFonts w:hint="cs"/>
          <w:rtl/>
        </w:rPr>
        <w:t>ן-</w:t>
      </w:r>
      <w:r w:rsidRPr="006733C5">
        <w:rPr>
          <w:rtl/>
        </w:rPr>
        <w:t>לאומית</w:t>
      </w:r>
      <w:r>
        <w:rPr>
          <w:rFonts w:hint="cs"/>
          <w:rtl/>
        </w:rPr>
        <w:t xml:space="preserve"> לכיוון האחדה של סטנדרטים לדיווח בתחום הקיימות ובתחום האקלים,</w:t>
      </w:r>
      <w:r w:rsidRPr="001667D5">
        <w:rPr>
          <w:sz w:val="24"/>
          <w:rtl/>
        </w:rPr>
        <w:t xml:space="preserve"> </w:t>
      </w:r>
      <w:r>
        <w:rPr>
          <w:rFonts w:hint="cs"/>
          <w:sz w:val="24"/>
          <w:rtl/>
        </w:rPr>
        <w:t xml:space="preserve">כאשר </w:t>
      </w:r>
      <w:r w:rsidRPr="001667D5">
        <w:rPr>
          <w:sz w:val="24"/>
          <w:rtl/>
        </w:rPr>
        <w:t xml:space="preserve">מועצת </w:t>
      </w:r>
      <w:r w:rsidRPr="001667D5">
        <w:rPr>
          <w:rFonts w:hint="cs"/>
          <w:sz w:val="24"/>
          <w:rtl/>
        </w:rPr>
        <w:t>הסטנדרטים הבי</w:t>
      </w:r>
      <w:r>
        <w:rPr>
          <w:rFonts w:hint="cs"/>
          <w:sz w:val="24"/>
          <w:rtl/>
        </w:rPr>
        <w:t>ן-</w:t>
      </w:r>
      <w:r w:rsidRPr="001667D5">
        <w:rPr>
          <w:rFonts w:hint="cs"/>
          <w:sz w:val="24"/>
          <w:rtl/>
        </w:rPr>
        <w:t>לאומיים לקיימות (</w:t>
      </w:r>
      <w:r w:rsidRPr="00686209">
        <w:t>International Sustainability Standards Board</w:t>
      </w:r>
      <w:r w:rsidRPr="00686209">
        <w:rPr>
          <w:rFonts w:hint="cs"/>
          <w:rtl/>
        </w:rPr>
        <w:t xml:space="preserve">, להלן </w:t>
      </w:r>
      <w:r w:rsidRPr="00686209">
        <w:t>ISSB -</w:t>
      </w:r>
      <w:r w:rsidRPr="00686209">
        <w:rPr>
          <w:rFonts w:hint="cs"/>
          <w:rtl/>
        </w:rPr>
        <w:t>) אשר בקרן ה-</w:t>
      </w:r>
      <w:r w:rsidRPr="00686209">
        <w:rPr>
          <w:rFonts w:hint="cs"/>
        </w:rPr>
        <w:t>IFRS</w:t>
      </w:r>
      <w:r w:rsidRPr="00686209">
        <w:rPr>
          <w:rFonts w:hint="cs"/>
          <w:rtl/>
        </w:rPr>
        <w:t xml:space="preserve"> (</w:t>
      </w:r>
      <w:r w:rsidRPr="00686209">
        <w:t>International Financial Reporting</w:t>
      </w:r>
      <w:r w:rsidRPr="001667D5">
        <w:rPr>
          <w:sz w:val="24"/>
        </w:rPr>
        <w:t xml:space="preserve"> </w:t>
      </w:r>
      <w:r w:rsidRPr="00686209">
        <w:t>Standards</w:t>
      </w:r>
      <w:r w:rsidRPr="001667D5">
        <w:rPr>
          <w:sz w:val="24"/>
        </w:rPr>
        <w:t xml:space="preserve"> </w:t>
      </w:r>
      <w:r w:rsidRPr="00686209">
        <w:t>foundation</w:t>
      </w:r>
      <w:r w:rsidRPr="001667D5">
        <w:rPr>
          <w:rFonts w:hint="cs"/>
          <w:sz w:val="24"/>
          <w:rtl/>
        </w:rPr>
        <w:t xml:space="preserve">, להלן - </w:t>
      </w:r>
      <w:r w:rsidRPr="00C66D94">
        <w:rPr>
          <w:rFonts w:hint="cs"/>
          <w:szCs w:val="20"/>
        </w:rPr>
        <w:t>IFRS</w:t>
      </w:r>
      <w:r w:rsidRPr="001667D5">
        <w:rPr>
          <w:rFonts w:hint="cs"/>
          <w:sz w:val="24"/>
          <w:rtl/>
        </w:rPr>
        <w:t>)</w:t>
      </w:r>
      <w:r>
        <w:rPr>
          <w:rStyle w:val="FootnoteReference2"/>
          <w:sz w:val="24"/>
          <w:rtl/>
        </w:rPr>
        <w:footnoteReference w:id="122"/>
      </w:r>
      <w:r w:rsidRPr="001667D5">
        <w:rPr>
          <w:rFonts w:hint="cs"/>
          <w:sz w:val="24"/>
          <w:rtl/>
        </w:rPr>
        <w:t xml:space="preserve"> פרסמה לראשונה ביום 26.</w:t>
      </w:r>
      <w:r>
        <w:rPr>
          <w:rFonts w:hint="cs"/>
          <w:sz w:val="24"/>
          <w:rtl/>
        </w:rPr>
        <w:t>6</w:t>
      </w:r>
      <w:r w:rsidRPr="001667D5">
        <w:rPr>
          <w:rFonts w:hint="cs"/>
          <w:sz w:val="24"/>
          <w:rtl/>
        </w:rPr>
        <w:t>.23 סטנדרטים בי</w:t>
      </w:r>
      <w:r>
        <w:rPr>
          <w:rFonts w:hint="cs"/>
          <w:sz w:val="24"/>
          <w:rtl/>
        </w:rPr>
        <w:t>ן-</w:t>
      </w:r>
      <w:r w:rsidRPr="001667D5">
        <w:rPr>
          <w:rFonts w:hint="cs"/>
          <w:sz w:val="24"/>
          <w:rtl/>
        </w:rPr>
        <w:t xml:space="preserve">לאומיים בתחום הקיימות, המחולקים לשני סטים: </w:t>
      </w:r>
      <w:r>
        <w:rPr>
          <w:rFonts w:hint="cs"/>
          <w:sz w:val="24"/>
          <w:rtl/>
        </w:rPr>
        <w:t>(א</w:t>
      </w:r>
      <w:r w:rsidRPr="001667D5">
        <w:rPr>
          <w:rFonts w:hint="cs"/>
          <w:sz w:val="24"/>
          <w:rtl/>
        </w:rPr>
        <w:t xml:space="preserve">) סט סטנדרטים הקרוי </w:t>
      </w:r>
      <w:r>
        <w:rPr>
          <w:rFonts w:hint="cs"/>
          <w:szCs w:val="20"/>
        </w:rPr>
        <w:t>I</w:t>
      </w:r>
      <w:r w:rsidRPr="00C66D94">
        <w:rPr>
          <w:szCs w:val="20"/>
        </w:rPr>
        <w:t>FRS S1</w:t>
      </w:r>
      <w:r w:rsidRPr="00C66D94">
        <w:rPr>
          <w:szCs w:val="20"/>
          <w:rtl/>
        </w:rPr>
        <w:t xml:space="preserve"> </w:t>
      </w:r>
      <w:r w:rsidRPr="001667D5">
        <w:rPr>
          <w:rFonts w:hint="cs"/>
          <w:sz w:val="24"/>
          <w:rtl/>
        </w:rPr>
        <w:t>בעניין</w:t>
      </w:r>
      <w:r w:rsidRPr="001667D5">
        <w:rPr>
          <w:sz w:val="24"/>
          <w:rtl/>
        </w:rPr>
        <w:t xml:space="preserve"> דרישות גילוי </w:t>
      </w:r>
      <w:r w:rsidRPr="001667D5">
        <w:rPr>
          <w:rFonts w:hint="cs"/>
          <w:sz w:val="24"/>
          <w:rtl/>
        </w:rPr>
        <w:t>מ</w:t>
      </w:r>
      <w:r w:rsidRPr="001667D5">
        <w:rPr>
          <w:sz w:val="24"/>
          <w:rtl/>
        </w:rPr>
        <w:t xml:space="preserve">חברות למשקיעים </w:t>
      </w:r>
      <w:r>
        <w:rPr>
          <w:rFonts w:hint="cs"/>
          <w:sz w:val="24"/>
          <w:rtl/>
        </w:rPr>
        <w:t>לגבי</w:t>
      </w:r>
      <w:r w:rsidRPr="001667D5">
        <w:rPr>
          <w:sz w:val="24"/>
          <w:rtl/>
        </w:rPr>
        <w:t xml:space="preserve"> </w:t>
      </w:r>
      <w:r>
        <w:rPr>
          <w:rFonts w:hint="cs"/>
          <w:sz w:val="24"/>
          <w:rtl/>
        </w:rPr>
        <w:t>ה</w:t>
      </w:r>
      <w:r w:rsidRPr="001667D5">
        <w:rPr>
          <w:sz w:val="24"/>
          <w:rtl/>
        </w:rPr>
        <w:t>סיכונים ו</w:t>
      </w:r>
      <w:r>
        <w:rPr>
          <w:rFonts w:hint="cs"/>
          <w:sz w:val="24"/>
          <w:rtl/>
        </w:rPr>
        <w:t>ה</w:t>
      </w:r>
      <w:r w:rsidRPr="001667D5">
        <w:rPr>
          <w:sz w:val="24"/>
          <w:rtl/>
        </w:rPr>
        <w:t>הזדמנויות הקשורות לקיימות בטווח הקצר, הבינוני והארוך</w:t>
      </w:r>
      <w:r w:rsidRPr="001667D5">
        <w:rPr>
          <w:rFonts w:hint="cs"/>
          <w:sz w:val="24"/>
          <w:rtl/>
        </w:rPr>
        <w:t xml:space="preserve">; </w:t>
      </w:r>
      <w:r>
        <w:rPr>
          <w:rFonts w:hint="cs"/>
          <w:sz w:val="24"/>
          <w:rtl/>
        </w:rPr>
        <w:t>(ב</w:t>
      </w:r>
      <w:r w:rsidRPr="001667D5">
        <w:rPr>
          <w:rFonts w:hint="cs"/>
          <w:sz w:val="24"/>
          <w:rtl/>
        </w:rPr>
        <w:t xml:space="preserve">) סט סטנדרטים </w:t>
      </w:r>
      <w:r w:rsidRPr="00686209">
        <w:rPr>
          <w:rFonts w:hint="cs"/>
          <w:rtl/>
        </w:rPr>
        <w:t>משלים, הקרוי</w:t>
      </w:r>
      <w:r w:rsidRPr="00686209">
        <w:rPr>
          <w:rtl/>
        </w:rPr>
        <w:t xml:space="preserve"> </w:t>
      </w:r>
      <w:r w:rsidRPr="00686209">
        <w:t>IFRS S2</w:t>
      </w:r>
      <w:r w:rsidRPr="00686209">
        <w:rPr>
          <w:rFonts w:hint="cs"/>
          <w:rtl/>
        </w:rPr>
        <w:t>,</w:t>
      </w:r>
      <w:r w:rsidRPr="001667D5">
        <w:rPr>
          <w:rFonts w:hint="cs"/>
          <w:sz w:val="24"/>
          <w:rtl/>
        </w:rPr>
        <w:t xml:space="preserve"> אשר</w:t>
      </w:r>
      <w:r w:rsidRPr="001667D5">
        <w:rPr>
          <w:sz w:val="24"/>
          <w:rtl/>
        </w:rPr>
        <w:t xml:space="preserve"> </w:t>
      </w:r>
      <w:r w:rsidRPr="001667D5">
        <w:rPr>
          <w:rFonts w:hint="cs"/>
          <w:sz w:val="24"/>
          <w:rtl/>
        </w:rPr>
        <w:t>קובע חובות</w:t>
      </w:r>
      <w:r w:rsidRPr="001667D5">
        <w:rPr>
          <w:sz w:val="24"/>
          <w:rtl/>
        </w:rPr>
        <w:t xml:space="preserve"> גילוי ספציפי</w:t>
      </w:r>
      <w:r w:rsidRPr="001667D5">
        <w:rPr>
          <w:rFonts w:hint="cs"/>
          <w:sz w:val="24"/>
          <w:rtl/>
        </w:rPr>
        <w:t>ות</w:t>
      </w:r>
      <w:r w:rsidRPr="001667D5">
        <w:rPr>
          <w:sz w:val="24"/>
          <w:rtl/>
        </w:rPr>
        <w:t xml:space="preserve"> </w:t>
      </w:r>
      <w:r w:rsidRPr="001667D5">
        <w:rPr>
          <w:rFonts w:hint="cs"/>
          <w:sz w:val="24"/>
          <w:rtl/>
        </w:rPr>
        <w:t>בתחום</w:t>
      </w:r>
      <w:r w:rsidRPr="001667D5">
        <w:rPr>
          <w:sz w:val="24"/>
          <w:rtl/>
        </w:rPr>
        <w:t xml:space="preserve"> </w:t>
      </w:r>
      <w:r>
        <w:rPr>
          <w:rFonts w:hint="cs"/>
          <w:sz w:val="24"/>
          <w:rtl/>
        </w:rPr>
        <w:t>ה</w:t>
      </w:r>
      <w:r w:rsidRPr="001667D5">
        <w:rPr>
          <w:sz w:val="24"/>
          <w:rtl/>
        </w:rPr>
        <w:t>אקלים ונועד לש</w:t>
      </w:r>
      <w:r w:rsidRPr="001667D5">
        <w:rPr>
          <w:rFonts w:hint="cs"/>
          <w:sz w:val="24"/>
          <w:rtl/>
        </w:rPr>
        <w:t>י</w:t>
      </w:r>
      <w:r w:rsidRPr="001667D5">
        <w:rPr>
          <w:sz w:val="24"/>
          <w:rtl/>
        </w:rPr>
        <w:t>מ</w:t>
      </w:r>
      <w:r w:rsidRPr="001667D5">
        <w:rPr>
          <w:rFonts w:hint="cs"/>
          <w:sz w:val="24"/>
          <w:rtl/>
        </w:rPr>
        <w:t>וש במשותף עם הסט הקודם</w:t>
      </w:r>
      <w:r w:rsidRPr="001667D5">
        <w:rPr>
          <w:sz w:val="24"/>
          <w:rtl/>
        </w:rPr>
        <w:t>.</w:t>
      </w:r>
      <w:r w:rsidRPr="001667D5">
        <w:rPr>
          <w:rFonts w:hint="cs"/>
          <w:sz w:val="24"/>
          <w:rtl/>
        </w:rPr>
        <w:t xml:space="preserve"> </w:t>
      </w:r>
      <w:r w:rsidRPr="00443DA2">
        <w:rPr>
          <w:rFonts w:hint="cs"/>
          <w:sz w:val="24"/>
          <w:rtl/>
        </w:rPr>
        <w:t>הסטנדרטים מטמיעים באופן מלא את</w:t>
      </w:r>
      <w:r w:rsidRPr="00443DA2">
        <w:rPr>
          <w:sz w:val="24"/>
          <w:rtl/>
        </w:rPr>
        <w:t xml:space="preserve"> המלצות </w:t>
      </w:r>
      <w:r w:rsidRPr="00443DA2">
        <w:rPr>
          <w:rFonts w:hint="cs"/>
          <w:sz w:val="24"/>
          <w:rtl/>
        </w:rPr>
        <w:t>ה-</w:t>
      </w:r>
      <w:r w:rsidRPr="00443DA2">
        <w:rPr>
          <w:szCs w:val="20"/>
        </w:rPr>
        <w:t>TCFD</w:t>
      </w:r>
      <w:r w:rsidRPr="00443DA2">
        <w:rPr>
          <w:rFonts w:hint="cs"/>
          <w:sz w:val="24"/>
          <w:rtl/>
        </w:rPr>
        <w:t xml:space="preserve"> שנידון בדוח הקודם (להלן - הסטנדרטים לדיווח בנושא קיימות ואקלים של ה-</w:t>
      </w:r>
      <w:r w:rsidRPr="00686209">
        <w:rPr>
          <w:rFonts w:hint="cs"/>
        </w:rPr>
        <w:t>I</w:t>
      </w:r>
      <w:r w:rsidRPr="00686209">
        <w:t>FRS</w:t>
      </w:r>
      <w:r w:rsidRPr="00443DA2">
        <w:rPr>
          <w:rFonts w:hint="cs"/>
          <w:sz w:val="24"/>
          <w:rtl/>
        </w:rPr>
        <w:t>)</w:t>
      </w:r>
      <w:r>
        <w:rPr>
          <w:rStyle w:val="FootnoteReference2"/>
          <w:sz w:val="24"/>
          <w:rtl/>
        </w:rPr>
        <w:footnoteReference w:id="123"/>
      </w:r>
      <w:r w:rsidRPr="00443DA2">
        <w:rPr>
          <w:sz w:val="24"/>
          <w:rtl/>
        </w:rPr>
        <w:t>.</w:t>
      </w:r>
    </w:p>
    <w:p w:rsidR="00F20E3F" w:rsidRPr="00A55EDB" w:rsidP="00686209" w14:paraId="0AF2CD54" w14:textId="77777777">
      <w:pPr>
        <w:pStyle w:val="7392"/>
        <w:rPr>
          <w:sz w:val="24"/>
          <w:rtl/>
        </w:rPr>
      </w:pPr>
      <w:r w:rsidRPr="00443DA2">
        <w:rPr>
          <w:rFonts w:hint="cs"/>
          <w:rtl/>
        </w:rPr>
        <w:t xml:space="preserve">להשלמת התמונה יצוין כי קיימת מסגרת מרכזית נוספת לחובות דיווח וגילוי, זו המיושמת </w:t>
      </w:r>
      <w:r w:rsidRPr="00443DA2">
        <w:rPr>
          <w:rFonts w:hint="cs"/>
          <w:sz w:val="24"/>
          <w:rtl/>
        </w:rPr>
        <w:t xml:space="preserve">באיחוד האירופי מאז קבלת הרגולציה של האיחוד בעניין משנת 2018 </w:t>
      </w:r>
      <w:r w:rsidRPr="00686209">
        <w:rPr>
          <w:rFonts w:hint="cs"/>
          <w:rtl/>
        </w:rPr>
        <w:t xml:space="preserve">בשם - </w:t>
      </w:r>
      <w:r w:rsidRPr="00686209">
        <w:rPr>
          <w:rFonts w:hint="cs"/>
        </w:rPr>
        <w:t>SF</w:t>
      </w:r>
      <w:r w:rsidRPr="00686209">
        <w:t>DR</w:t>
      </w:r>
      <w:r w:rsidRPr="00686209">
        <w:rPr>
          <w:rFonts w:hint="cs"/>
          <w:rtl/>
        </w:rPr>
        <w:t xml:space="preserve"> (</w:t>
      </w:r>
      <w:r w:rsidRPr="00686209">
        <w:t xml:space="preserve">Sustainable Finance </w:t>
      </w:r>
      <w:r w:rsidRPr="00686209">
        <w:t>Disclosure Regulation</w:t>
      </w:r>
      <w:r w:rsidRPr="00686209">
        <w:rPr>
          <w:rFonts w:hint="cs"/>
          <w:rtl/>
        </w:rPr>
        <w:t>) וא</w:t>
      </w:r>
      <w:r w:rsidRPr="00A55EDB">
        <w:rPr>
          <w:rFonts w:hint="cs"/>
          <w:sz w:val="24"/>
          <w:rtl/>
        </w:rPr>
        <w:t>שר מאז עברה הרחבות נוספות</w:t>
      </w:r>
      <w:r>
        <w:rPr>
          <w:rFonts w:hint="cs"/>
          <w:sz w:val="24"/>
          <w:rtl/>
        </w:rPr>
        <w:t>, האחרונה שבהן תיכ</w:t>
      </w:r>
      <w:r w:rsidRPr="006733C5">
        <w:rPr>
          <w:rFonts w:hint="eastAsia"/>
          <w:sz w:val="24"/>
          <w:rtl/>
        </w:rPr>
        <w:t>נ</w:t>
      </w:r>
      <w:r>
        <w:rPr>
          <w:rFonts w:hint="cs"/>
          <w:sz w:val="24"/>
          <w:rtl/>
        </w:rPr>
        <w:t>ס לתוקף בינואר 2024, והיא מחייבת את המדינות החברות בו</w:t>
      </w:r>
      <w:r>
        <w:rPr>
          <w:rStyle w:val="FootnoteReference2"/>
          <w:sz w:val="24"/>
          <w:rtl/>
        </w:rPr>
        <w:footnoteReference w:id="124"/>
      </w:r>
      <w:r>
        <w:rPr>
          <w:rFonts w:hint="cs"/>
          <w:sz w:val="24"/>
          <w:rtl/>
        </w:rPr>
        <w:t>.</w:t>
      </w:r>
    </w:p>
    <w:p w:rsidR="00F20E3F" w:rsidRPr="00A91180" w:rsidP="007B7A97" w14:paraId="00D58038" w14:textId="73B35E57">
      <w:pPr>
        <w:pStyle w:val="73414"/>
        <w:rPr>
          <w:rtl/>
        </w:rPr>
      </w:pPr>
      <w:r w:rsidRPr="00A91180">
        <w:rPr>
          <w:rtl/>
        </w:rPr>
        <w:t xml:space="preserve">סיכוני אקלים במערכת הבנקאות </w:t>
      </w:r>
      <w:r>
        <w:rPr>
          <w:rFonts w:hint="cs"/>
          <w:rtl/>
        </w:rPr>
        <w:t xml:space="preserve">- פעולות המפקח </w:t>
      </w:r>
      <w:r w:rsidR="00686209">
        <w:rPr>
          <w:rtl/>
        </w:rPr>
        <w:br/>
      </w:r>
      <w:r>
        <w:rPr>
          <w:rFonts w:hint="cs"/>
          <w:rtl/>
        </w:rPr>
        <w:t>על הבנקים</w:t>
      </w:r>
    </w:p>
    <w:p w:rsidR="00F20E3F" w:rsidRPr="0096627E" w:rsidP="0096627E" w14:paraId="57B223DF" w14:textId="77777777">
      <w:pPr>
        <w:pStyle w:val="73120"/>
        <w:rPr>
          <w:rtl/>
        </w:rPr>
      </w:pPr>
      <w:r w:rsidRPr="0096627E">
        <w:rPr>
          <w:rtl/>
        </w:rPr>
        <w:t>הדוח הקודם</w:t>
      </w:r>
    </w:p>
    <w:p w:rsidR="00F20E3F" w:rsidRPr="0096627E" w:rsidP="0096627E" w14:paraId="6816FA63" w14:textId="77777777">
      <w:pPr>
        <w:pStyle w:val="7392"/>
        <w:rPr>
          <w:rtl/>
        </w:rPr>
      </w:pPr>
      <w:r w:rsidRPr="0096627E">
        <w:rPr>
          <w:rStyle w:val="7371"/>
          <w:rFonts w:hint="eastAsia"/>
          <w:color w:val="0073C3"/>
          <w:rtl/>
        </w:rPr>
        <w:t>הליקוי</w:t>
      </w:r>
      <w:r w:rsidRPr="0096627E">
        <w:rPr>
          <w:rStyle w:val="7371"/>
          <w:color w:val="0073C3"/>
          <w:rtl/>
        </w:rPr>
        <w:t>:</w:t>
      </w:r>
      <w:r w:rsidRPr="0096627E">
        <w:rPr>
          <w:rFonts w:hint="cs"/>
          <w:color w:val="0073C3"/>
          <w:rtl/>
        </w:rPr>
        <w:t xml:space="preserve"> </w:t>
      </w:r>
      <w:r w:rsidRPr="0096627E">
        <w:rPr>
          <w:rtl/>
        </w:rPr>
        <w:t>בשנת 2009 פרסם ה</w:t>
      </w:r>
      <w:r w:rsidRPr="0096627E">
        <w:rPr>
          <w:rFonts w:hint="cs"/>
          <w:rtl/>
        </w:rPr>
        <w:t>מפקח</w:t>
      </w:r>
      <w:r w:rsidRPr="0096627E">
        <w:rPr>
          <w:rtl/>
        </w:rPr>
        <w:t xml:space="preserve"> על הבנקים מכתב לתאגידים הבנקאיים בנושא סיכונים סביבתיים. במכתב נדרשו התאגידים הבנקאיים לזהות ולהעריך את הסיכון הסביבתי כחלק מתהליך הערכת סיכונים ולפעול להטמעת ניהול החשיפה לסיכון הסביבתי</w:t>
      </w:r>
      <w:r w:rsidRPr="0096627E">
        <w:rPr>
          <w:rFonts w:hint="cs"/>
          <w:rtl/>
        </w:rPr>
        <w:t xml:space="preserve">. הועלה כי </w:t>
      </w:r>
      <w:r w:rsidRPr="0096627E">
        <w:rPr>
          <w:rtl/>
        </w:rPr>
        <w:t xml:space="preserve">המכתב </w:t>
      </w:r>
      <w:r w:rsidRPr="0096627E">
        <w:rPr>
          <w:rFonts w:hint="cs"/>
          <w:rtl/>
        </w:rPr>
        <w:t xml:space="preserve">אינו מזכיר במפורש את שינויי האקלים, ואין בו פירוט של </w:t>
      </w:r>
      <w:r w:rsidRPr="0096627E">
        <w:rPr>
          <w:rtl/>
        </w:rPr>
        <w:t xml:space="preserve">מנגנוני ההטמעה הנדרשים כדי ליישם את הנחיותיו. הדבר מותיר שיקול דעת רחב לתאגידים הבנקאיים לגבי אופן הטמעתם, דבר שאינו מקדם אחידות במערכת הבנקאית. </w:t>
      </w:r>
    </w:p>
    <w:p w:rsidR="00F20E3F" w:rsidRPr="0096627E" w:rsidP="0096627E" w14:paraId="54909E5A" w14:textId="77777777">
      <w:pPr>
        <w:pStyle w:val="7392"/>
        <w:rPr>
          <w:rtl/>
        </w:rPr>
      </w:pPr>
      <w:r w:rsidRPr="0096627E">
        <w:rPr>
          <w:rStyle w:val="7371"/>
          <w:rFonts w:hint="eastAsia"/>
          <w:color w:val="0073C3"/>
          <w:rtl/>
        </w:rPr>
        <w:t>ההמלצה</w:t>
      </w:r>
      <w:r w:rsidRPr="0096627E">
        <w:rPr>
          <w:rStyle w:val="7371"/>
          <w:color w:val="0073C3"/>
          <w:rtl/>
        </w:rPr>
        <w:t>:</w:t>
      </w:r>
      <w:r w:rsidRPr="0096627E">
        <w:rPr>
          <w:rtl/>
        </w:rPr>
        <w:t xml:space="preserve"> </w:t>
      </w:r>
      <w:r w:rsidRPr="0096627E">
        <w:rPr>
          <w:rFonts w:hint="cs"/>
          <w:rtl/>
        </w:rPr>
        <w:t>ה</w:t>
      </w:r>
      <w:r w:rsidRPr="0096627E">
        <w:rPr>
          <w:rtl/>
        </w:rPr>
        <w:t>ומלץ כי ה</w:t>
      </w:r>
      <w:r w:rsidRPr="0096627E">
        <w:rPr>
          <w:rFonts w:hint="cs"/>
          <w:rtl/>
        </w:rPr>
        <w:t>פיקוח</w:t>
      </w:r>
      <w:r w:rsidRPr="0096627E">
        <w:rPr>
          <w:rtl/>
        </w:rPr>
        <w:t xml:space="preserve"> על הבנקים ימשיך ויקדם את הטיפול בסיכונים הפיננסיים הנובעים משינויי האקלים במערכת הבנקאית, ועל בסיס זאת</w:t>
      </w:r>
      <w:r w:rsidRPr="0096627E">
        <w:rPr>
          <w:rFonts w:hint="cs"/>
          <w:rtl/>
        </w:rPr>
        <w:t xml:space="preserve"> בין היתר </w:t>
      </w:r>
      <w:r w:rsidRPr="0096627E">
        <w:rPr>
          <w:rtl/>
        </w:rPr>
        <w:t>יעדכן את הנחיותיו למפוקחים באופן שיקדם את הטמעת סיכוני האקלים</w:t>
      </w:r>
      <w:r w:rsidRPr="0096627E">
        <w:rPr>
          <w:rFonts w:hint="cs"/>
          <w:rtl/>
        </w:rPr>
        <w:t>,</w:t>
      </w:r>
      <w:r w:rsidRPr="0096627E">
        <w:rPr>
          <w:rtl/>
        </w:rPr>
        <w:t xml:space="preserve"> ו</w:t>
      </w:r>
      <w:r w:rsidRPr="0096627E">
        <w:rPr>
          <w:rFonts w:hint="cs"/>
          <w:rtl/>
        </w:rPr>
        <w:t xml:space="preserve">כן </w:t>
      </w:r>
      <w:r w:rsidRPr="0096627E">
        <w:rPr>
          <w:rtl/>
        </w:rPr>
        <w:t>יקבע לעצמו עקרונות ניטור בעניין</w:t>
      </w:r>
      <w:r w:rsidRPr="0096627E">
        <w:rPr>
          <w:rFonts w:hint="cs"/>
          <w:rtl/>
        </w:rPr>
        <w:t xml:space="preserve">; </w:t>
      </w:r>
      <w:r w:rsidRPr="0096627E">
        <w:rPr>
          <w:rtl/>
        </w:rPr>
        <w:t>יבחן היבטים ביציבות המערכת הבנקאית בהקשר של סיכוני אקלים ויגזור מכך פעולות נוספות כמו ביצוע מבחני דחק וקידום כללי גילוי</w:t>
      </w:r>
      <w:r w:rsidRPr="0096627E">
        <w:rPr>
          <w:rFonts w:hint="cs"/>
          <w:rtl/>
        </w:rPr>
        <w:t xml:space="preserve"> ודיווח על ידי תאגידים בנקאיים</w:t>
      </w:r>
      <w:r w:rsidRPr="0096627E">
        <w:rPr>
          <w:rtl/>
        </w:rPr>
        <w:t>.</w:t>
      </w:r>
    </w:p>
    <w:p w:rsidR="00F20E3F" w:rsidRPr="0096627E" w:rsidP="0096627E" w14:paraId="4B17BC3C" w14:textId="77777777">
      <w:pPr>
        <w:pStyle w:val="7392"/>
        <w:rPr>
          <w:rtl/>
        </w:rPr>
      </w:pPr>
      <w:r w:rsidRPr="0096627E">
        <w:rPr>
          <w:rStyle w:val="7371"/>
          <w:color w:val="0073C3"/>
          <w:rtl/>
        </w:rPr>
        <w:t xml:space="preserve">תגובת </w:t>
      </w:r>
      <w:r w:rsidRPr="0096627E">
        <w:rPr>
          <w:rStyle w:val="7371"/>
          <w:rFonts w:hint="cs"/>
          <w:color w:val="0073C3"/>
          <w:rtl/>
        </w:rPr>
        <w:t>בנק ישראל</w:t>
      </w:r>
      <w:r w:rsidRPr="0096627E">
        <w:rPr>
          <w:rStyle w:val="7371"/>
          <w:color w:val="0073C3"/>
          <w:rtl/>
        </w:rPr>
        <w:t xml:space="preserve"> על הדוח הקודם</w:t>
      </w:r>
      <w:r w:rsidRPr="0096627E">
        <w:rPr>
          <w:rStyle w:val="7371"/>
          <w:rFonts w:hint="cs"/>
          <w:color w:val="0073C3"/>
          <w:rtl/>
        </w:rPr>
        <w:t>:</w:t>
      </w:r>
      <w:r w:rsidRPr="0096627E">
        <w:rPr>
          <w:rStyle w:val="7"/>
          <w:rFonts w:eastAsiaTheme="minorHAnsi" w:hint="cs"/>
          <w:bCs w:val="0"/>
          <w:spacing w:val="0"/>
          <w:rtl/>
        </w:rPr>
        <w:t xml:space="preserve"> </w:t>
      </w:r>
      <w:r w:rsidRPr="0096627E">
        <w:rPr>
          <w:rFonts w:hint="cs"/>
          <w:rtl/>
        </w:rPr>
        <w:t xml:space="preserve">בנק ישראל מסר כי </w:t>
      </w:r>
      <w:r w:rsidRPr="0096627E">
        <w:rPr>
          <w:rtl/>
        </w:rPr>
        <w:t>מתקיימת בנושא</w:t>
      </w:r>
      <w:r w:rsidRPr="0096627E">
        <w:rPr>
          <w:rFonts w:hint="cs"/>
          <w:rtl/>
        </w:rPr>
        <w:t xml:space="preserve"> </w:t>
      </w:r>
      <w:r w:rsidRPr="0096627E">
        <w:rPr>
          <w:rtl/>
        </w:rPr>
        <w:t xml:space="preserve">סיכוני האקלים בקרב תאגידים בנקאיים פעילות ענפה ההולמת את היקף הסיכונים ואת גישת הפיקוח מבוסס סיכון </w:t>
      </w:r>
      <w:r w:rsidRPr="0096627E">
        <w:rPr>
          <w:rFonts w:hint="cs"/>
          <w:rtl/>
        </w:rPr>
        <w:t>ש</w:t>
      </w:r>
      <w:r w:rsidRPr="0096627E">
        <w:rPr>
          <w:rtl/>
        </w:rPr>
        <w:t>על פיו פועל</w:t>
      </w:r>
      <w:r w:rsidRPr="0096627E">
        <w:rPr>
          <w:rFonts w:hint="cs"/>
          <w:rtl/>
        </w:rPr>
        <w:t>ים</w:t>
      </w:r>
      <w:r w:rsidRPr="0096627E">
        <w:rPr>
          <w:rtl/>
        </w:rPr>
        <w:t xml:space="preserve"> </w:t>
      </w:r>
      <w:r w:rsidRPr="0096627E">
        <w:rPr>
          <w:rFonts w:hint="cs"/>
          <w:rtl/>
        </w:rPr>
        <w:t>הפיקוח</w:t>
      </w:r>
      <w:r w:rsidRPr="0096627E">
        <w:rPr>
          <w:rtl/>
        </w:rPr>
        <w:t xml:space="preserve"> על הבנקים</w:t>
      </w:r>
      <w:r w:rsidRPr="0096627E">
        <w:rPr>
          <w:rFonts w:hint="cs"/>
          <w:rtl/>
        </w:rPr>
        <w:t xml:space="preserve"> </w:t>
      </w:r>
      <w:r w:rsidRPr="0096627E">
        <w:rPr>
          <w:rtl/>
        </w:rPr>
        <w:t>והרגולטורים הפיננסים המובילים בעולם</w:t>
      </w:r>
      <w:r w:rsidRPr="0096627E">
        <w:rPr>
          <w:rFonts w:hint="cs"/>
          <w:rtl/>
        </w:rPr>
        <w:t>. נוסף על כך נמסר כי הפיקוח על הבנקים</w:t>
      </w:r>
      <w:r w:rsidRPr="0096627E">
        <w:rPr>
          <w:rtl/>
        </w:rPr>
        <w:t xml:space="preserve"> </w:t>
      </w:r>
      <w:r w:rsidRPr="0096627E">
        <w:rPr>
          <w:rFonts w:hint="cs"/>
          <w:rtl/>
        </w:rPr>
        <w:t xml:space="preserve">מגבש </w:t>
      </w:r>
      <w:r w:rsidRPr="0096627E">
        <w:rPr>
          <w:rtl/>
        </w:rPr>
        <w:t>רגולציה ייעודית לסיכוני האקלים</w:t>
      </w:r>
      <w:r w:rsidRPr="0096627E">
        <w:rPr>
          <w:rFonts w:hint="cs"/>
          <w:rtl/>
        </w:rPr>
        <w:t>,</w:t>
      </w:r>
      <w:r w:rsidRPr="0096627E">
        <w:rPr>
          <w:rtl/>
        </w:rPr>
        <w:t xml:space="preserve"> ו</w:t>
      </w:r>
      <w:r w:rsidRPr="0096627E">
        <w:rPr>
          <w:rFonts w:hint="cs"/>
          <w:rtl/>
        </w:rPr>
        <w:t xml:space="preserve">הוא </w:t>
      </w:r>
      <w:r w:rsidRPr="0096627E">
        <w:rPr>
          <w:rtl/>
        </w:rPr>
        <w:t xml:space="preserve">קבע לוחות זמנים ואבני דרך ברורים </w:t>
      </w:r>
      <w:r w:rsidRPr="0096627E">
        <w:rPr>
          <w:rtl/>
        </w:rPr>
        <w:t>לאסד</w:t>
      </w:r>
      <w:r w:rsidRPr="0096627E">
        <w:rPr>
          <w:rFonts w:hint="cs"/>
          <w:rtl/>
        </w:rPr>
        <w:t>ר</w:t>
      </w:r>
      <w:r w:rsidRPr="0096627E">
        <w:rPr>
          <w:rtl/>
        </w:rPr>
        <w:t>ת</w:t>
      </w:r>
      <w:r w:rsidRPr="0096627E">
        <w:rPr>
          <w:rtl/>
        </w:rPr>
        <w:t xml:space="preserve"> הנושא. </w:t>
      </w:r>
      <w:r w:rsidRPr="0096627E">
        <w:rPr>
          <w:rFonts w:hint="cs"/>
          <w:rtl/>
        </w:rPr>
        <w:t>עוד צוין בתגובה כי הפיקוח על הבנקים ממתין לפרסום של רגולציה בנקאית עולמית בנושא כדי ללמוד מניסיון אחרים ביישום רגולציה זו.</w:t>
      </w:r>
    </w:p>
    <w:p w:rsidR="00F20E3F" w:rsidRPr="0096627E" w:rsidP="0096627E" w14:paraId="689D25F5" w14:textId="77777777">
      <w:pPr>
        <w:pStyle w:val="7392"/>
        <w:rPr>
          <w:rtl/>
        </w:rPr>
      </w:pPr>
      <w:r w:rsidRPr="0096627E">
        <w:rPr>
          <w:rFonts w:hint="cs"/>
          <w:rtl/>
        </w:rPr>
        <w:t xml:space="preserve">כמו כן </w:t>
      </w:r>
      <w:r w:rsidRPr="0096627E">
        <w:rPr>
          <w:rtl/>
        </w:rPr>
        <w:t xml:space="preserve">לאחרונה פרסם </w:t>
      </w:r>
      <w:r w:rsidRPr="0096627E">
        <w:rPr>
          <w:rFonts w:hint="cs"/>
          <w:rtl/>
        </w:rPr>
        <w:t xml:space="preserve">הפיקוח על הבנקים </w:t>
      </w:r>
      <w:r w:rsidRPr="0096627E">
        <w:rPr>
          <w:rtl/>
        </w:rPr>
        <w:t xml:space="preserve">עדכון להוראות הדיווח </w:t>
      </w:r>
      <w:r w:rsidRPr="0096627E">
        <w:rPr>
          <w:rFonts w:hint="cs"/>
          <w:rtl/>
        </w:rPr>
        <w:t xml:space="preserve">של הבנקים </w:t>
      </w:r>
      <w:r w:rsidRPr="0096627E">
        <w:rPr>
          <w:rtl/>
        </w:rPr>
        <w:t xml:space="preserve">לציבור אשר מרחיב משמעותית את הגילוי הנדרש על סיכונים סביבתיים ועל היבטי סביבה, חברה וממשל </w:t>
      </w:r>
      <w:r w:rsidRPr="0096627E">
        <w:rPr>
          <w:rFonts w:hint="cs"/>
          <w:rtl/>
        </w:rPr>
        <w:t xml:space="preserve">בהתאם </w:t>
      </w:r>
      <w:r w:rsidRPr="0096627E">
        <w:rPr>
          <w:rtl/>
        </w:rPr>
        <w:t>לסטנדרטים העדכניים בעולם</w:t>
      </w:r>
      <w:r w:rsidRPr="0096627E">
        <w:rPr>
          <w:rFonts w:hint="cs"/>
          <w:rtl/>
        </w:rPr>
        <w:t xml:space="preserve">; </w:t>
      </w:r>
      <w:r w:rsidRPr="0096627E">
        <w:rPr>
          <w:rtl/>
        </w:rPr>
        <w:t xml:space="preserve">לרבות גילוי בדוח הדירקטוריון וההנהלה </w:t>
      </w:r>
      <w:r w:rsidRPr="0096627E">
        <w:rPr>
          <w:rFonts w:hint="cs"/>
          <w:rtl/>
        </w:rPr>
        <w:t>בנוגע ל</w:t>
      </w:r>
      <w:r w:rsidRPr="0096627E">
        <w:rPr>
          <w:rtl/>
        </w:rPr>
        <w:t xml:space="preserve">מדדי </w:t>
      </w:r>
      <w:r w:rsidRPr="0096627E">
        <w:rPr>
          <w:rFonts w:hint="cs"/>
          <w:rtl/>
        </w:rPr>
        <w:t>ה</w:t>
      </w:r>
      <w:r w:rsidRPr="0096627E">
        <w:rPr>
          <w:rtl/>
        </w:rPr>
        <w:t xml:space="preserve">סביבה, </w:t>
      </w:r>
      <w:r w:rsidRPr="0096627E">
        <w:rPr>
          <w:rFonts w:hint="cs"/>
          <w:rtl/>
        </w:rPr>
        <w:t>ה</w:t>
      </w:r>
      <w:r w:rsidRPr="0096627E">
        <w:rPr>
          <w:rtl/>
        </w:rPr>
        <w:t>חברה ו</w:t>
      </w:r>
      <w:r w:rsidRPr="0096627E">
        <w:rPr>
          <w:rFonts w:hint="cs"/>
          <w:rtl/>
        </w:rPr>
        <w:t>ה</w:t>
      </w:r>
      <w:r w:rsidRPr="0096627E">
        <w:rPr>
          <w:rtl/>
        </w:rPr>
        <w:t xml:space="preserve">ממשל </w:t>
      </w:r>
      <w:r w:rsidRPr="0096627E">
        <w:rPr>
          <w:rFonts w:hint="cs"/>
          <w:rtl/>
        </w:rPr>
        <w:t>ה</w:t>
      </w:r>
      <w:r w:rsidRPr="0096627E">
        <w:rPr>
          <w:rtl/>
        </w:rPr>
        <w:t>עיקריים</w:t>
      </w:r>
      <w:r w:rsidRPr="0096627E">
        <w:rPr>
          <w:rFonts w:hint="cs"/>
          <w:rtl/>
        </w:rPr>
        <w:t xml:space="preserve"> </w:t>
      </w:r>
      <w:r w:rsidRPr="0096627E">
        <w:t>(ESG)</w:t>
      </w:r>
      <w:r w:rsidRPr="0096627E">
        <w:rPr>
          <w:rFonts w:hint="cs"/>
          <w:rtl/>
        </w:rPr>
        <w:t xml:space="preserve">, </w:t>
      </w:r>
      <w:r w:rsidRPr="0096627E">
        <w:rPr>
          <w:rtl/>
        </w:rPr>
        <w:t xml:space="preserve">ולאופן שבו </w:t>
      </w:r>
      <w:r w:rsidRPr="0096627E">
        <w:rPr>
          <w:rFonts w:hint="cs"/>
          <w:rtl/>
        </w:rPr>
        <w:t xml:space="preserve">מדדים </w:t>
      </w:r>
      <w:r w:rsidRPr="0096627E">
        <w:rPr>
          <w:rtl/>
        </w:rPr>
        <w:t xml:space="preserve">אלה משתלבים באסטרטגיה של התאגיד הבנקאי; </w:t>
      </w:r>
      <w:r w:rsidRPr="0096627E">
        <w:rPr>
          <w:rFonts w:hint="cs"/>
          <w:rtl/>
        </w:rPr>
        <w:t>ו</w:t>
      </w:r>
      <w:r w:rsidRPr="0096627E">
        <w:rPr>
          <w:rtl/>
        </w:rPr>
        <w:t xml:space="preserve">הרחבה של הגילוי לציבור על </w:t>
      </w:r>
      <w:r w:rsidRPr="0096627E">
        <w:rPr>
          <w:rFonts w:hint="cs"/>
          <w:rtl/>
        </w:rPr>
        <w:t>ה</w:t>
      </w:r>
      <w:r w:rsidRPr="0096627E">
        <w:rPr>
          <w:rtl/>
        </w:rPr>
        <w:t xml:space="preserve">סיכונים </w:t>
      </w:r>
      <w:r w:rsidRPr="0096627E">
        <w:rPr>
          <w:rFonts w:hint="cs"/>
          <w:rtl/>
        </w:rPr>
        <w:t>ה</w:t>
      </w:r>
      <w:r w:rsidRPr="0096627E">
        <w:rPr>
          <w:rtl/>
        </w:rPr>
        <w:t xml:space="preserve">סביבתיים לרבות סיכוני </w:t>
      </w:r>
      <w:r w:rsidRPr="0096627E">
        <w:rPr>
          <w:rFonts w:hint="cs"/>
          <w:rtl/>
        </w:rPr>
        <w:t>ה</w:t>
      </w:r>
      <w:r w:rsidRPr="0096627E">
        <w:rPr>
          <w:rtl/>
        </w:rPr>
        <w:t>אקלים ואופן ניהולם.</w:t>
      </w:r>
    </w:p>
    <w:p w:rsidR="00F20E3F" w:rsidRPr="0096627E" w:rsidP="0096627E" w14:paraId="1CA8B178" w14:textId="77777777">
      <w:pPr>
        <w:pStyle w:val="73120"/>
        <w:rPr>
          <w:rtl/>
        </w:rPr>
      </w:pPr>
      <w:r w:rsidRPr="0096627E">
        <w:rPr>
          <w:rFonts w:hint="cs"/>
          <w:rtl/>
        </w:rPr>
        <w:t xml:space="preserve">ביקורת המעקב </w:t>
      </w:r>
    </w:p>
    <w:p w:rsidR="00F20E3F" w:rsidP="0096627E" w14:paraId="0EACFC13" w14:textId="77777777">
      <w:pPr>
        <w:pStyle w:val="7392"/>
        <w:rPr>
          <w:rtl/>
        </w:rPr>
      </w:pPr>
      <w:r>
        <w:rPr>
          <w:rFonts w:hint="cs"/>
          <w:rtl/>
        </w:rPr>
        <w:t>הפיקוח על הבנקים</w:t>
      </w:r>
      <w:r w:rsidRPr="00614D28">
        <w:rPr>
          <w:rtl/>
        </w:rPr>
        <w:t xml:space="preserve"> </w:t>
      </w:r>
      <w:r>
        <w:rPr>
          <w:rFonts w:hint="cs"/>
          <w:rtl/>
        </w:rPr>
        <w:t>השיב על</w:t>
      </w:r>
      <w:r w:rsidRPr="00614D28">
        <w:rPr>
          <w:rtl/>
        </w:rPr>
        <w:t xml:space="preserve"> השאלון</w:t>
      </w:r>
      <w:r>
        <w:rPr>
          <w:rFonts w:hint="cs"/>
          <w:rtl/>
        </w:rPr>
        <w:t xml:space="preserve"> שהפיץ משרד מבקר המדינה</w:t>
      </w:r>
      <w:r w:rsidRPr="00614D28">
        <w:rPr>
          <w:rtl/>
        </w:rPr>
        <w:t xml:space="preserve"> </w:t>
      </w:r>
      <w:r>
        <w:rPr>
          <w:rFonts w:hint="cs"/>
          <w:rtl/>
        </w:rPr>
        <w:t xml:space="preserve">ופירט בו </w:t>
      </w:r>
      <w:r w:rsidRPr="00614D28">
        <w:rPr>
          <w:rtl/>
        </w:rPr>
        <w:t>פעולות שקיד</w:t>
      </w:r>
      <w:r>
        <w:rPr>
          <w:rFonts w:hint="cs"/>
          <w:rtl/>
        </w:rPr>
        <w:t>ם</w:t>
      </w:r>
      <w:r w:rsidRPr="00614D28">
        <w:rPr>
          <w:rtl/>
        </w:rPr>
        <w:t xml:space="preserve"> בנושא היערכות</w:t>
      </w:r>
      <w:r>
        <w:rPr>
          <w:rFonts w:hint="cs"/>
          <w:rtl/>
        </w:rPr>
        <w:t>ו</w:t>
      </w:r>
      <w:r w:rsidRPr="00614D28">
        <w:rPr>
          <w:rtl/>
        </w:rPr>
        <w:t xml:space="preserve"> לסיכוני </w:t>
      </w:r>
      <w:r>
        <w:rPr>
          <w:rFonts w:hint="cs"/>
          <w:rtl/>
        </w:rPr>
        <w:t>ה</w:t>
      </w:r>
      <w:r w:rsidRPr="00614D28">
        <w:rPr>
          <w:rtl/>
        </w:rPr>
        <w:t>אקלים</w:t>
      </w:r>
      <w:r>
        <w:rPr>
          <w:rFonts w:hint="cs"/>
          <w:rtl/>
        </w:rPr>
        <w:t>, כדלקמן</w:t>
      </w:r>
      <w:r w:rsidRPr="00614D28">
        <w:rPr>
          <w:rtl/>
        </w:rPr>
        <w:t>:</w:t>
      </w:r>
    </w:p>
    <w:tbl>
      <w:tblPr>
        <w:tblStyle w:val="TableGrid"/>
        <w:bidiVisual/>
        <w:tblW w:w="5000" w:type="pct"/>
        <w:tblBorders>
          <w:top w:val="none" w:sz="0" w:space="0" w:color="auto"/>
          <w:bottom w:val="none" w:sz="0" w:space="0" w:color="auto"/>
          <w:insideH w:val="none" w:sz="0" w:space="0" w:color="auto"/>
        </w:tblBorders>
        <w:shd w:val="clear" w:color="auto" w:fill="F0F8F9"/>
        <w:tblLook w:val="04A0"/>
      </w:tblPr>
      <w:tblGrid>
        <w:gridCol w:w="935"/>
        <w:gridCol w:w="6425"/>
      </w:tblGrid>
      <w:tr w14:paraId="74DE28CC" w14:textId="77777777" w:rsidTr="00711A1D">
        <w:tblPrEx>
          <w:tblW w:w="5000" w:type="pct"/>
          <w:tblBorders>
            <w:top w:val="none" w:sz="0" w:space="0" w:color="auto"/>
            <w:bottom w:val="none" w:sz="0" w:space="0" w:color="auto"/>
            <w:insideH w:val="none" w:sz="0" w:space="0" w:color="auto"/>
          </w:tblBorders>
          <w:shd w:val="clear" w:color="auto" w:fill="F0F8F9"/>
          <w:tblLook w:val="04A0"/>
        </w:tblPrEx>
        <w:trPr>
          <w:trHeight w:val="180"/>
        </w:trPr>
        <w:tc>
          <w:tcPr>
            <w:tcW w:w="635" w:type="pct"/>
            <w:shd w:val="clear" w:color="auto" w:fill="BDCFD8"/>
          </w:tcPr>
          <w:p w:rsidR="00686209" w:rsidRPr="009E15BF" w:rsidP="00711A1D" w14:paraId="56E8CE50" w14:textId="77777777">
            <w:pPr>
              <w:pStyle w:val="73R"/>
              <w:rPr>
                <w:bCs/>
                <w:color w:val="00305F"/>
                <w:rtl/>
              </w:rPr>
            </w:pPr>
          </w:p>
        </w:tc>
        <w:tc>
          <w:tcPr>
            <w:tcW w:w="4365" w:type="pct"/>
            <w:shd w:val="clear" w:color="auto" w:fill="BDCFD8"/>
          </w:tcPr>
          <w:p w:rsidR="00686209" w:rsidRPr="009E15BF" w:rsidP="00711A1D" w14:paraId="3C3FC10F" w14:textId="77777777">
            <w:pPr>
              <w:pStyle w:val="73R"/>
              <w:rPr>
                <w:bCs/>
                <w:color w:val="00305F"/>
                <w:rtl/>
              </w:rPr>
            </w:pPr>
            <w:r w:rsidRPr="009E15BF">
              <w:rPr>
                <w:rFonts w:hint="cs"/>
                <w:bCs/>
                <w:color w:val="00305F"/>
                <w:rtl/>
              </w:rPr>
              <w:t>השאלות</w:t>
            </w:r>
          </w:p>
        </w:tc>
      </w:tr>
      <w:tr w14:paraId="034BCC7A" w14:textId="77777777" w:rsidTr="00711A1D">
        <w:tblPrEx>
          <w:tblW w:w="5000" w:type="pct"/>
          <w:shd w:val="clear" w:color="auto" w:fill="F0F8F9"/>
          <w:tblLook w:val="04A0"/>
        </w:tblPrEx>
        <w:trPr>
          <w:trHeight w:val="152"/>
        </w:trPr>
        <w:tc>
          <w:tcPr>
            <w:tcW w:w="635" w:type="pct"/>
            <w:shd w:val="clear" w:color="auto" w:fill="C8DCE4"/>
          </w:tcPr>
          <w:p w:rsidR="00686209" w:rsidRPr="009E15BF" w:rsidP="00711A1D" w14:paraId="09D01DD6" w14:textId="77777777">
            <w:pPr>
              <w:pStyle w:val="73R"/>
              <w:rPr>
                <w:b/>
                <w:bCs/>
                <w:rtl/>
              </w:rPr>
            </w:pPr>
          </w:p>
        </w:tc>
        <w:tc>
          <w:tcPr>
            <w:tcW w:w="4365" w:type="pct"/>
            <w:shd w:val="clear" w:color="auto" w:fill="C8DCE4"/>
            <w:vAlign w:val="center"/>
          </w:tcPr>
          <w:p w:rsidR="00686209" w:rsidP="00711A1D" w14:paraId="10155ACF" w14:textId="4AE6E438">
            <w:pPr>
              <w:pStyle w:val="73R"/>
              <w:rPr>
                <w:b/>
                <w:bCs/>
                <w:color w:val="00305F"/>
                <w:rtl/>
              </w:rPr>
            </w:pPr>
            <w:r w:rsidRPr="00F753FB">
              <w:rPr>
                <w:b/>
                <w:bCs/>
                <w:rtl/>
              </w:rPr>
              <w:t xml:space="preserve">ניתוח של ההשפעות והסיכונים של שינויי האקלים על תחומי אחריות הרגולטור, יציבות המערכת </w:t>
            </w:r>
            <w:r w:rsidRPr="00F753FB">
              <w:rPr>
                <w:rFonts w:hint="cs"/>
                <w:b/>
                <w:bCs/>
                <w:rtl/>
              </w:rPr>
              <w:t>הבנקאית</w:t>
            </w:r>
            <w:r w:rsidRPr="00F753FB">
              <w:rPr>
                <w:b/>
                <w:bCs/>
                <w:rtl/>
              </w:rPr>
              <w:t xml:space="preserve"> ועל פעילות המפוקחים</w:t>
            </w:r>
            <w:r w:rsidRPr="00F753FB">
              <w:rPr>
                <w:rFonts w:hint="cs"/>
                <w:b/>
                <w:bCs/>
                <w:rtl/>
              </w:rPr>
              <w:t xml:space="preserve"> שבאחריותו</w:t>
            </w:r>
            <w:r w:rsidRPr="009E15BF">
              <w:rPr>
                <w:rFonts w:hint="cs"/>
                <w:b/>
                <w:bCs/>
                <w:rtl/>
              </w:rPr>
              <w:t xml:space="preserve">: </w:t>
            </w:r>
          </w:p>
          <w:p w:rsidR="00686209" w:rsidRPr="004331F6" w:rsidP="00711A1D" w14:paraId="1E49764B" w14:textId="77777777">
            <w:pPr>
              <w:pStyle w:val="73R"/>
              <w:rPr>
                <w:rtl/>
              </w:rPr>
            </w:pPr>
            <w:r w:rsidRPr="00B233C3">
              <w:rPr>
                <w:rFonts w:hint="cs"/>
                <w:b/>
                <w:bCs/>
                <w:color w:val="1E285C"/>
                <w:rtl/>
              </w:rPr>
              <w:t>פירוט פעולות שדווח שנעשו:</w:t>
            </w:r>
          </w:p>
        </w:tc>
      </w:tr>
      <w:tr w14:paraId="199DBDF6" w14:textId="77777777" w:rsidTr="00711A1D">
        <w:tblPrEx>
          <w:tblW w:w="5000" w:type="pct"/>
          <w:shd w:val="clear" w:color="auto" w:fill="F0F8F9"/>
          <w:tblLook w:val="04A0"/>
        </w:tblPrEx>
        <w:trPr>
          <w:trHeight w:val="314"/>
        </w:trPr>
        <w:tc>
          <w:tcPr>
            <w:tcW w:w="635" w:type="pct"/>
            <w:vMerge w:val="restart"/>
            <w:shd w:val="clear" w:color="auto" w:fill="DFECEF"/>
          </w:tcPr>
          <w:p w:rsidR="00134DAB" w:rsidRPr="00145AB3" w:rsidP="00134DAB" w14:paraId="0DF024C3" w14:textId="77777777">
            <w:pPr>
              <w:pStyle w:val="73R"/>
              <w:rPr>
                <w:rFonts w:ascii="David" w:hAnsi="David"/>
                <w:b/>
                <w:bCs/>
                <w:rtl/>
              </w:rPr>
            </w:pPr>
            <w:r w:rsidRPr="00145AB3">
              <w:rPr>
                <w:rFonts w:ascii="David" w:hAnsi="David" w:hint="cs"/>
                <w:b/>
                <w:bCs/>
                <w:rtl/>
              </w:rPr>
              <w:t>שאלון</w:t>
            </w:r>
          </w:p>
          <w:p w:rsidR="00134DAB" w:rsidRPr="00B233C3" w:rsidP="00134DAB" w14:paraId="50BF0869" w14:textId="77777777">
            <w:pPr>
              <w:pStyle w:val="719"/>
              <w:spacing w:after="0" w:line="240" w:lineRule="auto"/>
              <w:jc w:val="center"/>
              <w:rPr>
                <w:rFonts w:ascii="David" w:hAnsi="David" w:eastAsiaTheme="minorEastAsia"/>
                <w:color w:val="auto"/>
                <w:sz w:val="16"/>
                <w:szCs w:val="16"/>
                <w:rtl/>
              </w:rPr>
            </w:pPr>
            <w:r w:rsidRPr="00145AB3">
              <w:rPr>
                <w:rFonts w:ascii="David" w:hAnsi="David" w:eastAsiaTheme="minorEastAsia"/>
                <w:noProof/>
                <w:color w:val="auto"/>
                <w:sz w:val="16"/>
                <w:szCs w:val="16"/>
                <w:rtl/>
              </w:rPr>
              <w:drawing>
                <wp:inline distT="0" distB="0" distL="0" distR="0">
                  <wp:extent cx="391784" cy="457082"/>
                  <wp:effectExtent l="0" t="0" r="2540" b="635"/>
                  <wp:docPr id="1582947948" name="גרפיקה 1582947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262151" name="גרפיקה 1582947948"/>
                          <pic:cNvPicPr/>
                        </pic:nvPicPr>
                        <pic:blipFill>
                          <a:blip xmlns:r="http://schemas.openxmlformats.org/officeDocument/2006/relationships" r:embed="rId58" cstate="print">
                            <a:extLst>
                              <a:ext xmlns:a="http://schemas.openxmlformats.org/drawingml/2006/main" uri="{BEBA8EAE-BF5A-486C-A8C5-ECC9F3942E4B}">
                                <a14:imgProps xmlns:a14="http://schemas.microsoft.com/office/drawing/2010/main">
                                  <a14:imgLayer xmlns:r="http://schemas.openxmlformats.org/officeDocument/2006/relationships" r:embed="rId59">
                                    <a14:imgEffect>
                                      <a14:saturation sat="0"/>
                                    </a14:imgEffect>
                                  </a14:imgLayer>
                                </a14:imgProps>
                              </a:ext>
                              <a:ext xmlns:a="http://schemas.openxmlformats.org/drawingml/2006/main" uri="{28A0092B-C50C-407E-A947-70E740481C1C}">
                                <a14:useLocalDpi xmlns:a14="http://schemas.microsoft.com/office/drawing/2010/main" val="0"/>
                              </a:ext>
                            </a:extLst>
                          </a:blip>
                          <a:stretch>
                            <a:fillRect/>
                          </a:stretch>
                        </pic:blipFill>
                        <pic:spPr>
                          <a:xfrm>
                            <a:off x="0" y="0"/>
                            <a:ext cx="391784" cy="457082"/>
                          </a:xfrm>
                          <a:prstGeom prst="rect">
                            <a:avLst/>
                          </a:prstGeom>
                        </pic:spPr>
                      </pic:pic>
                    </a:graphicData>
                  </a:graphic>
                </wp:inline>
              </w:drawing>
            </w:r>
          </w:p>
        </w:tc>
        <w:tc>
          <w:tcPr>
            <w:tcW w:w="4365" w:type="pct"/>
            <w:shd w:val="clear" w:color="auto" w:fill="DFECEF"/>
            <w:vAlign w:val="center"/>
          </w:tcPr>
          <w:p w:rsidR="00134DAB" w:rsidRPr="00B233C3" w:rsidP="00134DAB" w14:paraId="4BB27E22" w14:textId="46FEC578">
            <w:pPr>
              <w:pStyle w:val="73R"/>
              <w:rPr>
                <w:color w:val="000000" w:themeColor="text1"/>
                <w:rtl/>
              </w:rPr>
            </w:pPr>
            <w:r w:rsidRPr="00F753FB">
              <w:rPr>
                <w:rFonts w:hint="cs"/>
                <w:color w:val="000000" w:themeColor="text1"/>
                <w:rtl/>
              </w:rPr>
              <w:t xml:space="preserve">מעקב </w:t>
            </w:r>
            <w:r w:rsidRPr="00F753FB">
              <w:rPr>
                <w:color w:val="000000" w:themeColor="text1"/>
                <w:rtl/>
              </w:rPr>
              <w:t>אחר הנעשה אצל רגולטורים מקבילים בעולם</w:t>
            </w:r>
          </w:p>
        </w:tc>
      </w:tr>
      <w:tr w14:paraId="287F3C2C" w14:textId="77777777" w:rsidTr="00711A1D">
        <w:tblPrEx>
          <w:tblW w:w="5000" w:type="pct"/>
          <w:shd w:val="clear" w:color="auto" w:fill="F0F8F9"/>
          <w:tblLook w:val="04A0"/>
        </w:tblPrEx>
        <w:trPr>
          <w:trHeight w:val="314"/>
        </w:trPr>
        <w:tc>
          <w:tcPr>
            <w:tcW w:w="635" w:type="pct"/>
            <w:vMerge/>
            <w:shd w:val="clear" w:color="auto" w:fill="DFECEF"/>
          </w:tcPr>
          <w:p w:rsidR="00134DAB" w:rsidRPr="00B233C3" w:rsidP="00134DAB" w14:paraId="538D5783" w14:textId="77777777">
            <w:pPr>
              <w:pStyle w:val="73R"/>
              <w:rPr>
                <w:color w:val="000000" w:themeColor="text1"/>
                <w:rtl/>
              </w:rPr>
            </w:pPr>
          </w:p>
        </w:tc>
        <w:tc>
          <w:tcPr>
            <w:tcW w:w="4365" w:type="pct"/>
            <w:shd w:val="clear" w:color="auto" w:fill="F0F8F9"/>
            <w:vAlign w:val="center"/>
          </w:tcPr>
          <w:p w:rsidR="00134DAB" w:rsidRPr="00B233C3" w:rsidP="00134DAB" w14:paraId="706331ED" w14:textId="5C0EE379">
            <w:pPr>
              <w:pStyle w:val="73R"/>
              <w:rPr>
                <w:color w:val="000000" w:themeColor="text1"/>
                <w:rtl/>
              </w:rPr>
            </w:pPr>
            <w:r w:rsidRPr="00F753FB">
              <w:rPr>
                <w:rFonts w:hint="cs"/>
                <w:color w:val="000000" w:themeColor="text1"/>
                <w:rtl/>
              </w:rPr>
              <w:t xml:space="preserve">מעקב </w:t>
            </w:r>
            <w:r w:rsidRPr="00F753FB">
              <w:rPr>
                <w:color w:val="000000" w:themeColor="text1"/>
                <w:rtl/>
              </w:rPr>
              <w:t>אחר</w:t>
            </w:r>
            <w:r w:rsidRPr="00F753FB">
              <w:rPr>
                <w:rFonts w:hint="cs"/>
                <w:color w:val="000000" w:themeColor="text1"/>
                <w:rtl/>
              </w:rPr>
              <w:t xml:space="preserve"> </w:t>
            </w:r>
            <w:r w:rsidRPr="00F753FB">
              <w:rPr>
                <w:color w:val="000000" w:themeColor="text1"/>
              </w:rPr>
              <w:t>best practice</w:t>
            </w:r>
            <w:r w:rsidRPr="00F753FB">
              <w:rPr>
                <w:rFonts w:hint="cs"/>
                <w:color w:val="000000" w:themeColor="text1"/>
                <w:rtl/>
              </w:rPr>
              <w:t xml:space="preserve"> </w:t>
            </w:r>
            <w:r w:rsidRPr="00F753FB">
              <w:rPr>
                <w:color w:val="000000" w:themeColor="text1"/>
                <w:rtl/>
              </w:rPr>
              <w:t>ומחקרים מקצועיים בארגונים רלוונטיים</w:t>
            </w:r>
          </w:p>
        </w:tc>
      </w:tr>
      <w:tr w14:paraId="02DB0AD2" w14:textId="77777777" w:rsidTr="00711A1D">
        <w:tblPrEx>
          <w:tblW w:w="5000" w:type="pct"/>
          <w:shd w:val="clear" w:color="auto" w:fill="F0F8F9"/>
          <w:tblLook w:val="04A0"/>
        </w:tblPrEx>
        <w:trPr>
          <w:trHeight w:val="314"/>
        </w:trPr>
        <w:tc>
          <w:tcPr>
            <w:tcW w:w="635" w:type="pct"/>
            <w:vMerge/>
            <w:shd w:val="clear" w:color="auto" w:fill="DFECEF"/>
          </w:tcPr>
          <w:p w:rsidR="00134DAB" w:rsidRPr="00B233C3" w:rsidP="00134DAB" w14:paraId="34342D31" w14:textId="77777777">
            <w:pPr>
              <w:pStyle w:val="73R"/>
              <w:rPr>
                <w:color w:val="000000" w:themeColor="text1"/>
                <w:rtl/>
              </w:rPr>
            </w:pPr>
          </w:p>
        </w:tc>
        <w:tc>
          <w:tcPr>
            <w:tcW w:w="4365" w:type="pct"/>
            <w:shd w:val="clear" w:color="auto" w:fill="F0F8F9"/>
            <w:vAlign w:val="center"/>
          </w:tcPr>
          <w:p w:rsidR="00134DAB" w:rsidRPr="00B233C3" w:rsidP="00134DAB" w14:paraId="50B67609" w14:textId="349EE39F">
            <w:pPr>
              <w:pStyle w:val="73R"/>
              <w:rPr>
                <w:color w:val="000000" w:themeColor="text1"/>
                <w:rtl/>
              </w:rPr>
            </w:pPr>
            <w:r w:rsidRPr="00F753FB">
              <w:rPr>
                <w:rFonts w:hint="cs"/>
                <w:color w:val="000000" w:themeColor="text1"/>
                <w:rtl/>
              </w:rPr>
              <w:t>קיום</w:t>
            </w:r>
            <w:r w:rsidRPr="00F753FB">
              <w:rPr>
                <w:color w:val="000000" w:themeColor="text1"/>
                <w:rtl/>
              </w:rPr>
              <w:t xml:space="preserve"> דיונים פנימיים בנושא</w:t>
            </w:r>
          </w:p>
        </w:tc>
      </w:tr>
      <w:tr w14:paraId="5EDC371E" w14:textId="77777777" w:rsidTr="00711A1D">
        <w:tblPrEx>
          <w:tblW w:w="5000" w:type="pct"/>
          <w:shd w:val="clear" w:color="auto" w:fill="F0F8F9"/>
          <w:tblLook w:val="04A0"/>
        </w:tblPrEx>
        <w:trPr>
          <w:trHeight w:val="297"/>
        </w:trPr>
        <w:tc>
          <w:tcPr>
            <w:tcW w:w="635" w:type="pct"/>
            <w:vMerge/>
            <w:shd w:val="clear" w:color="auto" w:fill="DFECEF"/>
          </w:tcPr>
          <w:p w:rsidR="00134DAB" w:rsidRPr="00B233C3" w:rsidP="00134DAB" w14:paraId="283ABBB5" w14:textId="77777777">
            <w:pPr>
              <w:pStyle w:val="73R"/>
              <w:rPr>
                <w:color w:val="000000" w:themeColor="text1"/>
                <w:rtl/>
              </w:rPr>
            </w:pPr>
          </w:p>
        </w:tc>
        <w:tc>
          <w:tcPr>
            <w:tcW w:w="4365" w:type="pct"/>
            <w:shd w:val="clear" w:color="auto" w:fill="F0F8F9"/>
            <w:vAlign w:val="center"/>
          </w:tcPr>
          <w:p w:rsidR="00134DAB" w:rsidRPr="00B233C3" w:rsidP="00134DAB" w14:paraId="703FE90B" w14:textId="644DFBAF">
            <w:pPr>
              <w:pStyle w:val="73R"/>
              <w:rPr>
                <w:color w:val="000000" w:themeColor="text1"/>
                <w:rtl/>
              </w:rPr>
            </w:pPr>
            <w:r w:rsidRPr="00F753FB">
              <w:rPr>
                <w:color w:val="000000" w:themeColor="text1"/>
                <w:rtl/>
              </w:rPr>
              <w:t xml:space="preserve">הוחל גיבוש מסמך </w:t>
            </w:r>
            <w:r w:rsidRPr="00F753FB">
              <w:rPr>
                <w:rFonts w:hint="cs"/>
                <w:color w:val="000000" w:themeColor="text1"/>
                <w:rtl/>
              </w:rPr>
              <w:t>הסוקר את ה</w:t>
            </w:r>
            <w:r w:rsidRPr="00F753FB">
              <w:rPr>
                <w:color w:val="000000" w:themeColor="text1"/>
                <w:rtl/>
              </w:rPr>
              <w:t>השפעות ו</w:t>
            </w:r>
            <w:r w:rsidRPr="00F753FB">
              <w:rPr>
                <w:rFonts w:hint="cs"/>
                <w:color w:val="000000" w:themeColor="text1"/>
                <w:rtl/>
              </w:rPr>
              <w:t>ה</w:t>
            </w:r>
            <w:r w:rsidRPr="00F753FB">
              <w:rPr>
                <w:color w:val="000000" w:themeColor="text1"/>
                <w:rtl/>
              </w:rPr>
              <w:t>סיכוני</w:t>
            </w:r>
            <w:r w:rsidRPr="00F753FB">
              <w:rPr>
                <w:rFonts w:hint="cs"/>
                <w:color w:val="000000" w:themeColor="text1"/>
                <w:rtl/>
              </w:rPr>
              <w:t>ם של שינויי</w:t>
            </w:r>
            <w:r w:rsidRPr="00F753FB">
              <w:rPr>
                <w:color w:val="000000" w:themeColor="text1"/>
                <w:rtl/>
              </w:rPr>
              <w:t xml:space="preserve"> </w:t>
            </w:r>
            <w:r w:rsidRPr="00F753FB">
              <w:rPr>
                <w:rFonts w:hint="cs"/>
                <w:color w:val="000000" w:themeColor="text1"/>
                <w:rtl/>
              </w:rPr>
              <w:t>ה</w:t>
            </w:r>
            <w:r w:rsidRPr="00F753FB">
              <w:rPr>
                <w:color w:val="000000" w:themeColor="text1"/>
                <w:rtl/>
              </w:rPr>
              <w:t>אקלים -</w:t>
            </w:r>
            <w:r w:rsidRPr="00F753FB">
              <w:rPr>
                <w:rFonts w:hint="cs"/>
                <w:color w:val="000000" w:themeColor="text1"/>
                <w:rtl/>
              </w:rPr>
              <w:t xml:space="preserve"> </w:t>
            </w:r>
            <w:r w:rsidRPr="00F753FB">
              <w:rPr>
                <w:color w:val="000000" w:themeColor="text1"/>
                <w:rtl/>
              </w:rPr>
              <w:t>ברמת המפוקח</w:t>
            </w:r>
          </w:p>
        </w:tc>
      </w:tr>
      <w:tr w14:paraId="24A5FF26" w14:textId="77777777" w:rsidTr="00711A1D">
        <w:tblPrEx>
          <w:tblW w:w="5000" w:type="pct"/>
          <w:shd w:val="clear" w:color="auto" w:fill="F0F8F9"/>
          <w:tblLook w:val="04A0"/>
        </w:tblPrEx>
        <w:trPr>
          <w:trHeight w:val="314"/>
        </w:trPr>
        <w:tc>
          <w:tcPr>
            <w:tcW w:w="635" w:type="pct"/>
            <w:vMerge/>
            <w:shd w:val="clear" w:color="auto" w:fill="DFECEF"/>
          </w:tcPr>
          <w:p w:rsidR="00686209" w:rsidRPr="00B233C3" w:rsidP="00711A1D" w14:paraId="413B57EF" w14:textId="77777777">
            <w:pPr>
              <w:pStyle w:val="73R"/>
              <w:rPr>
                <w:color w:val="000000" w:themeColor="text1"/>
                <w:rtl/>
              </w:rPr>
            </w:pPr>
          </w:p>
        </w:tc>
        <w:tc>
          <w:tcPr>
            <w:tcW w:w="4365" w:type="pct"/>
            <w:shd w:val="clear" w:color="auto" w:fill="F0F8F9"/>
            <w:vAlign w:val="center"/>
          </w:tcPr>
          <w:p w:rsidR="00686209" w:rsidRPr="00B233C3" w:rsidP="00711A1D" w14:paraId="1CA94418" w14:textId="2B671214">
            <w:pPr>
              <w:pStyle w:val="73R"/>
              <w:rPr>
                <w:color w:val="000000" w:themeColor="text1"/>
                <w:rtl/>
              </w:rPr>
            </w:pPr>
            <w:r w:rsidRPr="00F753FB">
              <w:rPr>
                <w:rFonts w:hint="cs"/>
                <w:color w:val="000000" w:themeColor="text1"/>
                <w:rtl/>
              </w:rPr>
              <w:t>גובש</w:t>
            </w:r>
            <w:r w:rsidRPr="00F753FB">
              <w:rPr>
                <w:color w:val="000000" w:themeColor="text1"/>
                <w:rtl/>
              </w:rPr>
              <w:t xml:space="preserve"> מסמך סופי הסוקר </w:t>
            </w:r>
            <w:r w:rsidRPr="00F753FB">
              <w:rPr>
                <w:rFonts w:hint="cs"/>
                <w:color w:val="000000" w:themeColor="text1"/>
                <w:rtl/>
              </w:rPr>
              <w:t>את ה</w:t>
            </w:r>
            <w:r w:rsidRPr="00F753FB">
              <w:rPr>
                <w:color w:val="000000" w:themeColor="text1"/>
                <w:rtl/>
              </w:rPr>
              <w:t>השפעות ו</w:t>
            </w:r>
            <w:r w:rsidRPr="00F753FB">
              <w:rPr>
                <w:rFonts w:hint="cs"/>
                <w:color w:val="000000" w:themeColor="text1"/>
                <w:rtl/>
              </w:rPr>
              <w:t>ה</w:t>
            </w:r>
            <w:r w:rsidRPr="00F753FB">
              <w:rPr>
                <w:color w:val="000000" w:themeColor="text1"/>
                <w:rtl/>
              </w:rPr>
              <w:t>סיכוני</w:t>
            </w:r>
            <w:r w:rsidRPr="00F753FB">
              <w:rPr>
                <w:rFonts w:hint="cs"/>
                <w:color w:val="000000" w:themeColor="text1"/>
                <w:rtl/>
              </w:rPr>
              <w:t>ם של שינויי</w:t>
            </w:r>
            <w:r w:rsidRPr="00F753FB">
              <w:rPr>
                <w:color w:val="000000" w:themeColor="text1"/>
                <w:rtl/>
              </w:rPr>
              <w:t xml:space="preserve"> </w:t>
            </w:r>
            <w:r w:rsidRPr="00F753FB">
              <w:rPr>
                <w:rFonts w:hint="cs"/>
                <w:color w:val="000000" w:themeColor="text1"/>
                <w:rtl/>
              </w:rPr>
              <w:t>ה</w:t>
            </w:r>
            <w:r w:rsidRPr="00F753FB">
              <w:rPr>
                <w:color w:val="000000" w:themeColor="text1"/>
                <w:rtl/>
              </w:rPr>
              <w:t>אקלים בתחום אחריות</w:t>
            </w:r>
            <w:r w:rsidRPr="00F753FB">
              <w:rPr>
                <w:rFonts w:hint="cs"/>
                <w:color w:val="000000" w:themeColor="text1"/>
                <w:rtl/>
              </w:rPr>
              <w:t xml:space="preserve"> הפיקוח על הבנקים</w:t>
            </w:r>
            <w:r>
              <w:rPr>
                <w:color w:val="000000" w:themeColor="text1"/>
                <w:vertAlign w:val="superscript"/>
                <w:rtl/>
              </w:rPr>
              <w:footnoteReference w:id="125"/>
            </w:r>
          </w:p>
        </w:tc>
      </w:tr>
    </w:tbl>
    <w:p w:rsidR="00686209" w:rsidRPr="009E15BF" w:rsidP="00686209" w14:paraId="0F3A11A6" w14:textId="77777777">
      <w:pPr>
        <w:pStyle w:val="a27"/>
        <w:spacing w:line="360" w:lineRule="auto"/>
        <w:rPr>
          <w:rtl/>
        </w:rPr>
      </w:pPr>
    </w:p>
    <w:tbl>
      <w:tblPr>
        <w:tblStyle w:val="TableGrid"/>
        <w:bidiVisual/>
        <w:tblW w:w="4997" w:type="pct"/>
        <w:tblInd w:w="111" w:type="dxa"/>
        <w:tblBorders>
          <w:top w:val="none" w:sz="0" w:space="0" w:color="auto"/>
          <w:bottom w:val="none" w:sz="0" w:space="0" w:color="auto"/>
          <w:insideH w:val="none" w:sz="0" w:space="0" w:color="auto"/>
        </w:tblBorders>
        <w:shd w:val="clear" w:color="auto" w:fill="F0F8F9"/>
        <w:tblLook w:val="04A0"/>
      </w:tblPr>
      <w:tblGrid>
        <w:gridCol w:w="981"/>
        <w:gridCol w:w="6375"/>
      </w:tblGrid>
      <w:tr w14:paraId="4862CE5A" w14:textId="77777777" w:rsidTr="00134DAB">
        <w:tblPrEx>
          <w:tblW w:w="4997" w:type="pct"/>
          <w:tblInd w:w="111" w:type="dxa"/>
          <w:tblBorders>
            <w:top w:val="none" w:sz="0" w:space="0" w:color="auto"/>
            <w:bottom w:val="none" w:sz="0" w:space="0" w:color="auto"/>
            <w:insideH w:val="none" w:sz="0" w:space="0" w:color="auto"/>
          </w:tblBorders>
          <w:shd w:val="clear" w:color="auto" w:fill="F0F8F9"/>
          <w:tblLook w:val="04A0"/>
        </w:tblPrEx>
        <w:trPr>
          <w:trHeight w:val="180"/>
        </w:trPr>
        <w:tc>
          <w:tcPr>
            <w:tcW w:w="667" w:type="pct"/>
            <w:shd w:val="clear" w:color="auto" w:fill="BDCFD8"/>
          </w:tcPr>
          <w:p w:rsidR="00686209" w:rsidRPr="00EB7173" w:rsidP="00711A1D" w14:paraId="41C3D3AA" w14:textId="77777777">
            <w:pPr>
              <w:pStyle w:val="73R"/>
              <w:rPr>
                <w:bCs/>
                <w:color w:val="00305F"/>
                <w:rtl/>
              </w:rPr>
            </w:pPr>
          </w:p>
        </w:tc>
        <w:tc>
          <w:tcPr>
            <w:tcW w:w="4333" w:type="pct"/>
            <w:shd w:val="clear" w:color="auto" w:fill="BDCFD8"/>
          </w:tcPr>
          <w:p w:rsidR="00686209" w:rsidRPr="00EB7173" w:rsidP="00711A1D" w14:paraId="109BE9BE" w14:textId="77777777">
            <w:pPr>
              <w:pStyle w:val="73R"/>
              <w:rPr>
                <w:bCs/>
                <w:color w:val="00305F"/>
                <w:rtl/>
              </w:rPr>
            </w:pPr>
            <w:r w:rsidRPr="00EB7173">
              <w:rPr>
                <w:rFonts w:hint="cs"/>
                <w:bCs/>
                <w:color w:val="00305F"/>
                <w:rtl/>
              </w:rPr>
              <w:t>השאלות</w:t>
            </w:r>
          </w:p>
        </w:tc>
      </w:tr>
      <w:tr w14:paraId="54E882B3" w14:textId="77777777" w:rsidTr="00134DAB">
        <w:tblPrEx>
          <w:tblW w:w="4997" w:type="pct"/>
          <w:tblInd w:w="111" w:type="dxa"/>
          <w:shd w:val="clear" w:color="auto" w:fill="F0F8F9"/>
          <w:tblLook w:val="04A0"/>
        </w:tblPrEx>
        <w:trPr>
          <w:trHeight w:val="152"/>
        </w:trPr>
        <w:tc>
          <w:tcPr>
            <w:tcW w:w="667" w:type="pct"/>
            <w:shd w:val="clear" w:color="auto" w:fill="C8DCE4"/>
          </w:tcPr>
          <w:p w:rsidR="00686209" w:rsidP="00711A1D" w14:paraId="1193329B" w14:textId="77777777">
            <w:pPr>
              <w:pStyle w:val="73R"/>
              <w:rPr>
                <w:b/>
                <w:bCs/>
                <w:rtl/>
              </w:rPr>
            </w:pPr>
          </w:p>
        </w:tc>
        <w:tc>
          <w:tcPr>
            <w:tcW w:w="4333" w:type="pct"/>
            <w:shd w:val="clear" w:color="auto" w:fill="C8DCE4"/>
            <w:vAlign w:val="center"/>
          </w:tcPr>
          <w:p w:rsidR="00686209" w:rsidP="00711A1D" w14:paraId="57092AF7" w14:textId="468FC985">
            <w:pPr>
              <w:pStyle w:val="73R"/>
              <w:rPr>
                <w:b/>
                <w:bCs/>
                <w:rtl/>
              </w:rPr>
            </w:pPr>
            <w:r w:rsidRPr="00F753FB">
              <w:rPr>
                <w:rFonts w:hint="cs"/>
                <w:b/>
                <w:bCs/>
                <w:rtl/>
              </w:rPr>
              <w:t>הטמעת</w:t>
            </w:r>
            <w:r w:rsidRPr="00F753FB">
              <w:rPr>
                <w:b/>
                <w:bCs/>
                <w:rtl/>
              </w:rPr>
              <w:t xml:space="preserve"> תהליכי דיווח ובקרה והנחיות לגופים </w:t>
            </w:r>
            <w:r w:rsidRPr="00F753FB">
              <w:rPr>
                <w:rFonts w:hint="cs"/>
                <w:b/>
                <w:bCs/>
                <w:rtl/>
              </w:rPr>
              <w:t>שבפיקוחו</w:t>
            </w:r>
            <w:r w:rsidRPr="00F753FB">
              <w:rPr>
                <w:b/>
                <w:bCs/>
                <w:rtl/>
              </w:rPr>
              <w:t xml:space="preserve">, הנוגעים לניהול סיכונים פיננסיים שמקורם בשינויי </w:t>
            </w:r>
            <w:r w:rsidRPr="00F753FB">
              <w:rPr>
                <w:rFonts w:hint="cs"/>
                <w:b/>
                <w:bCs/>
                <w:rtl/>
              </w:rPr>
              <w:t>ה</w:t>
            </w:r>
            <w:r w:rsidRPr="00F753FB">
              <w:rPr>
                <w:b/>
                <w:bCs/>
                <w:rtl/>
              </w:rPr>
              <w:t>אקלים</w:t>
            </w:r>
            <w:r>
              <w:rPr>
                <w:b/>
                <w:bCs/>
              </w:rPr>
              <w:t>:</w:t>
            </w:r>
            <w:r>
              <w:rPr>
                <w:rFonts w:hint="cs"/>
                <w:b/>
                <w:bCs/>
                <w:rtl/>
              </w:rPr>
              <w:t xml:space="preserve"> </w:t>
            </w:r>
          </w:p>
          <w:p w:rsidR="00686209" w:rsidRPr="00414CCC" w:rsidP="00711A1D" w14:paraId="15C22A96" w14:textId="77777777">
            <w:pPr>
              <w:pStyle w:val="73R"/>
              <w:rPr>
                <w:b/>
                <w:bCs/>
                <w:color w:val="00305F"/>
                <w:rtl/>
              </w:rPr>
            </w:pPr>
            <w:r w:rsidRPr="00B233C3">
              <w:rPr>
                <w:rFonts w:hint="cs"/>
                <w:b/>
                <w:bCs/>
                <w:color w:val="1E285C"/>
                <w:rtl/>
              </w:rPr>
              <w:t>פירוט פעולות שדווח שנעשו:</w:t>
            </w:r>
          </w:p>
        </w:tc>
      </w:tr>
      <w:tr w14:paraId="2B39B24A" w14:textId="77777777" w:rsidTr="00134DAB">
        <w:tblPrEx>
          <w:tblW w:w="4997" w:type="pct"/>
          <w:tblInd w:w="111" w:type="dxa"/>
          <w:shd w:val="clear" w:color="auto" w:fill="F0F8F9"/>
          <w:tblLook w:val="04A0"/>
        </w:tblPrEx>
        <w:trPr>
          <w:trHeight w:val="397"/>
        </w:trPr>
        <w:tc>
          <w:tcPr>
            <w:tcW w:w="667" w:type="pct"/>
            <w:vMerge w:val="restart"/>
            <w:shd w:val="clear" w:color="auto" w:fill="DFECEF"/>
          </w:tcPr>
          <w:p w:rsidR="00134DAB" w:rsidP="00134DAB" w14:paraId="4C82D379" w14:textId="77777777">
            <w:pPr>
              <w:pStyle w:val="73R"/>
              <w:rPr>
                <w:rFonts w:ascii="David" w:hAnsi="David"/>
                <w:b/>
                <w:bCs/>
              </w:rPr>
            </w:pPr>
            <w:r w:rsidRPr="00145AB3">
              <w:rPr>
                <w:rFonts w:ascii="David" w:hAnsi="David" w:hint="cs"/>
                <w:b/>
                <w:bCs/>
                <w:rtl/>
              </w:rPr>
              <w:t>שאלון</w:t>
            </w:r>
          </w:p>
          <w:p w:rsidR="00134DAB" w:rsidRPr="00134DAB" w:rsidP="00134DAB" w14:paraId="2DC9F743" w14:textId="51F7B2AE">
            <w:pPr>
              <w:pStyle w:val="73R"/>
              <w:spacing w:before="720"/>
              <w:rPr>
                <w:rFonts w:ascii="David" w:hAnsi="David"/>
                <w:b/>
                <w:bCs/>
                <w:rtl/>
              </w:rPr>
            </w:pPr>
            <w:r w:rsidRPr="00145AB3">
              <w:rPr>
                <w:rFonts w:ascii="David" w:hAnsi="David"/>
                <w:noProof/>
                <w:rtl/>
              </w:rPr>
              <w:drawing>
                <wp:inline distT="0" distB="0" distL="0" distR="0">
                  <wp:extent cx="391784" cy="457082"/>
                  <wp:effectExtent l="0" t="0" r="2540" b="635"/>
                  <wp:docPr id="799122361" name="גרפיקה 799122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3858322" name="גרפיקה 799122361"/>
                          <pic:cNvPicPr/>
                        </pic:nvPicPr>
                        <pic:blipFill>
                          <a:blip xmlns:r="http://schemas.openxmlformats.org/officeDocument/2006/relationships" r:embed="rId58" cstate="print">
                            <a:extLst>
                              <a:ext xmlns:a="http://schemas.openxmlformats.org/drawingml/2006/main" uri="{BEBA8EAE-BF5A-486C-A8C5-ECC9F3942E4B}">
                                <a14:imgProps xmlns:a14="http://schemas.microsoft.com/office/drawing/2010/main">
                                  <a14:imgLayer xmlns:r="http://schemas.openxmlformats.org/officeDocument/2006/relationships" r:embed="rId59">
                                    <a14:imgEffect>
                                      <a14:saturation sat="0"/>
                                    </a14:imgEffect>
                                  </a14:imgLayer>
                                </a14:imgProps>
                              </a:ext>
                              <a:ext xmlns:a="http://schemas.openxmlformats.org/drawingml/2006/main" uri="{28A0092B-C50C-407E-A947-70E740481C1C}">
                                <a14:useLocalDpi xmlns:a14="http://schemas.microsoft.com/office/drawing/2010/main" val="0"/>
                              </a:ext>
                            </a:extLst>
                          </a:blip>
                          <a:stretch>
                            <a:fillRect/>
                          </a:stretch>
                        </pic:blipFill>
                        <pic:spPr>
                          <a:xfrm>
                            <a:off x="0" y="0"/>
                            <a:ext cx="391784" cy="457082"/>
                          </a:xfrm>
                          <a:prstGeom prst="rect">
                            <a:avLst/>
                          </a:prstGeom>
                        </pic:spPr>
                      </pic:pic>
                    </a:graphicData>
                  </a:graphic>
                </wp:inline>
              </w:drawing>
            </w:r>
          </w:p>
        </w:tc>
        <w:tc>
          <w:tcPr>
            <w:tcW w:w="4333" w:type="pct"/>
            <w:shd w:val="clear" w:color="auto" w:fill="DFECEF"/>
            <w:vAlign w:val="center"/>
          </w:tcPr>
          <w:p w:rsidR="00134DAB" w:rsidRPr="00B233C3" w:rsidP="00711A1D" w14:paraId="381F7E36" w14:textId="77777777">
            <w:pPr>
              <w:pStyle w:val="73R"/>
              <w:rPr>
                <w:color w:val="000000" w:themeColor="text1"/>
                <w:rtl/>
              </w:rPr>
            </w:pPr>
            <w:r w:rsidRPr="00B233C3">
              <w:rPr>
                <w:color w:val="000000" w:themeColor="text1"/>
                <w:rtl/>
              </w:rPr>
              <w:t>פורסם נייר עמדה סופ</w:t>
            </w:r>
            <w:r w:rsidRPr="00B233C3">
              <w:rPr>
                <w:rFonts w:hint="cs"/>
                <w:color w:val="000000" w:themeColor="text1"/>
                <w:rtl/>
              </w:rPr>
              <w:t>י</w:t>
            </w:r>
          </w:p>
        </w:tc>
      </w:tr>
      <w:tr w14:paraId="137E9AE6" w14:textId="77777777" w:rsidTr="00134DAB">
        <w:tblPrEx>
          <w:tblW w:w="4997" w:type="pct"/>
          <w:tblInd w:w="111" w:type="dxa"/>
          <w:shd w:val="clear" w:color="auto" w:fill="F0F8F9"/>
          <w:tblLook w:val="04A0"/>
        </w:tblPrEx>
        <w:trPr>
          <w:trHeight w:val="314"/>
        </w:trPr>
        <w:tc>
          <w:tcPr>
            <w:tcW w:w="667" w:type="pct"/>
            <w:vMerge/>
            <w:shd w:val="clear" w:color="auto" w:fill="DFECEF"/>
          </w:tcPr>
          <w:p w:rsidR="00134DAB" w:rsidRPr="00B233C3" w:rsidP="00711A1D" w14:paraId="5F797E19" w14:textId="77777777">
            <w:pPr>
              <w:pStyle w:val="73R"/>
              <w:rPr>
                <w:color w:val="000000" w:themeColor="text1"/>
                <w:rtl/>
              </w:rPr>
            </w:pPr>
          </w:p>
        </w:tc>
        <w:tc>
          <w:tcPr>
            <w:tcW w:w="4333" w:type="pct"/>
            <w:shd w:val="clear" w:color="auto" w:fill="F0F8F9"/>
            <w:vAlign w:val="center"/>
          </w:tcPr>
          <w:p w:rsidR="00134DAB" w:rsidRPr="00B233C3" w:rsidP="00711A1D" w14:paraId="52E76E48" w14:textId="77777777">
            <w:pPr>
              <w:pStyle w:val="73R"/>
              <w:rPr>
                <w:color w:val="000000" w:themeColor="text1"/>
                <w:rtl/>
              </w:rPr>
            </w:pPr>
            <w:r w:rsidRPr="00B233C3">
              <w:rPr>
                <w:color w:val="000000" w:themeColor="text1"/>
                <w:rtl/>
              </w:rPr>
              <w:t>פורסמו הנחיות מחייבות לדיווח לציבור</w:t>
            </w:r>
          </w:p>
        </w:tc>
      </w:tr>
      <w:tr w14:paraId="28B63817" w14:textId="77777777" w:rsidTr="00613940">
        <w:tblPrEx>
          <w:tblW w:w="4997" w:type="pct"/>
          <w:tblInd w:w="111" w:type="dxa"/>
          <w:shd w:val="clear" w:color="auto" w:fill="F0F8F9"/>
          <w:tblLook w:val="04A0"/>
        </w:tblPrEx>
        <w:trPr>
          <w:trHeight w:val="314"/>
        </w:trPr>
        <w:tc>
          <w:tcPr>
            <w:tcW w:w="667" w:type="pct"/>
            <w:vMerge/>
            <w:tcBorders>
              <w:bottom w:val="nil"/>
            </w:tcBorders>
            <w:shd w:val="clear" w:color="auto" w:fill="DFECEF"/>
          </w:tcPr>
          <w:p w:rsidR="00134DAB" w:rsidRPr="00B233C3" w:rsidP="00711A1D" w14:paraId="7B091BC1" w14:textId="77777777">
            <w:pPr>
              <w:pStyle w:val="73R"/>
              <w:rPr>
                <w:color w:val="000000" w:themeColor="text1"/>
                <w:rtl/>
              </w:rPr>
            </w:pPr>
          </w:p>
        </w:tc>
        <w:tc>
          <w:tcPr>
            <w:tcW w:w="4333" w:type="pct"/>
            <w:shd w:val="clear" w:color="auto" w:fill="DFECEF"/>
            <w:vAlign w:val="center"/>
          </w:tcPr>
          <w:p w:rsidR="00134DAB" w:rsidRPr="00B233C3" w:rsidP="00711A1D" w14:paraId="277AAFC7" w14:textId="19862F90">
            <w:pPr>
              <w:pStyle w:val="73R"/>
              <w:rPr>
                <w:color w:val="000000" w:themeColor="text1"/>
                <w:rtl/>
              </w:rPr>
            </w:pPr>
            <w:r w:rsidRPr="00F753FB">
              <w:rPr>
                <w:color w:val="000000" w:themeColor="text1"/>
                <w:rtl/>
              </w:rPr>
              <w:t>ג</w:t>
            </w:r>
            <w:r w:rsidRPr="00F753FB">
              <w:rPr>
                <w:rFonts w:hint="cs"/>
                <w:color w:val="000000" w:themeColor="text1"/>
                <w:rtl/>
              </w:rPr>
              <w:t>י</w:t>
            </w:r>
            <w:r w:rsidRPr="00F753FB">
              <w:rPr>
                <w:color w:val="000000" w:themeColor="text1"/>
                <w:rtl/>
              </w:rPr>
              <w:t>ב</w:t>
            </w:r>
            <w:r w:rsidRPr="00F753FB">
              <w:rPr>
                <w:rFonts w:hint="cs"/>
                <w:color w:val="000000" w:themeColor="text1"/>
                <w:rtl/>
              </w:rPr>
              <w:t>ו</w:t>
            </w:r>
            <w:r w:rsidRPr="00F753FB">
              <w:rPr>
                <w:color w:val="000000" w:themeColor="text1"/>
                <w:rtl/>
              </w:rPr>
              <w:t xml:space="preserve">ש הנחיות </w:t>
            </w:r>
            <w:r w:rsidRPr="00F753FB">
              <w:rPr>
                <w:rFonts w:hint="cs"/>
                <w:color w:val="000000" w:themeColor="text1"/>
                <w:rtl/>
              </w:rPr>
              <w:t>מלבד</w:t>
            </w:r>
            <w:r w:rsidRPr="00F753FB">
              <w:rPr>
                <w:color w:val="000000" w:themeColor="text1"/>
                <w:rtl/>
              </w:rPr>
              <w:t xml:space="preserve"> </w:t>
            </w:r>
            <w:r w:rsidRPr="00F753FB">
              <w:rPr>
                <w:rFonts w:hint="cs"/>
                <w:color w:val="000000" w:themeColor="text1"/>
                <w:rtl/>
              </w:rPr>
              <w:t>ה</w:t>
            </w:r>
            <w:r w:rsidRPr="00F753FB">
              <w:rPr>
                <w:color w:val="000000" w:themeColor="text1"/>
                <w:rtl/>
              </w:rPr>
              <w:t xml:space="preserve">דיווח שמטרתן הקטנת חשיפת </w:t>
            </w:r>
            <w:r w:rsidRPr="00F753FB">
              <w:rPr>
                <w:rFonts w:hint="cs"/>
                <w:color w:val="000000" w:themeColor="text1"/>
                <w:rtl/>
              </w:rPr>
              <w:t>ה</w:t>
            </w:r>
            <w:r w:rsidRPr="00F753FB">
              <w:rPr>
                <w:color w:val="000000" w:themeColor="text1"/>
                <w:rtl/>
              </w:rPr>
              <w:t xml:space="preserve">מפוקחים לסיכוני </w:t>
            </w:r>
            <w:r w:rsidRPr="00F753FB">
              <w:rPr>
                <w:rFonts w:hint="cs"/>
                <w:color w:val="000000" w:themeColor="text1"/>
                <w:rtl/>
              </w:rPr>
              <w:t>ה</w:t>
            </w:r>
            <w:r w:rsidRPr="00F753FB">
              <w:rPr>
                <w:color w:val="000000" w:themeColor="text1"/>
                <w:rtl/>
              </w:rPr>
              <w:t>אקלים</w:t>
            </w:r>
            <w:r>
              <w:rPr>
                <w:color w:val="000000" w:themeColor="text1"/>
                <w:vertAlign w:val="superscript"/>
                <w:rtl/>
              </w:rPr>
              <w:footnoteReference w:id="126"/>
            </w:r>
          </w:p>
        </w:tc>
      </w:tr>
    </w:tbl>
    <w:p w:rsidR="00F20E3F" w:rsidRPr="0096627E" w:rsidP="00686209" w14:paraId="07FFD662" w14:textId="77777777">
      <w:pPr>
        <w:pStyle w:val="7392"/>
        <w:spacing w:before="240"/>
        <w:rPr>
          <w:rtl/>
        </w:rPr>
      </w:pPr>
      <w:r w:rsidRPr="0096627E">
        <w:rPr>
          <w:rFonts w:hint="cs"/>
          <w:rtl/>
        </w:rPr>
        <w:t xml:space="preserve">ממצאי השאלון מעידים כי הפיקוח על הבנקים </w:t>
      </w:r>
      <w:r w:rsidRPr="0096627E">
        <w:rPr>
          <w:rtl/>
        </w:rPr>
        <w:t>החל לנקוט בקרב התאגידים הבנקאיים פעולות היערכות הנוגעות לסיכונים</w:t>
      </w:r>
      <w:r w:rsidRPr="0096627E">
        <w:rPr>
          <w:rFonts w:hint="eastAsia"/>
          <w:rtl/>
        </w:rPr>
        <w:t xml:space="preserve"> הנובעים</w:t>
      </w:r>
      <w:r w:rsidRPr="0096627E">
        <w:rPr>
          <w:rtl/>
        </w:rPr>
        <w:t xml:space="preserve"> </w:t>
      </w:r>
      <w:r w:rsidRPr="0096627E">
        <w:rPr>
          <w:rFonts w:hint="eastAsia"/>
          <w:rtl/>
        </w:rPr>
        <w:t>משינוי</w:t>
      </w:r>
      <w:r w:rsidRPr="0096627E">
        <w:rPr>
          <w:rFonts w:hint="cs"/>
          <w:rtl/>
        </w:rPr>
        <w:t>י האקלים. להלן פירוט עיקרי הפעולות שקודמו במפקח על הבנקים הנוגעות לליקויים ולהמלצות שפורטו לעיל ואשר עלו בביקורת המעקב.</w:t>
      </w:r>
    </w:p>
    <w:p w:rsidR="00F20E3F" w:rsidRPr="00423F7A" w:rsidP="00C44928" w14:paraId="7CD01A8E" w14:textId="1F31A054">
      <w:pPr>
        <w:pStyle w:val="7114"/>
        <w:numPr>
          <w:ilvl w:val="0"/>
          <w:numId w:val="87"/>
        </w:numPr>
      </w:pPr>
      <w:r w:rsidRPr="005E35A4">
        <w:rPr>
          <w:rFonts w:hint="cs"/>
          <w:rtl/>
        </w:rPr>
        <w:t xml:space="preserve">בנושא </w:t>
      </w:r>
      <w:r w:rsidRPr="00783309">
        <w:rPr>
          <w:rFonts w:hint="eastAsia"/>
          <w:b/>
          <w:bCs/>
          <w:rtl/>
        </w:rPr>
        <w:t>ה</w:t>
      </w:r>
      <w:r w:rsidRPr="00783309">
        <w:rPr>
          <w:b/>
          <w:bCs/>
          <w:rtl/>
        </w:rPr>
        <w:t xml:space="preserve">ניהול </w:t>
      </w:r>
      <w:r w:rsidRPr="00783309">
        <w:rPr>
          <w:rFonts w:hint="eastAsia"/>
          <w:b/>
          <w:bCs/>
          <w:rtl/>
        </w:rPr>
        <w:t>ה</w:t>
      </w:r>
      <w:r w:rsidRPr="00783309">
        <w:rPr>
          <w:b/>
          <w:bCs/>
          <w:rtl/>
        </w:rPr>
        <w:t>תאגידי</w:t>
      </w:r>
      <w:r w:rsidRPr="006308CE">
        <w:rPr>
          <w:rtl/>
        </w:rPr>
        <w:t xml:space="preserve"> מסר </w:t>
      </w:r>
      <w:r>
        <w:rPr>
          <w:rFonts w:hint="cs"/>
          <w:rtl/>
        </w:rPr>
        <w:t>הפיקוח</w:t>
      </w:r>
      <w:r w:rsidRPr="006308CE">
        <w:rPr>
          <w:rtl/>
        </w:rPr>
        <w:t xml:space="preserve"> על הבנקים שהוא נמצא בתהליך</w:t>
      </w:r>
      <w:r w:rsidRPr="006308CE">
        <w:t xml:space="preserve"> </w:t>
      </w:r>
      <w:r w:rsidRPr="006308CE">
        <w:rPr>
          <w:rtl/>
        </w:rPr>
        <w:t>של</w:t>
      </w:r>
      <w:r w:rsidRPr="006308CE">
        <w:t xml:space="preserve"> </w:t>
      </w:r>
      <w:r w:rsidRPr="006308CE">
        <w:rPr>
          <w:rtl/>
        </w:rPr>
        <w:t>אימוץ</w:t>
      </w:r>
      <w:r w:rsidRPr="006308CE">
        <w:t xml:space="preserve"> </w:t>
      </w:r>
      <w:r w:rsidRPr="006308CE">
        <w:rPr>
          <w:rtl/>
        </w:rPr>
        <w:t xml:space="preserve">עקרונות </w:t>
      </w:r>
      <w:r>
        <w:rPr>
          <w:rFonts w:hint="cs"/>
          <w:rtl/>
        </w:rPr>
        <w:t>מומלצים מה</w:t>
      </w:r>
      <w:r w:rsidRPr="006308CE">
        <w:rPr>
          <w:rtl/>
        </w:rPr>
        <w:t>עולם (</w:t>
      </w:r>
      <w:r>
        <w:rPr>
          <w:rFonts w:hint="cs"/>
          <w:rtl/>
        </w:rPr>
        <w:t xml:space="preserve">בעיקר במסגרת המלצות </w:t>
      </w:r>
      <w:r w:rsidRPr="006308CE">
        <w:rPr>
          <w:rtl/>
        </w:rPr>
        <w:t>ועדת באזל</w:t>
      </w:r>
      <w:r w:rsidRPr="0073754C">
        <w:rPr>
          <w:rFonts w:hint="cs"/>
          <w:rtl/>
        </w:rPr>
        <w:t xml:space="preserve"> </w:t>
      </w:r>
      <w:r>
        <w:rPr>
          <w:rFonts w:hint="cs"/>
          <w:rtl/>
        </w:rPr>
        <w:t>מיוני 2022</w:t>
      </w:r>
      <w:r>
        <w:rPr>
          <w:rStyle w:val="FootnoteReference2"/>
          <w:rFonts w:ascii="David" w:hAnsi="David"/>
          <w:sz w:val="24"/>
          <w:rtl/>
        </w:rPr>
        <w:footnoteReference w:id="127"/>
      </w:r>
      <w:r w:rsidRPr="006308CE">
        <w:rPr>
          <w:rtl/>
        </w:rPr>
        <w:t>) לניהול</w:t>
      </w:r>
      <w:r w:rsidRPr="006308CE">
        <w:t xml:space="preserve"> </w:t>
      </w:r>
      <w:r w:rsidRPr="006308CE">
        <w:rPr>
          <w:rtl/>
        </w:rPr>
        <w:t>אפקטיבי</w:t>
      </w:r>
      <w:r w:rsidRPr="006308CE">
        <w:rPr>
          <w:rFonts w:hint="cs"/>
          <w:rtl/>
        </w:rPr>
        <w:t xml:space="preserve"> של סיכונים פיננסיים הקשורים ל</w:t>
      </w:r>
      <w:r>
        <w:rPr>
          <w:rFonts w:hint="cs"/>
          <w:rtl/>
        </w:rPr>
        <w:t>שינויי ה</w:t>
      </w:r>
      <w:r w:rsidRPr="006308CE">
        <w:rPr>
          <w:rFonts w:hint="cs"/>
          <w:rtl/>
        </w:rPr>
        <w:t>אקלים</w:t>
      </w:r>
      <w:r w:rsidRPr="006308CE">
        <w:rPr>
          <w:rtl/>
        </w:rPr>
        <w:t xml:space="preserve">, ומדצמבר 2022 מתקיים תהליך לקידום טיוטת הוראה לניהול סיכוני אקלים שקובעת עקרונות </w:t>
      </w:r>
      <w:r>
        <w:rPr>
          <w:rFonts w:hint="cs"/>
          <w:rtl/>
        </w:rPr>
        <w:t>ש</w:t>
      </w:r>
      <w:r w:rsidRPr="006308CE">
        <w:rPr>
          <w:rtl/>
        </w:rPr>
        <w:t>על פיהם נדרשים התאגידים הבנקאיים לפעול כדי לנהל ב</w:t>
      </w:r>
      <w:r>
        <w:rPr>
          <w:rFonts w:hint="cs"/>
          <w:rtl/>
        </w:rPr>
        <w:t>אופן</w:t>
      </w:r>
      <w:r w:rsidRPr="006308CE">
        <w:rPr>
          <w:rtl/>
        </w:rPr>
        <w:t xml:space="preserve"> מיטבי את חשיפתם לסיכונים פיננסיים שקשורים לאקלים.</w:t>
      </w:r>
      <w:r>
        <w:rPr>
          <w:rtl/>
        </w:rPr>
        <w:t xml:space="preserve"> </w:t>
      </w:r>
      <w:r>
        <w:rPr>
          <w:rFonts w:hint="cs"/>
          <w:rtl/>
        </w:rPr>
        <w:t xml:space="preserve">ביוני 2023 פורסמה הוראת ניהול בנקאי תקין </w:t>
      </w:r>
      <w:r w:rsidRPr="00423F7A">
        <w:rPr>
          <w:rtl/>
        </w:rPr>
        <w:t>מס' 345 בנושא עקרונות לניהול אפקטיבי של סיכונים פיננסיים שקשורים לאקלים</w:t>
      </w:r>
      <w:r>
        <w:rPr>
          <w:rStyle w:val="FootnoteReference2"/>
          <w:rtl/>
        </w:rPr>
        <w:footnoteReference w:id="128"/>
      </w:r>
      <w:r>
        <w:rPr>
          <w:rFonts w:hint="cs"/>
          <w:rtl/>
        </w:rPr>
        <w:t xml:space="preserve"> (להלן - הוראת ניהול בנקאי תקין מס' 345).</w:t>
      </w:r>
    </w:p>
    <w:p w:rsidR="00F20E3F" w:rsidP="00C44928" w14:paraId="5697B930" w14:textId="77777777">
      <w:pPr>
        <w:pStyle w:val="7114"/>
        <w:numPr>
          <w:ilvl w:val="0"/>
          <w:numId w:val="87"/>
        </w:numPr>
      </w:pPr>
      <w:r w:rsidRPr="005E35A4">
        <w:rPr>
          <w:rFonts w:hint="cs"/>
          <w:rtl/>
        </w:rPr>
        <w:t xml:space="preserve">בסוגיית </w:t>
      </w:r>
      <w:r>
        <w:rPr>
          <w:rFonts w:hint="cs"/>
          <w:b/>
          <w:bCs/>
          <w:rtl/>
        </w:rPr>
        <w:t>ה</w:t>
      </w:r>
      <w:r w:rsidRPr="00783309">
        <w:rPr>
          <w:rFonts w:hint="eastAsia"/>
          <w:b/>
          <w:bCs/>
          <w:rtl/>
        </w:rPr>
        <w:t>גילוי</w:t>
      </w:r>
      <w:r w:rsidRPr="00783309">
        <w:rPr>
          <w:b/>
          <w:bCs/>
          <w:rtl/>
        </w:rPr>
        <w:t xml:space="preserve"> </w:t>
      </w:r>
      <w:r w:rsidRPr="00783309">
        <w:rPr>
          <w:rFonts w:hint="eastAsia"/>
          <w:b/>
          <w:bCs/>
          <w:rtl/>
        </w:rPr>
        <w:t>ו</w:t>
      </w:r>
      <w:r>
        <w:rPr>
          <w:rFonts w:hint="cs"/>
          <w:b/>
          <w:bCs/>
          <w:rtl/>
        </w:rPr>
        <w:t>ה</w:t>
      </w:r>
      <w:r w:rsidRPr="00783309">
        <w:rPr>
          <w:rFonts w:hint="eastAsia"/>
          <w:b/>
          <w:bCs/>
          <w:rtl/>
        </w:rPr>
        <w:t>דיווח</w:t>
      </w:r>
      <w:r w:rsidRPr="00783309">
        <w:rPr>
          <w:b/>
          <w:bCs/>
          <w:rtl/>
        </w:rPr>
        <w:t xml:space="preserve"> </w:t>
      </w:r>
      <w:r w:rsidRPr="00783309">
        <w:rPr>
          <w:rFonts w:hint="eastAsia"/>
          <w:b/>
          <w:bCs/>
          <w:rtl/>
        </w:rPr>
        <w:t>בנושא</w:t>
      </w:r>
      <w:r w:rsidRPr="00783309">
        <w:rPr>
          <w:b/>
          <w:bCs/>
          <w:rtl/>
        </w:rPr>
        <w:t xml:space="preserve"> </w:t>
      </w:r>
      <w:r w:rsidRPr="00783309">
        <w:rPr>
          <w:rFonts w:hint="eastAsia"/>
          <w:b/>
          <w:bCs/>
          <w:rtl/>
        </w:rPr>
        <w:t>סיכוני</w:t>
      </w:r>
      <w:r w:rsidRPr="00783309">
        <w:rPr>
          <w:b/>
          <w:bCs/>
          <w:rtl/>
        </w:rPr>
        <w:t xml:space="preserve"> </w:t>
      </w:r>
      <w:r>
        <w:rPr>
          <w:rFonts w:hint="cs"/>
          <w:b/>
          <w:bCs/>
          <w:rtl/>
        </w:rPr>
        <w:t>ה</w:t>
      </w:r>
      <w:r w:rsidRPr="00783309">
        <w:rPr>
          <w:rFonts w:hint="eastAsia"/>
          <w:b/>
          <w:bCs/>
          <w:rtl/>
        </w:rPr>
        <w:t>אקלים</w:t>
      </w:r>
      <w:r>
        <w:rPr>
          <w:rFonts w:hint="cs"/>
          <w:rtl/>
        </w:rPr>
        <w:t xml:space="preserve">, הנחיות הדיווח של </w:t>
      </w:r>
      <w:r>
        <w:rPr>
          <w:rFonts w:ascii="David" w:hAnsi="David" w:hint="cs"/>
          <w:sz w:val="24"/>
          <w:rtl/>
        </w:rPr>
        <w:t>הפיקוח</w:t>
      </w:r>
      <w:r w:rsidRPr="006308CE">
        <w:rPr>
          <w:rFonts w:ascii="David" w:hAnsi="David"/>
          <w:sz w:val="24"/>
          <w:rtl/>
        </w:rPr>
        <w:t xml:space="preserve"> </w:t>
      </w:r>
      <w:r>
        <w:rPr>
          <w:rFonts w:hint="cs"/>
          <w:rtl/>
        </w:rPr>
        <w:t>על הבנקים מחייבות את המערכת הבנקאית לדווח בשתי מסגרות עיקריות: (א) דוח דירקטוריון והנהלה של הבנקים ש</w:t>
      </w:r>
      <w:r w:rsidRPr="00F960A2">
        <w:rPr>
          <w:rFonts w:hint="eastAsia"/>
          <w:rtl/>
        </w:rPr>
        <w:t>בו</w:t>
      </w:r>
      <w:r w:rsidRPr="00F960A2">
        <w:rPr>
          <w:rtl/>
        </w:rPr>
        <w:t xml:space="preserve"> </w:t>
      </w:r>
      <w:r w:rsidRPr="00F960A2">
        <w:rPr>
          <w:rFonts w:hint="eastAsia"/>
          <w:rtl/>
        </w:rPr>
        <w:t>הם</w:t>
      </w:r>
      <w:r w:rsidRPr="00F960A2">
        <w:rPr>
          <w:rFonts w:hint="cs"/>
          <w:rtl/>
        </w:rPr>
        <w:t xml:space="preserve"> נדרשים</w:t>
      </w:r>
      <w:r>
        <w:rPr>
          <w:rFonts w:hint="cs"/>
          <w:rtl/>
        </w:rPr>
        <w:t xml:space="preserve"> למסור מידע איכותי וכמותי לגבי חשיפתם לסיכונים סביבתיים (לרבות אקלים) ואופן ניהולם; (ב) דוח דירקטוריון של הבנק שבו היא נדרשת למסור מידע איכותי וכמותי לגבי הסיכונים שאליהם חשוף הבנק, ובכלל זה סיכוני אקלים, ולגבי אופן הניהול של סיכונים אלה, במסגרת דוח "סביבה, חברה וממשל - </w:t>
      </w:r>
      <w:r>
        <w:rPr>
          <w:rFonts w:hint="cs"/>
        </w:rPr>
        <w:t>ESG</w:t>
      </w:r>
      <w:r>
        <w:rPr>
          <w:rFonts w:hint="cs"/>
          <w:rtl/>
        </w:rPr>
        <w:t xml:space="preserve">" (להלן - דוח </w:t>
      </w:r>
      <w:r>
        <w:rPr>
          <w:rFonts w:hint="cs"/>
        </w:rPr>
        <w:t>ESG</w:t>
      </w:r>
      <w:r>
        <w:rPr>
          <w:rFonts w:hint="cs"/>
          <w:rtl/>
        </w:rPr>
        <w:t>).</w:t>
      </w:r>
      <w:r w:rsidRPr="006766AB">
        <w:rPr>
          <w:rFonts w:hint="cs"/>
          <w:rtl/>
        </w:rPr>
        <w:t xml:space="preserve"> </w:t>
      </w:r>
      <w:r>
        <w:rPr>
          <w:rFonts w:hint="cs"/>
          <w:rtl/>
        </w:rPr>
        <w:t xml:space="preserve">כמו כן, לפי </w:t>
      </w:r>
      <w:r>
        <w:rPr>
          <w:rFonts w:ascii="David" w:hAnsi="David" w:hint="cs"/>
          <w:sz w:val="24"/>
          <w:rtl/>
        </w:rPr>
        <w:t>הפיקוח</w:t>
      </w:r>
      <w:r w:rsidRPr="006308CE">
        <w:rPr>
          <w:rFonts w:ascii="David" w:hAnsi="David"/>
          <w:sz w:val="24"/>
          <w:rtl/>
        </w:rPr>
        <w:t xml:space="preserve"> </w:t>
      </w:r>
      <w:r>
        <w:rPr>
          <w:rFonts w:hint="cs"/>
          <w:rtl/>
        </w:rPr>
        <w:t>על הבנקים, בדצמבר 2021 וכן בדצמבר 2022 הוא עדכן פעמיים את חובות גילוי ה-</w:t>
      </w:r>
      <w:r>
        <w:rPr>
          <w:rFonts w:hint="cs"/>
        </w:rPr>
        <w:t>ESG</w:t>
      </w:r>
      <w:r>
        <w:rPr>
          <w:rFonts w:hint="cs"/>
          <w:rtl/>
        </w:rPr>
        <w:t xml:space="preserve"> על המערכת הבנקאית והרחיבן בין היתר כדלקמן: (א) הרחבת הדיווח לכל נושאי ה-</w:t>
      </w:r>
      <w:r>
        <w:rPr>
          <w:rFonts w:hint="cs"/>
        </w:rPr>
        <w:t>ESG</w:t>
      </w:r>
      <w:r>
        <w:rPr>
          <w:rFonts w:hint="cs"/>
          <w:rtl/>
        </w:rPr>
        <w:t xml:space="preserve"> לרבות אקלים; (ב) הרחבת חובת הדיווח לשנתית (במקום דו-שנתית); (ג) הוספת דרישה לכלול את מדדי ה-</w:t>
      </w:r>
      <w:r>
        <w:rPr>
          <w:rFonts w:hint="cs"/>
        </w:rPr>
        <w:t>ESG</w:t>
      </w:r>
      <w:r>
        <w:rPr>
          <w:rFonts w:hint="cs"/>
          <w:rtl/>
        </w:rPr>
        <w:t xml:space="preserve"> ואת מידת השתלבותם ביעדים ובאסטרטגיה של המפוקח; (ד) </w:t>
      </w:r>
      <w:r>
        <w:rPr>
          <w:rtl/>
        </w:rPr>
        <w:t>דריש</w:t>
      </w:r>
      <w:r>
        <w:rPr>
          <w:rFonts w:hint="cs"/>
          <w:rtl/>
        </w:rPr>
        <w:t>ה</w:t>
      </w:r>
      <w:r>
        <w:rPr>
          <w:rtl/>
        </w:rPr>
        <w:t xml:space="preserve"> </w:t>
      </w:r>
      <w:r>
        <w:rPr>
          <w:rFonts w:hint="cs"/>
          <w:rtl/>
        </w:rPr>
        <w:t>ל</w:t>
      </w:r>
      <w:r>
        <w:rPr>
          <w:rtl/>
        </w:rPr>
        <w:t xml:space="preserve">תיאור רחב יותר של הגורמים לסיכונים והזדמנויות </w:t>
      </w:r>
      <w:r>
        <w:rPr>
          <w:rFonts w:hint="cs"/>
          <w:rtl/>
        </w:rPr>
        <w:t>בהקשר הסביבתי</w:t>
      </w:r>
      <w:r>
        <w:rPr>
          <w:rtl/>
        </w:rPr>
        <w:t xml:space="preserve"> והשפעתם, </w:t>
      </w:r>
      <w:r>
        <w:rPr>
          <w:rFonts w:hint="cs"/>
          <w:rtl/>
        </w:rPr>
        <w:t>ו</w:t>
      </w:r>
      <w:r>
        <w:rPr>
          <w:rtl/>
        </w:rPr>
        <w:t xml:space="preserve">גילוי כמותי </w:t>
      </w:r>
      <w:r>
        <w:rPr>
          <w:rFonts w:hint="cs"/>
          <w:rtl/>
        </w:rPr>
        <w:t xml:space="preserve">בנוגע </w:t>
      </w:r>
      <w:r>
        <w:rPr>
          <w:rtl/>
        </w:rPr>
        <w:t xml:space="preserve">למדדים וליעדים </w:t>
      </w:r>
      <w:r>
        <w:rPr>
          <w:rFonts w:hint="cs"/>
          <w:rtl/>
        </w:rPr>
        <w:t>ש</w:t>
      </w:r>
      <w:r>
        <w:rPr>
          <w:rtl/>
        </w:rPr>
        <w:t>בהם משתמש הבנק לניהול</w:t>
      </w:r>
      <w:r>
        <w:rPr>
          <w:rFonts w:hint="cs"/>
          <w:rtl/>
        </w:rPr>
        <w:t>ם; (ה)</w:t>
      </w:r>
      <w:r>
        <w:rPr>
          <w:rtl/>
        </w:rPr>
        <w:t xml:space="preserve"> הרחבת ההתייחסות למידת המעורבות של הדירקטוריון וההנהלה</w:t>
      </w:r>
      <w:r>
        <w:rPr>
          <w:rFonts w:hint="cs"/>
          <w:rtl/>
        </w:rPr>
        <w:t xml:space="preserve">. </w:t>
      </w:r>
    </w:p>
    <w:p w:rsidR="00F20E3F" w:rsidP="0096627E" w14:paraId="15A84D2B" w14:textId="49BD00E2">
      <w:pPr>
        <w:pStyle w:val="7111"/>
        <w:rPr>
          <w:rtl/>
        </w:rPr>
      </w:pPr>
      <w:r>
        <w:rPr>
          <w:rFonts w:hint="cs"/>
          <w:rtl/>
        </w:rPr>
        <w:t xml:space="preserve">יצוין כי לעניין חובות הגילוי לנוכח הסיכונים הגלומים בהיבטי סביבה ואקלים, המשרד </w:t>
      </w:r>
      <w:r>
        <w:rPr>
          <w:rFonts w:hint="cs"/>
          <w:rtl/>
        </w:rPr>
        <w:t>להג"ס</w:t>
      </w:r>
      <w:r>
        <w:rPr>
          <w:rFonts w:hint="cs"/>
          <w:rtl/>
        </w:rPr>
        <w:t xml:space="preserve"> סבור כי הרחבת הדרישה למידע כמותי היא פעולה מקובלת בעולם, והפיקוח על הבנקים </w:t>
      </w:r>
      <w:r w:rsidRPr="00655D96">
        <w:rPr>
          <w:rFonts w:hint="cs"/>
          <w:u w:val="single"/>
          <w:rtl/>
        </w:rPr>
        <w:t>רשאי</w:t>
      </w:r>
      <w:r>
        <w:rPr>
          <w:rFonts w:hint="cs"/>
          <w:rtl/>
        </w:rPr>
        <w:t xml:space="preserve"> לדרוש אותה; נוסף על כך הפיקוח רשאי לדרוש גם דיווח מפורט בהיבט הכמותי, למשל: דיווח על סך ההשקעות של תאגידים בנקאיים בחברות שפולטות </w:t>
      </w:r>
      <w:r>
        <w:rPr>
          <w:rFonts w:hint="cs"/>
          <w:rtl/>
        </w:rPr>
        <w:t>גז"ח</w:t>
      </w:r>
      <w:r>
        <w:rPr>
          <w:rFonts w:hint="cs"/>
          <w:rtl/>
        </w:rPr>
        <w:t xml:space="preserve"> לפי כמות הפליטות (על בסיס עקרונות של חשבונאות פחמן), בייחוד לנוכח הנתונים ולפיהם הבנקים המסחריים בישראל חשופים מאוד </w:t>
      </w:r>
      <w:r w:rsidRPr="00D617B3" w:rsidR="00D617B3">
        <w:rPr>
          <w:rtl/>
        </w:rPr>
        <w:t xml:space="preserve">למגזרים שפליטות </w:t>
      </w:r>
      <w:r w:rsidRPr="00D617B3" w:rsidR="00D617B3">
        <w:rPr>
          <w:rtl/>
        </w:rPr>
        <w:t>הגז"ח</w:t>
      </w:r>
      <w:r w:rsidRPr="00D617B3" w:rsidR="00D617B3">
        <w:rPr>
          <w:rtl/>
        </w:rPr>
        <w:t xml:space="preserve"> שלהם הן בשיעור של 57% מתיק האשראי</w:t>
      </w:r>
      <w:r w:rsidR="00D617B3">
        <w:rPr>
          <w:rFonts w:hint="cs"/>
          <w:rtl/>
        </w:rPr>
        <w:t>,</w:t>
      </w:r>
      <w:r>
        <w:rPr>
          <w:rFonts w:hint="cs"/>
          <w:rtl/>
        </w:rPr>
        <w:t xml:space="preserve"> (לעומת כ-37% במקביליהם האירופאיים)</w:t>
      </w:r>
      <w:r>
        <w:rPr>
          <w:rStyle w:val="FootnoteReference2"/>
          <w:rtl/>
        </w:rPr>
        <w:footnoteReference w:id="129"/>
      </w:r>
      <w:r>
        <w:rPr>
          <w:rFonts w:hint="cs"/>
          <w:rtl/>
        </w:rPr>
        <w:t xml:space="preserve">; גילוי של סוגי האינטרסים הסביבתיים הנשקלים על ידי כל גוף פיננסי; גילוי על הטיפול בסיכונים פיננסיים; גילוי חשיפות לסיכוני סביבה משפטיים ופיזיים ועוד. לפי המשרד </w:t>
      </w:r>
      <w:r>
        <w:rPr>
          <w:rFonts w:hint="cs"/>
          <w:rtl/>
        </w:rPr>
        <w:t>להג"ס</w:t>
      </w:r>
      <w:r>
        <w:rPr>
          <w:rFonts w:hint="cs"/>
          <w:rtl/>
        </w:rPr>
        <w:t xml:space="preserve">, הרחבת </w:t>
      </w:r>
      <w:r>
        <w:rPr>
          <w:rFonts w:hint="cs"/>
          <w:rtl/>
        </w:rPr>
        <w:t>הדיווחים הכמותיים על פליטות ת</w:t>
      </w:r>
      <w:r>
        <w:rPr>
          <w:rtl/>
        </w:rPr>
        <w:t>אפשר להעריך במבט השוואתי ופרטני מה היקף החשיפה לפעילויות מסוכנות</w:t>
      </w:r>
      <w:r>
        <w:rPr>
          <w:rFonts w:hint="cs"/>
          <w:rtl/>
        </w:rPr>
        <w:t xml:space="preserve"> </w:t>
      </w:r>
      <w:r>
        <w:rPr>
          <w:rtl/>
        </w:rPr>
        <w:t>שונות</w:t>
      </w:r>
      <w:r>
        <w:rPr>
          <w:rFonts w:hint="cs"/>
          <w:rtl/>
        </w:rPr>
        <w:t>,</w:t>
      </w:r>
      <w:r>
        <w:rPr>
          <w:rtl/>
        </w:rPr>
        <w:t xml:space="preserve"> כגון פעילויות הקשורות בהפקה ו</w:t>
      </w:r>
      <w:r>
        <w:rPr>
          <w:rFonts w:hint="cs"/>
          <w:rtl/>
        </w:rPr>
        <w:t>ב</w:t>
      </w:r>
      <w:r>
        <w:rPr>
          <w:rtl/>
        </w:rPr>
        <w:t xml:space="preserve">ייצור של דלקים </w:t>
      </w:r>
      <w:r>
        <w:rPr>
          <w:rtl/>
        </w:rPr>
        <w:t>פוסלי</w:t>
      </w:r>
      <w:r>
        <w:rPr>
          <w:rFonts w:hint="cs"/>
          <w:rtl/>
        </w:rPr>
        <w:t>י</w:t>
      </w:r>
      <w:r>
        <w:rPr>
          <w:rtl/>
        </w:rPr>
        <w:t>ם</w:t>
      </w:r>
      <w:r>
        <w:rPr>
          <w:rFonts w:hint="cs"/>
          <w:rtl/>
        </w:rPr>
        <w:t>, על בסיס קריטריונים ברורים ואחידים</w:t>
      </w:r>
      <w:r w:rsidR="000A6921">
        <w:rPr>
          <w:rFonts w:hint="cs"/>
          <w:rtl/>
        </w:rPr>
        <w:t>. כמו כן</w:t>
      </w:r>
      <w:r>
        <w:rPr>
          <w:rFonts w:hint="cs"/>
          <w:rtl/>
        </w:rPr>
        <w:t xml:space="preserve"> תאפשר לציבור ולמפקח על הבנקים לקבל מידע מלא על ההשקעות הפיננסיות ולהשוות בין גופים שונים.</w:t>
      </w:r>
    </w:p>
    <w:p w:rsidR="00F20E3F" w:rsidP="0096627E" w14:paraId="74A51F38" w14:textId="5AB81334">
      <w:pPr>
        <w:pStyle w:val="7111"/>
        <w:rPr>
          <w:rtl/>
        </w:rPr>
      </w:pPr>
      <w:r w:rsidRPr="00136669">
        <w:rPr>
          <w:rFonts w:hint="cs"/>
          <w:rtl/>
        </w:rPr>
        <w:t xml:space="preserve">הפיקוח על הבנקים מסר בתשובתו </w:t>
      </w:r>
      <w:r>
        <w:rPr>
          <w:rFonts w:hint="cs"/>
          <w:rtl/>
        </w:rPr>
        <w:t xml:space="preserve">למשרד מבקר המדינה </w:t>
      </w:r>
      <w:r w:rsidRPr="00136669">
        <w:rPr>
          <w:rFonts w:hint="cs"/>
          <w:rtl/>
        </w:rPr>
        <w:t xml:space="preserve">מאוגוסט 2023 </w:t>
      </w:r>
      <w:r>
        <w:rPr>
          <w:rFonts w:hint="cs"/>
          <w:rtl/>
        </w:rPr>
        <w:t xml:space="preserve">(להלן - תשובת הפיקוח על הבנקים) </w:t>
      </w:r>
      <w:r w:rsidRPr="00136669">
        <w:rPr>
          <w:rFonts w:hint="cs"/>
          <w:rtl/>
        </w:rPr>
        <w:t xml:space="preserve">כי </w:t>
      </w:r>
      <w:r>
        <w:rPr>
          <w:rFonts w:hint="cs"/>
          <w:rtl/>
        </w:rPr>
        <w:t>לעמדתו</w:t>
      </w:r>
      <w:r w:rsidRPr="00136669">
        <w:rPr>
          <w:rFonts w:hint="cs"/>
          <w:rtl/>
        </w:rPr>
        <w:t xml:space="preserve"> טרם הושגה התכנסות בדרישות הגילוי </w:t>
      </w:r>
      <w:r>
        <w:rPr>
          <w:rFonts w:hint="cs"/>
          <w:rtl/>
        </w:rPr>
        <w:t xml:space="preserve">הכמותי של פליטות </w:t>
      </w:r>
      <w:r w:rsidRPr="00136669">
        <w:rPr>
          <w:rFonts w:hint="cs"/>
          <w:rtl/>
        </w:rPr>
        <w:t>המקובלות בעולם</w:t>
      </w:r>
      <w:r>
        <w:rPr>
          <w:rFonts w:hint="cs"/>
          <w:rtl/>
        </w:rPr>
        <w:t>,</w:t>
      </w:r>
      <w:r w:rsidRPr="00136669">
        <w:rPr>
          <w:rFonts w:hint="cs"/>
          <w:rtl/>
        </w:rPr>
        <w:t xml:space="preserve"> ועדיין מתבצעת עבודה לגיבוש סטנדרט גילוי עולמי אחיד. לכן </w:t>
      </w:r>
      <w:r w:rsidRPr="00136669">
        <w:rPr>
          <w:rtl/>
        </w:rPr>
        <w:t xml:space="preserve">לא נכון </w:t>
      </w:r>
      <w:r>
        <w:rPr>
          <w:rFonts w:hint="cs"/>
          <w:rtl/>
        </w:rPr>
        <w:t xml:space="preserve">לעמדתו </w:t>
      </w:r>
      <w:r w:rsidRPr="00136669">
        <w:rPr>
          <w:rtl/>
        </w:rPr>
        <w:t>לקבוע בעיתוי הנוכחי דרישות כמותיות מפורטות מקומיות</w:t>
      </w:r>
      <w:r w:rsidRPr="00136669">
        <w:rPr>
          <w:rFonts w:hint="cs"/>
          <w:rtl/>
        </w:rPr>
        <w:t xml:space="preserve"> </w:t>
      </w:r>
      <w:r w:rsidRPr="00136669">
        <w:rPr>
          <w:rtl/>
        </w:rPr>
        <w:t>לתאגידים הבנקאיים בישראל</w:t>
      </w:r>
      <w:r w:rsidRPr="00136669">
        <w:rPr>
          <w:rFonts w:hint="cs"/>
          <w:rtl/>
        </w:rPr>
        <w:t xml:space="preserve">. עוד מסר </w:t>
      </w:r>
      <w:r>
        <w:rPr>
          <w:rFonts w:hint="cs"/>
          <w:rtl/>
        </w:rPr>
        <w:t xml:space="preserve">הפיקוח על הבנקים </w:t>
      </w:r>
      <w:r w:rsidRPr="00136669">
        <w:rPr>
          <w:rFonts w:hint="cs"/>
          <w:rtl/>
        </w:rPr>
        <w:t xml:space="preserve">כי </w:t>
      </w:r>
      <w:r>
        <w:rPr>
          <w:rFonts w:hint="cs"/>
          <w:rtl/>
        </w:rPr>
        <w:t>אין זה</w:t>
      </w:r>
      <w:r w:rsidRPr="00136669">
        <w:rPr>
          <w:rtl/>
        </w:rPr>
        <w:t xml:space="preserve"> נכון לדרוש מהתאגידים הבנקאיים בישראל לתת גילוי המתבסס על</w:t>
      </w:r>
      <w:r w:rsidRPr="00136669">
        <w:rPr>
          <w:rFonts w:hint="cs"/>
          <w:rtl/>
        </w:rPr>
        <w:t xml:space="preserve"> </w:t>
      </w:r>
      <w:r w:rsidRPr="00136669">
        <w:rPr>
          <w:rtl/>
        </w:rPr>
        <w:t>מידע על החברות השונות במשק כל זמן שמידע זה בעיקרו אינו זמין לדיווח</w:t>
      </w:r>
      <w:r>
        <w:rPr>
          <w:rFonts w:hint="cs"/>
          <w:rtl/>
        </w:rPr>
        <w:t>,</w:t>
      </w:r>
      <w:r w:rsidRPr="00136669">
        <w:rPr>
          <w:rFonts w:hint="cs"/>
          <w:rtl/>
        </w:rPr>
        <w:t xml:space="preserve"> כגון בהקשר של פליטות פחמן של לווים בנקאיים. לצד זאת הפיקוח על הבנקים מסר כי הוא ימשיך לעקוב אחר </w:t>
      </w:r>
      <w:r>
        <w:rPr>
          <w:rFonts w:hint="cs"/>
          <w:rtl/>
        </w:rPr>
        <w:t>ה</w:t>
      </w:r>
      <w:r w:rsidRPr="00136669">
        <w:rPr>
          <w:rFonts w:hint="cs"/>
          <w:rtl/>
        </w:rPr>
        <w:t>ה</w:t>
      </w:r>
      <w:r w:rsidRPr="00136669">
        <w:rPr>
          <w:rtl/>
        </w:rPr>
        <w:t>תפתחויות במידע שחברות שונות במשק מפרסמות, כדי</w:t>
      </w:r>
      <w:r w:rsidRPr="00136669">
        <w:rPr>
          <w:rFonts w:hint="cs"/>
          <w:rtl/>
        </w:rPr>
        <w:t xml:space="preserve"> </w:t>
      </w:r>
      <w:r w:rsidRPr="00136669">
        <w:rPr>
          <w:rtl/>
        </w:rPr>
        <w:t>לבחון כיצד ניתן להתקדם אופרטיבית ביישום דרישות גילוי כמותיות בהיבט זה.</w:t>
      </w:r>
    </w:p>
    <w:p w:rsidR="00F20E3F" w:rsidRPr="007A065D" w:rsidP="0096627E" w14:paraId="7DAB94D0" w14:textId="77777777">
      <w:pPr>
        <w:pStyle w:val="7111"/>
        <w:rPr>
          <w:rtl/>
        </w:rPr>
      </w:pPr>
      <w:r>
        <w:rPr>
          <w:rFonts w:hint="cs"/>
          <w:rtl/>
        </w:rPr>
        <w:t xml:space="preserve">הפיקוח על הבנקים מסר גם כי יימשך לימוד נושא תרחישי הקיצון האקלימיים, וכי בעולם קיימת הטרוגניות מבחינת האופי, הקצב והמשך של התרחישים, </w:t>
      </w:r>
      <w:r w:rsidRPr="00A167E3">
        <w:rPr>
          <w:rtl/>
        </w:rPr>
        <w:t xml:space="preserve">ויש מקום תחילה לפעול להבשלת יישום התשתית </w:t>
      </w:r>
      <w:r w:rsidRPr="00A167E3">
        <w:rPr>
          <w:rtl/>
        </w:rPr>
        <w:t>ההסדרתית</w:t>
      </w:r>
      <w:r>
        <w:rPr>
          <w:rFonts w:hint="cs"/>
          <w:rtl/>
        </w:rPr>
        <w:t xml:space="preserve"> בעניין זה, וכי הנושא יעלה גם במסגרת פורום מקצועי שהוא עתיד לקיים בעניין זה.</w:t>
      </w:r>
    </w:p>
    <w:p w:rsidR="00F20E3F" w:rsidP="00C44928" w14:paraId="3A78D7F0" w14:textId="77777777">
      <w:pPr>
        <w:pStyle w:val="7114"/>
        <w:numPr>
          <w:ilvl w:val="0"/>
          <w:numId w:val="31"/>
        </w:numPr>
      </w:pPr>
      <w:r>
        <w:rPr>
          <w:rFonts w:hint="cs"/>
          <w:rtl/>
        </w:rPr>
        <w:t xml:space="preserve">בסוגיית </w:t>
      </w:r>
      <w:r w:rsidRPr="004F54F6">
        <w:rPr>
          <w:b/>
          <w:bCs/>
          <w:rtl/>
        </w:rPr>
        <w:t>תרחישי קיצון סביבתיים</w:t>
      </w:r>
      <w:r w:rsidRPr="0063290D">
        <w:rPr>
          <w:rtl/>
        </w:rPr>
        <w:t xml:space="preserve"> </w:t>
      </w:r>
      <w:r>
        <w:rPr>
          <w:rFonts w:hint="cs"/>
          <w:b/>
          <w:bCs/>
          <w:rtl/>
        </w:rPr>
        <w:t>ו</w:t>
      </w:r>
      <w:r w:rsidRPr="004F54F6">
        <w:rPr>
          <w:rFonts w:hint="cs"/>
          <w:b/>
          <w:bCs/>
          <w:rtl/>
        </w:rPr>
        <w:t>יציבות המערכת הבנקאי</w:t>
      </w:r>
      <w:r>
        <w:rPr>
          <w:rFonts w:hint="cs"/>
          <w:b/>
          <w:bCs/>
          <w:rtl/>
        </w:rPr>
        <w:t>ת</w:t>
      </w:r>
      <w:r>
        <w:rPr>
          <w:rFonts w:hint="cs"/>
          <w:rtl/>
        </w:rPr>
        <w:t xml:space="preserve"> מסר </w:t>
      </w:r>
      <w:r>
        <w:rPr>
          <w:rFonts w:ascii="David" w:hAnsi="David" w:hint="cs"/>
          <w:sz w:val="24"/>
          <w:rtl/>
        </w:rPr>
        <w:t>הפיקוח</w:t>
      </w:r>
      <w:r w:rsidRPr="006308CE">
        <w:rPr>
          <w:rFonts w:ascii="David" w:hAnsi="David"/>
          <w:sz w:val="24"/>
          <w:rtl/>
        </w:rPr>
        <w:t xml:space="preserve"> </w:t>
      </w:r>
      <w:r>
        <w:rPr>
          <w:rFonts w:hint="cs"/>
          <w:rtl/>
        </w:rPr>
        <w:t xml:space="preserve">על הבנקים כי הנושא מצוי בשלב לימוד של האופן שהוא מבוצע אצל רגולטורים פיננסיים מובילים בעולם, וכי בכוונתו לרכוש כלים </w:t>
      </w:r>
      <w:r w:rsidRPr="007C005C">
        <w:rPr>
          <w:rtl/>
        </w:rPr>
        <w:t>למדידת החשיפה של מערכת הבנקאות לסיכוני אקלים, ועיקרם גיבוש תרחיש קיצון אקלימי אחיד</w:t>
      </w:r>
      <w:r>
        <w:rPr>
          <w:rFonts w:hint="cs"/>
          <w:rtl/>
        </w:rPr>
        <w:t xml:space="preserve"> וקידום מבחני קיצון אקלימיים</w:t>
      </w:r>
      <w:r>
        <w:rPr>
          <w:rStyle w:val="FootnoteReference2"/>
          <w:rtl/>
        </w:rPr>
        <w:footnoteReference w:id="130"/>
      </w:r>
      <w:r>
        <w:rPr>
          <w:rFonts w:hint="cs"/>
          <w:rtl/>
        </w:rPr>
        <w:t xml:space="preserve"> כדי לבחון את ההתמודדות של המערכת הבנקאית לאירועים ספציפיים, לרבות בכל הקשור לסיכוני מעבר.</w:t>
      </w:r>
    </w:p>
    <w:p w:rsidR="00F20E3F" w:rsidRPr="0096627E" w:rsidP="0096627E" w14:paraId="4900ED13" w14:textId="77777777">
      <w:pPr>
        <w:pStyle w:val="7111"/>
      </w:pPr>
      <w:r w:rsidRPr="0096627E">
        <w:rPr>
          <w:rFonts w:hint="cs"/>
          <w:rtl/>
        </w:rPr>
        <w:t xml:space="preserve">לעניין נושא קידום מבחני קיצון אקלימיים מסר הפיקוח על הבנקים בתשובתו כי הוא </w:t>
      </w:r>
      <w:r w:rsidRPr="0096627E">
        <w:rPr>
          <w:rtl/>
        </w:rPr>
        <w:t>פועל לפיתוח ולשיפור היכולות של</w:t>
      </w:r>
      <w:r w:rsidRPr="0096627E">
        <w:rPr>
          <w:rFonts w:hint="cs"/>
          <w:rtl/>
        </w:rPr>
        <w:t xml:space="preserve"> </w:t>
      </w:r>
      <w:r w:rsidRPr="0096627E">
        <w:rPr>
          <w:rtl/>
        </w:rPr>
        <w:t>ניתוח תרחישים ועריכת מבחני קיצון כחלק מקידום ניהול מיטבי של סיכוני אקלים במערכת</w:t>
      </w:r>
      <w:r w:rsidRPr="0096627E">
        <w:rPr>
          <w:rFonts w:hint="cs"/>
          <w:rtl/>
        </w:rPr>
        <w:t xml:space="preserve"> </w:t>
      </w:r>
      <w:r w:rsidRPr="0096627E">
        <w:rPr>
          <w:rtl/>
        </w:rPr>
        <w:t>הבנקאית</w:t>
      </w:r>
      <w:r w:rsidRPr="0096627E">
        <w:rPr>
          <w:rFonts w:hint="cs"/>
          <w:rtl/>
        </w:rPr>
        <w:t>; וכי הוא מתמודד עם</w:t>
      </w:r>
      <w:r w:rsidRPr="0096627E">
        <w:rPr>
          <w:rtl/>
        </w:rPr>
        <w:t xml:space="preserve"> </w:t>
      </w:r>
      <w:r w:rsidRPr="0096627E">
        <w:rPr>
          <w:rFonts w:hint="cs"/>
          <w:rtl/>
        </w:rPr>
        <w:t xml:space="preserve">בעיית </w:t>
      </w:r>
      <w:r w:rsidRPr="0096627E">
        <w:rPr>
          <w:rtl/>
        </w:rPr>
        <w:t xml:space="preserve">מחסור בנתונים </w:t>
      </w:r>
      <w:r w:rsidRPr="0096627E">
        <w:rPr>
          <w:rFonts w:hint="cs"/>
          <w:rtl/>
        </w:rPr>
        <w:t>בישראל שמקשה על פי</w:t>
      </w:r>
      <w:r w:rsidRPr="0096627E">
        <w:rPr>
          <w:rtl/>
        </w:rPr>
        <w:t>תוח מתודולוגיה סדורה</w:t>
      </w:r>
      <w:r w:rsidRPr="0096627E">
        <w:rPr>
          <w:rFonts w:hint="cs"/>
          <w:rtl/>
        </w:rPr>
        <w:t xml:space="preserve"> </w:t>
      </w:r>
      <w:r w:rsidRPr="0096627E">
        <w:rPr>
          <w:rtl/>
        </w:rPr>
        <w:t>לניהול סיכוני אקלים בכלל ו</w:t>
      </w:r>
      <w:r w:rsidRPr="0096627E">
        <w:rPr>
          <w:rFonts w:hint="cs"/>
          <w:rtl/>
        </w:rPr>
        <w:t xml:space="preserve">על </w:t>
      </w:r>
      <w:r w:rsidRPr="0096627E">
        <w:rPr>
          <w:rtl/>
        </w:rPr>
        <w:t>ניתוח תרחישים בפרט</w:t>
      </w:r>
      <w:r w:rsidRPr="0096627E">
        <w:rPr>
          <w:rFonts w:hint="cs"/>
          <w:rtl/>
        </w:rPr>
        <w:t xml:space="preserve">, שכן </w:t>
      </w:r>
      <w:r w:rsidRPr="0096627E">
        <w:rPr>
          <w:rtl/>
        </w:rPr>
        <w:t>בשלב זה</w:t>
      </w:r>
      <w:r w:rsidRPr="0096627E">
        <w:rPr>
          <w:rFonts w:hint="cs"/>
          <w:rtl/>
        </w:rPr>
        <w:t xml:space="preserve"> </w:t>
      </w:r>
      <w:r w:rsidRPr="0096627E">
        <w:rPr>
          <w:rtl/>
        </w:rPr>
        <w:t>לא פרסמו הגופים הבי</w:t>
      </w:r>
      <w:r w:rsidRPr="0096627E">
        <w:rPr>
          <w:rFonts w:hint="cs"/>
          <w:rtl/>
        </w:rPr>
        <w:t>ן-</w:t>
      </w:r>
      <w:r w:rsidRPr="0096627E">
        <w:rPr>
          <w:rtl/>
        </w:rPr>
        <w:t xml:space="preserve">לאומיים תרחישים שמותאמים למדינת ישראל, </w:t>
      </w:r>
      <w:r w:rsidRPr="0096627E">
        <w:rPr>
          <w:rFonts w:hint="cs"/>
          <w:rtl/>
        </w:rPr>
        <w:t>ו</w:t>
      </w:r>
      <w:r w:rsidRPr="0096627E">
        <w:rPr>
          <w:rtl/>
        </w:rPr>
        <w:t>אין לישראל</w:t>
      </w:r>
      <w:r w:rsidRPr="0096627E">
        <w:rPr>
          <w:rFonts w:hint="cs"/>
          <w:rtl/>
        </w:rPr>
        <w:t xml:space="preserve"> </w:t>
      </w:r>
      <w:r w:rsidRPr="0096627E">
        <w:rPr>
          <w:rtl/>
        </w:rPr>
        <w:t xml:space="preserve">תשתית דומה שניתן לאמץ כדי לבסס עליה תרחיש מקומי. </w:t>
      </w:r>
    </w:p>
    <w:p w:rsidR="00F20E3F" w:rsidP="00287CB1" w14:paraId="4393D868" w14:textId="77777777">
      <w:pPr>
        <w:pStyle w:val="7114"/>
        <w:numPr>
          <w:ilvl w:val="0"/>
          <w:numId w:val="31"/>
        </w:numPr>
        <w:rPr>
          <w:rtl/>
        </w:rPr>
      </w:pPr>
      <w:r w:rsidRPr="00753B99">
        <w:rPr>
          <w:rFonts w:hint="cs"/>
          <w:rtl/>
        </w:rPr>
        <w:t xml:space="preserve">בנוגע </w:t>
      </w:r>
      <w:r>
        <w:rPr>
          <w:rFonts w:hint="cs"/>
          <w:b/>
          <w:bCs/>
          <w:rtl/>
        </w:rPr>
        <w:t>ל</w:t>
      </w:r>
      <w:r w:rsidRPr="004F54F6">
        <w:rPr>
          <w:rFonts w:hint="cs"/>
          <w:b/>
          <w:bCs/>
          <w:rtl/>
        </w:rPr>
        <w:t>ניהול סיכונים פיננסיים שמקורם באקלים בבנקים</w:t>
      </w:r>
      <w:r w:rsidRPr="00012944">
        <w:rPr>
          <w:rtl/>
        </w:rPr>
        <w:t>,</w:t>
      </w:r>
      <w:r>
        <w:rPr>
          <w:rFonts w:hint="cs"/>
          <w:rtl/>
        </w:rPr>
        <w:t xml:space="preserve"> כאמור ביוני 2023 פורסמה הוראת ניהול בנקאי תקין מס' 345. הוראה זו כוללת 12 </w:t>
      </w:r>
      <w:r>
        <w:rPr>
          <w:rtl/>
        </w:rPr>
        <w:t xml:space="preserve">עקרונות-על </w:t>
      </w:r>
      <w:r>
        <w:rPr>
          <w:rFonts w:hint="cs"/>
          <w:rtl/>
        </w:rPr>
        <w:t>המבוססים על מסמך באזל ואשר מנחים</w:t>
      </w:r>
      <w:r>
        <w:rPr>
          <w:rtl/>
        </w:rPr>
        <w:t xml:space="preserve"> </w:t>
      </w:r>
      <w:r>
        <w:rPr>
          <w:rFonts w:hint="cs"/>
          <w:rtl/>
        </w:rPr>
        <w:t>בנקים</w:t>
      </w:r>
      <w:r>
        <w:rPr>
          <w:rtl/>
        </w:rPr>
        <w:t xml:space="preserve"> </w:t>
      </w:r>
      <w:r>
        <w:rPr>
          <w:rFonts w:hint="cs"/>
          <w:rtl/>
        </w:rPr>
        <w:t xml:space="preserve">בדבר </w:t>
      </w:r>
      <w:r>
        <w:rPr>
          <w:rtl/>
        </w:rPr>
        <w:t>ניהול אפקטיבי של סיכונים פיננסיים שקשורים</w:t>
      </w:r>
      <w:r>
        <w:rPr>
          <w:rFonts w:hint="cs"/>
          <w:rtl/>
        </w:rPr>
        <w:t xml:space="preserve"> </w:t>
      </w:r>
      <w:r>
        <w:rPr>
          <w:rtl/>
        </w:rPr>
        <w:t>לאקלים</w:t>
      </w:r>
      <w:r>
        <w:rPr>
          <w:rFonts w:hint="cs"/>
          <w:rtl/>
        </w:rPr>
        <w:t>, בין היתר</w:t>
      </w:r>
      <w:r>
        <w:rPr>
          <w:rtl/>
        </w:rPr>
        <w:t xml:space="preserve"> </w:t>
      </w:r>
      <w:r>
        <w:rPr>
          <w:rFonts w:hint="cs"/>
          <w:rtl/>
        </w:rPr>
        <w:t xml:space="preserve">בהקשר של </w:t>
      </w:r>
      <w:r>
        <w:rPr>
          <w:rtl/>
        </w:rPr>
        <w:t>ממשל תאגידי</w:t>
      </w:r>
      <w:r>
        <w:rPr>
          <w:rFonts w:hint="cs"/>
          <w:rtl/>
        </w:rPr>
        <w:t xml:space="preserve">, הון ונזילות, ניהול סיכונים הנוגעים לפעילות של התאגידים הבנקאיים ועוד. הוראה זו מפרטת בין היתר כי על תאגידים בנקאיים להטמיע תהליך סדור להבנת ההשפעות והסיכונים שקשורים לאקלים על פעילותם הפיננסית </w:t>
      </w:r>
      <w:r>
        <w:rPr>
          <w:rFonts w:hint="cs"/>
          <w:rtl/>
        </w:rPr>
        <w:t>ולאמץ מדיניות כדי להבטיח ניהול אפקטיבי שלהם. ההוראה מרחיבה את ההתייחסות גם לסיכוני סביבה בציינה כי "בנוסף לסיכוני האקלים, תאגיד בנקאי עלול להיות חשוף לסיכוני סביבה אחרים</w:t>
      </w:r>
      <w:r>
        <w:rPr>
          <w:rStyle w:val="FootnoteReference2"/>
          <w:rtl/>
        </w:rPr>
        <w:footnoteReference w:id="131"/>
      </w:r>
      <w:r>
        <w:rPr>
          <w:rFonts w:hint="cs"/>
          <w:rtl/>
        </w:rPr>
        <w:t>... מצופה כי התאגיד הבנקאי יישם ככל הניתן את העקרונות של הוראה זו גם בניהולו את הסיכונים הפיננסיים שקשורים לסיכוני סביבה אחרים". לפי הפיקוח על הבנקים, הוראת הניהול הבנקאי האמורה לעיל עומדת ביחס לסטנדרטים המקובלים בעולם, ומדובר באימוץ המלצות באזל בזמן קצר של כשנה.</w:t>
      </w:r>
    </w:p>
    <w:p w:rsidR="00F20E3F" w:rsidRPr="0096627E" w:rsidP="0096627E" w14:paraId="19E1D3D8" w14:textId="77777777">
      <w:pPr>
        <w:pStyle w:val="719"/>
      </w:pPr>
      <w:r w:rsidRPr="0096627E">
        <w:rPr>
          <w:rFonts w:hint="cs"/>
          <w:rtl/>
        </w:rPr>
        <w:t>הפיקוח</w:t>
      </w:r>
      <w:r w:rsidRPr="0096627E">
        <w:rPr>
          <w:rtl/>
        </w:rPr>
        <w:t xml:space="preserve"> </w:t>
      </w:r>
      <w:r w:rsidRPr="0096627E">
        <w:rPr>
          <w:rFonts w:hint="cs"/>
          <w:rtl/>
        </w:rPr>
        <w:t xml:space="preserve">על הבנקים התייחס גם לתנאים הרוחביים שחסרים בישראל לצורך השלמת הטמעת סיכוני האקלים וציין כי יש חוסר ודאות בישראל בהקשרים הרחבים של הטמעת נושא סיכוני האקלים - במסגרת </w:t>
      </w:r>
      <w:r w:rsidRPr="0096627E">
        <w:rPr>
          <w:rtl/>
        </w:rPr>
        <w:t xml:space="preserve">הרגולטורית והחוקית הכללית במדינה, לרבות חוק אקלים, יעדים ברורים ומחייבים, </w:t>
      </w:r>
      <w:r w:rsidRPr="0096627E">
        <w:rPr>
          <w:rFonts w:hint="cs"/>
          <w:rtl/>
        </w:rPr>
        <w:t>ה</w:t>
      </w:r>
      <w:r w:rsidRPr="0096627E">
        <w:rPr>
          <w:rtl/>
        </w:rPr>
        <w:t>מדיניות הממשלתית הכוללת ות</w:t>
      </w:r>
      <w:r w:rsidRPr="0096627E">
        <w:rPr>
          <w:rFonts w:hint="cs"/>
          <w:rtl/>
        </w:rPr>
        <w:t>ו</w:t>
      </w:r>
      <w:r w:rsidRPr="0096627E">
        <w:rPr>
          <w:rtl/>
        </w:rPr>
        <w:t xml:space="preserve">כניות פעולה קונקרטיות </w:t>
      </w:r>
      <w:r w:rsidRPr="0096627E">
        <w:rPr>
          <w:rFonts w:hint="cs"/>
          <w:rtl/>
        </w:rPr>
        <w:t>ו</w:t>
      </w:r>
      <w:r w:rsidRPr="0096627E">
        <w:rPr>
          <w:rtl/>
        </w:rPr>
        <w:t xml:space="preserve">בהירות בנושא מס </w:t>
      </w:r>
      <w:r w:rsidRPr="0096627E">
        <w:rPr>
          <w:rFonts w:hint="cs"/>
          <w:rtl/>
        </w:rPr>
        <w:t>ה</w:t>
      </w:r>
      <w:r w:rsidRPr="0096627E">
        <w:rPr>
          <w:rtl/>
        </w:rPr>
        <w:t>פחמן</w:t>
      </w:r>
      <w:r w:rsidRPr="0096627E">
        <w:rPr>
          <w:rFonts w:hint="cs"/>
          <w:rtl/>
        </w:rPr>
        <w:t>,</w:t>
      </w:r>
      <w:r w:rsidRPr="0096627E">
        <w:rPr>
          <w:rtl/>
        </w:rPr>
        <w:t xml:space="preserve"> </w:t>
      </w:r>
      <w:r w:rsidRPr="0096627E">
        <w:rPr>
          <w:rFonts w:hint="cs"/>
          <w:rtl/>
        </w:rPr>
        <w:t xml:space="preserve">זאת גם לצד </w:t>
      </w:r>
      <w:r w:rsidRPr="0096627E">
        <w:rPr>
          <w:rtl/>
        </w:rPr>
        <w:t>דרישות הגילוי המוטלות על הגופים העסקיים.</w:t>
      </w:r>
      <w:r w:rsidRPr="0096627E">
        <w:rPr>
          <w:rFonts w:hint="cs"/>
          <w:rtl/>
        </w:rPr>
        <w:t xml:space="preserve"> לדברי הפיקוח על הבנקים, </w:t>
      </w:r>
      <w:r w:rsidRPr="0096627E">
        <w:rPr>
          <w:rtl/>
        </w:rPr>
        <w:t xml:space="preserve">ציפיות פיקוחיות בנושא סיכוני </w:t>
      </w:r>
      <w:r w:rsidRPr="0096627E">
        <w:rPr>
          <w:rFonts w:hint="cs"/>
          <w:rtl/>
        </w:rPr>
        <w:t>ה</w:t>
      </w:r>
      <w:r w:rsidRPr="0096627E">
        <w:rPr>
          <w:rtl/>
        </w:rPr>
        <w:t>אקלים א</w:t>
      </w:r>
      <w:r w:rsidRPr="0096627E">
        <w:rPr>
          <w:rFonts w:hint="cs"/>
          <w:rtl/>
        </w:rPr>
        <w:t>ינן</w:t>
      </w:r>
      <w:r w:rsidRPr="0096627E">
        <w:rPr>
          <w:rtl/>
        </w:rPr>
        <w:t xml:space="preserve"> יכולות להתהוות במנותק בהקשרים אלה בישראל, ו</w:t>
      </w:r>
      <w:r w:rsidRPr="0096627E">
        <w:rPr>
          <w:rFonts w:hint="cs"/>
          <w:rtl/>
        </w:rPr>
        <w:t xml:space="preserve">חוסר הוודאות הקיים כאמור לצד </w:t>
      </w:r>
      <w:r w:rsidRPr="0096627E">
        <w:rPr>
          <w:rtl/>
        </w:rPr>
        <w:t>היעדר</w:t>
      </w:r>
      <w:r w:rsidRPr="0096627E">
        <w:rPr>
          <w:rFonts w:hint="cs"/>
          <w:rtl/>
        </w:rPr>
        <w:t>ה</w:t>
      </w:r>
      <w:r w:rsidRPr="0096627E">
        <w:rPr>
          <w:rtl/>
        </w:rPr>
        <w:t xml:space="preserve"> </w:t>
      </w:r>
      <w:r w:rsidRPr="0096627E">
        <w:rPr>
          <w:rFonts w:hint="cs"/>
          <w:rtl/>
        </w:rPr>
        <w:t xml:space="preserve">של </w:t>
      </w:r>
      <w:r w:rsidRPr="0096627E">
        <w:rPr>
          <w:rtl/>
        </w:rPr>
        <w:t>תשתית לאומית הכרחית של מידע ודיווח, מגביל</w:t>
      </w:r>
      <w:r w:rsidRPr="0096627E">
        <w:rPr>
          <w:rFonts w:hint="cs"/>
          <w:rtl/>
        </w:rPr>
        <w:t>ה</w:t>
      </w:r>
      <w:r w:rsidRPr="0096627E">
        <w:rPr>
          <w:rtl/>
        </w:rPr>
        <w:t xml:space="preserve"> את היכולת של המערכת הבנקאית לנהל באופן מיטבי את סיכוני האקלים</w:t>
      </w:r>
      <w:r w:rsidRPr="0096627E">
        <w:rPr>
          <w:rFonts w:hint="cs"/>
          <w:rtl/>
        </w:rPr>
        <w:t xml:space="preserve">. </w:t>
      </w:r>
    </w:p>
    <w:p w:rsidR="00F20E3F" w:rsidRPr="0096627E" w:rsidP="0096627E" w14:paraId="0788B294" w14:textId="77777777">
      <w:pPr>
        <w:pStyle w:val="7317"/>
        <w:rPr>
          <w:rtl/>
        </w:rPr>
      </w:pPr>
      <w:r w:rsidRPr="0096627E">
        <w:rPr>
          <w:rFonts w:hint="cs"/>
          <w:rtl/>
        </w:rPr>
        <w:t>בדוח הקודם עלה שהפיקוח על הבנקים לא התייחס במפורש לסיכוני האקלים בהנחיות לגופים המפוקחים והותיר את העניין לשיקול דעת רחב יחסית. בביקורת המעקב עלה כי מאז הדוח הקודם, בשנים 2021 ו-2022, נקט הפיקוח על הבנקים כמה יוזמות ובהן הרחבת חובות גילוי וקידום טיוטת הוראה הנוגעת לסיכונים פיננסיים שמקורם בשינויי האקלים. ביוני 2023 פורסמה הוראת ניהול בנקאי תקין מס' 345 בנושא עקרונות לניהול אפקטיבי של סיכונים פיננסיים שקשורים לאקלים, ובה עקרונות רבים אשר אימצו את המלצות ועדת באזל משנת 2022. כמו כן חלה התקדמות של ממש בפעילות הפיקוח על הבנקים הן בנושא ההתייחסות המפורשת לנושא האקלים והרחבתו גם לסיכוני סביבה נוספים והן בהגברת חובות הגילוי שחלות כיום על המערכת הבנקאית. לצד זאת נמצא כי הפיקוח על הבנקים אינו דורש חובות גילוי כמותיות על פליטות של המפוקחים על אף קיומם של כמה סטנדרטים מובילים בעולם המעגנים מתודולוגיות בתחום זה, ונמצא פער בנוגע לצורך ביצירת קריטריונים אחידים לדיווח על ידי התאגידים הבנקאיים. נוסף על כך, קיימים פערים ברמת מערכת הבנקאות, למשל בנוגע לביצוע מבחני קיצון אקלימיים כדי לבחון את יכולת התמודדותם בישראל במקרה של התממשות סיכוני אקלים וסביבה.</w:t>
      </w:r>
    </w:p>
    <w:p w:rsidR="000A6921" w:rsidP="0096627E" w14:paraId="0AE6488A" w14:textId="77777777">
      <w:pPr>
        <w:pStyle w:val="7317"/>
        <w:rPr>
          <w:rtl/>
        </w:rPr>
      </w:pPr>
      <w:r w:rsidRPr="000A6921">
        <w:rPr>
          <w:rtl/>
        </w:rPr>
        <w:t xml:space="preserve">כדי להגביר עוד יותר את ההיערכות לסיכונים הפיננסיים כתוצאה ממשבר האקלים, מוצע כי בהקשר של חובות גילוי, הפיקוח על הבנקים יבחן את האפשרות לכלול בדיווחי הבנקים רשימת קריטריונים ברורה ואחידה לגבי חובות גילוי של דיווחי אקלים כמותיים הנוגעים לאופן חישוב פליטות </w:t>
      </w:r>
      <w:r w:rsidRPr="000A6921">
        <w:rPr>
          <w:rtl/>
        </w:rPr>
        <w:t>גז"ח</w:t>
      </w:r>
      <w:r w:rsidRPr="000A6921">
        <w:rPr>
          <w:rtl/>
        </w:rPr>
        <w:t>, לסוגי האינטרסים הסביבתיים הנשקלים ולדרך ניהול הסיכונים הקשורים באקלים (פיזיים ומעבר). זאת, לאור פרסום סטנדרטים מובילים לדיווח בנושא קיימות ואקלים של ה-</w:t>
      </w:r>
      <w:r w:rsidRPr="000A6921">
        <w:t>IFRS</w:t>
      </w:r>
      <w:r w:rsidRPr="000A6921">
        <w:rPr>
          <w:rtl/>
        </w:rPr>
        <w:t xml:space="preserve"> ביוני 2023 והשלמת סטנדרטים מוסכמים מרכזיים נוספים נכון למועד הביקורת כמו אלו שבאיחוד האירופי (</w:t>
      </w:r>
      <w:r w:rsidRPr="000A6921">
        <w:t>SFDR</w:t>
      </w:r>
      <w:r w:rsidRPr="000A6921">
        <w:rPr>
          <w:rtl/>
        </w:rPr>
        <w:t xml:space="preserve">), וסטנדרטים לחשבונאות פחמן כמו 14064 </w:t>
      </w:r>
      <w:r w:rsidRPr="000A6921">
        <w:t>ISO</w:t>
      </w:r>
      <w:r w:rsidRPr="000A6921">
        <w:rPr>
          <w:rtl/>
        </w:rPr>
        <w:t xml:space="preserve"> וה-</w:t>
      </w:r>
      <w:r w:rsidRPr="000A6921">
        <w:t>Greenhouse Gas Protocol</w:t>
      </w:r>
      <w:r w:rsidRPr="000A6921">
        <w:rPr>
          <w:rtl/>
        </w:rPr>
        <w:t xml:space="preserve"> (המשמשים באופן תדיר את הסקטור הפרטי ומדינות שונות).   </w:t>
      </w:r>
    </w:p>
    <w:p w:rsidR="00F20E3F" w:rsidRPr="0096627E" w:rsidP="0096627E" w14:paraId="49E5442D" w14:textId="4D8E737A">
      <w:pPr>
        <w:pStyle w:val="7317"/>
        <w:rPr>
          <w:rtl/>
        </w:rPr>
      </w:pPr>
      <w:r w:rsidRPr="000A6921">
        <w:rPr>
          <w:rtl/>
        </w:rPr>
        <w:t>לנוכח התייחסות הפיקוח על הבנקים לחוסר הוודאות שקיים בישראל בנוגע למסגרת הרגולטורית והחוקית הכללית הנוגעת לתחום האקלים, אשר מגביל</w:t>
      </w:r>
      <w:r w:rsidR="002E0FD1">
        <w:rPr>
          <w:rFonts w:hint="cs"/>
          <w:rtl/>
        </w:rPr>
        <w:t>ות</w:t>
      </w:r>
      <w:r w:rsidRPr="000A6921">
        <w:rPr>
          <w:rtl/>
        </w:rPr>
        <w:t xml:space="preserve"> </w:t>
      </w:r>
      <w:r w:rsidRPr="000A6921" w:rsidR="002E0FD1">
        <w:rPr>
          <w:rtl/>
        </w:rPr>
        <w:t>"</w:t>
      </w:r>
      <w:r w:rsidRPr="000A6921">
        <w:rPr>
          <w:rtl/>
        </w:rPr>
        <w:t>את היכולת של המערכת הבנקאית לנהל באופן מיטבי את סיכוני האקלים", מומלץ כי בנק ישראל ימשיך וישקף לממשלה במסגרת תהליכי קבלת ההחלטות הנוגעות לחקיקה ולמדיניות הממשלתית בנושא סיכוני האקלים את השפעות חוסר הוודאות, הנובע</w:t>
      </w:r>
      <w:r w:rsidR="002E0FD1">
        <w:rPr>
          <w:rFonts w:hint="cs"/>
          <w:rtl/>
        </w:rPr>
        <w:t>ות</w:t>
      </w:r>
      <w:r w:rsidRPr="000A6921">
        <w:rPr>
          <w:rtl/>
        </w:rPr>
        <w:t xml:space="preserve"> בין היתר מאי-מיצוי הליך החקיקה, מהיעדרה של נקיטת פעולה ממשלתית כוללת </w:t>
      </w:r>
      <w:r w:rsidRPr="000A6921">
        <w:rPr>
          <w:rtl/>
        </w:rPr>
        <w:t>ומתוכללת</w:t>
      </w:r>
      <w:r w:rsidRPr="000A6921">
        <w:rPr>
          <w:rtl/>
        </w:rPr>
        <w:t xml:space="preserve"> ומהיעדרה של תשתית לאומית הכרחית של מידע ודיווח. שיקוף ההשפעות נכון שייעשה גם למול רשויות רגולטוריות פיננסיות מקבילות; כל זאת כדי שניתן יהיה לשפר עוד יותר את המוכנות של מערכת הבנקאות וגופים פיננסיים אחרים לסיכוני האקלים</w:t>
      </w:r>
      <w:r w:rsidRPr="0096627E">
        <w:rPr>
          <w:rFonts w:hint="cs"/>
          <w:rtl/>
        </w:rPr>
        <w:t>.</w:t>
      </w:r>
    </w:p>
    <w:p w:rsidR="00FB13B2" w:rsidRPr="00363CE5" w:rsidP="00FB13B2" w14:paraId="2A46D450" w14:textId="77777777">
      <w:pPr>
        <w:pStyle w:val="0-"/>
        <w:rPr>
          <w:rtl/>
        </w:rPr>
      </w:pPr>
      <w:r w:rsidRPr="00363CE5">
        <w:rPr>
          <w:rFonts w:hint="cs"/>
          <w:rtl/>
        </w:rPr>
        <w:t>מידת תיקון הליקוי</w:t>
      </w:r>
    </w:p>
    <w:p w:rsidR="00FB13B2" w:rsidRPr="00363CE5" w:rsidP="00FB13B2" w14:paraId="7A4BCBD6" w14:textId="77777777">
      <w:pPr>
        <w:spacing w:before="240" w:after="360"/>
        <w:jc w:val="center"/>
        <w:rPr>
          <w:rtl/>
        </w:rPr>
      </w:pPr>
      <w:r>
        <w:rPr>
          <w:noProof/>
          <w:rtl/>
          <w:lang w:val="he-IL"/>
        </w:rPr>
        <w:drawing>
          <wp:inline distT="0" distB="0" distL="0" distR="0">
            <wp:extent cx="4069328" cy="794015"/>
            <wp:effectExtent l="0" t="0" r="0" b="0"/>
            <wp:docPr id="1216099384" name="תמונה 1216099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699155" name="תמונה 1216099384"/>
                    <pic:cNvPicPr/>
                  </pic:nvPicPr>
                  <pic:blipFill>
                    <a:blip xmlns:r="http://schemas.openxmlformats.org/officeDocument/2006/relationships" r:embed="rId56">
                      <a:extLst>
                        <a:ext xmlns:a="http://schemas.openxmlformats.org/drawingml/2006/main" uri="{28A0092B-C50C-407E-A947-70E740481C1C}">
                          <a14:useLocalDpi xmlns:a14="http://schemas.microsoft.com/office/drawing/2010/main" val="0"/>
                        </a:ext>
                      </a:extLst>
                    </a:blip>
                    <a:stretch>
                      <a:fillRect/>
                    </a:stretch>
                  </pic:blipFill>
                  <pic:spPr>
                    <a:xfrm>
                      <a:off x="0" y="0"/>
                      <a:ext cx="4069328" cy="794015"/>
                    </a:xfrm>
                    <a:prstGeom prst="rect">
                      <a:avLst/>
                    </a:prstGeom>
                  </pic:spPr>
                </pic:pic>
              </a:graphicData>
            </a:graphic>
          </wp:inline>
        </w:drawing>
      </w:r>
    </w:p>
    <w:p w:rsidR="00F20E3F" w:rsidRPr="00D62F18" w:rsidP="007B7A97" w14:paraId="15B4D463" w14:textId="77777777">
      <w:pPr>
        <w:pStyle w:val="73414"/>
        <w:rPr>
          <w:rtl/>
        </w:rPr>
      </w:pPr>
      <w:r w:rsidRPr="00D62F18">
        <w:rPr>
          <w:rFonts w:hint="cs"/>
          <w:rtl/>
        </w:rPr>
        <w:t xml:space="preserve">השקעות בתחומי </w:t>
      </w:r>
      <w:r w:rsidRPr="00012944">
        <w:rPr>
          <w:sz w:val="24"/>
          <w:szCs w:val="24"/>
        </w:rPr>
        <w:t>ESG</w:t>
      </w:r>
      <w:r w:rsidRPr="00012944">
        <w:rPr>
          <w:sz w:val="24"/>
          <w:szCs w:val="24"/>
          <w:rtl/>
        </w:rPr>
        <w:t xml:space="preserve"> </w:t>
      </w:r>
      <w:r w:rsidRPr="00D62F18">
        <w:rPr>
          <w:rFonts w:hint="cs"/>
          <w:rtl/>
        </w:rPr>
        <w:t>במסגרת ניהול יתרות מט"ח של בנק ישראל</w:t>
      </w:r>
    </w:p>
    <w:p w:rsidR="00F20E3F" w:rsidRPr="0096627E" w:rsidP="0096627E" w14:paraId="456E11A2" w14:textId="77777777">
      <w:pPr>
        <w:pStyle w:val="73120"/>
        <w:rPr>
          <w:rtl/>
        </w:rPr>
      </w:pPr>
      <w:r w:rsidRPr="0096627E">
        <w:rPr>
          <w:rtl/>
        </w:rPr>
        <w:t>הדוח הקודם</w:t>
      </w:r>
    </w:p>
    <w:p w:rsidR="00F20E3F" w:rsidRPr="0096627E" w:rsidP="0096627E" w14:paraId="2AA741B4" w14:textId="77777777">
      <w:pPr>
        <w:pStyle w:val="7392"/>
        <w:rPr>
          <w:rtl/>
        </w:rPr>
      </w:pPr>
      <w:r w:rsidRPr="0096627E">
        <w:rPr>
          <w:rStyle w:val="7339"/>
          <w:rFonts w:hint="eastAsia"/>
          <w:color w:val="0073C3"/>
          <w:rtl/>
        </w:rPr>
        <w:t>הליקוי</w:t>
      </w:r>
      <w:r w:rsidRPr="0096627E">
        <w:rPr>
          <w:rStyle w:val="7339"/>
          <w:color w:val="0073C3"/>
          <w:rtl/>
        </w:rPr>
        <w:t>:</w:t>
      </w:r>
      <w:r w:rsidRPr="0096627E">
        <w:rPr>
          <w:rFonts w:hint="cs"/>
          <w:color w:val="0073C3"/>
          <w:rtl/>
        </w:rPr>
        <w:t xml:space="preserve"> </w:t>
      </w:r>
      <w:r w:rsidRPr="0096627E">
        <w:rPr>
          <w:rFonts w:hint="cs"/>
          <w:rtl/>
        </w:rPr>
        <w:t>ארגון ה-</w:t>
      </w:r>
      <w:r w:rsidRPr="0096627E">
        <w:t>NGFS</w:t>
      </w:r>
      <w:r w:rsidRPr="0096627E">
        <w:rPr>
          <w:rtl/>
        </w:rPr>
        <w:t xml:space="preserve"> </w:t>
      </w:r>
      <w:r w:rsidRPr="0096627E">
        <w:rPr>
          <w:rFonts w:hint="cs"/>
          <w:rtl/>
        </w:rPr>
        <w:t>(</w:t>
      </w:r>
      <w:r w:rsidRPr="0096627E">
        <w:t>Network for Greening the Financial System</w:t>
      </w:r>
      <w:r w:rsidRPr="0096627E">
        <w:rPr>
          <w:rFonts w:hint="cs"/>
          <w:rtl/>
        </w:rPr>
        <w:t>)</w:t>
      </w:r>
      <w:r>
        <w:rPr>
          <w:rStyle w:val="FootnoteReference2"/>
          <w:rtl/>
        </w:rPr>
        <w:footnoteReference w:id="132"/>
      </w:r>
      <w:r w:rsidRPr="0096627E">
        <w:rPr>
          <w:rFonts w:hint="cs"/>
          <w:rtl/>
        </w:rPr>
        <w:t xml:space="preserve"> </w:t>
      </w:r>
      <w:r w:rsidRPr="0096627E">
        <w:rPr>
          <w:rtl/>
        </w:rPr>
        <w:t xml:space="preserve">מעודד בנקים מרכזיים ורגולטורים פיננסיים ברחבי העולם להכליל שיקולי קיימות </w:t>
      </w:r>
      <w:r w:rsidRPr="0096627E">
        <w:t>(</w:t>
      </w:r>
      <w:r w:rsidRPr="0096627E">
        <w:rPr>
          <w:rFonts w:hint="cs"/>
        </w:rPr>
        <w:t>ESG</w:t>
      </w:r>
      <w:r w:rsidRPr="0096627E">
        <w:t>)</w:t>
      </w:r>
      <w:r w:rsidRPr="0096627E">
        <w:rPr>
          <w:rFonts w:hint="cs"/>
          <w:rtl/>
        </w:rPr>
        <w:t xml:space="preserve"> </w:t>
      </w:r>
      <w:r w:rsidRPr="0096627E">
        <w:rPr>
          <w:rtl/>
        </w:rPr>
        <w:t>בניהול התיקים שלהם בלי לפגוע בתפקידם העיקרי</w:t>
      </w:r>
      <w:r w:rsidRPr="0096627E">
        <w:rPr>
          <w:rFonts w:hint="cs"/>
          <w:rtl/>
        </w:rPr>
        <w:t xml:space="preserve">. בדוח הקודם </w:t>
      </w:r>
      <w:r w:rsidRPr="0096627E">
        <w:rPr>
          <w:rtl/>
        </w:rPr>
        <w:t>עלה כי תיק יתרות</w:t>
      </w:r>
      <w:r w:rsidRPr="0096627E">
        <w:rPr>
          <w:rFonts w:hint="cs"/>
          <w:rtl/>
        </w:rPr>
        <w:t xml:space="preserve"> מטבע החוץ (להלן - מט"ח) שמנהל </w:t>
      </w:r>
      <w:r w:rsidRPr="0096627E">
        <w:rPr>
          <w:rtl/>
        </w:rPr>
        <w:t>בנק ישראל א</w:t>
      </w:r>
      <w:r w:rsidRPr="0096627E">
        <w:rPr>
          <w:rFonts w:hint="cs"/>
          <w:rtl/>
        </w:rPr>
        <w:t>ינו</w:t>
      </w:r>
      <w:r w:rsidRPr="0096627E">
        <w:rPr>
          <w:rtl/>
        </w:rPr>
        <w:t xml:space="preserve"> מושקע בהשקעות האמורות.</w:t>
      </w:r>
    </w:p>
    <w:p w:rsidR="00F20E3F" w:rsidRPr="0096627E" w:rsidP="0096627E" w14:paraId="6D9065AA" w14:textId="77777777">
      <w:pPr>
        <w:pStyle w:val="7392"/>
        <w:rPr>
          <w:rtl/>
        </w:rPr>
      </w:pPr>
      <w:r w:rsidRPr="0096627E">
        <w:rPr>
          <w:rStyle w:val="7339"/>
          <w:rFonts w:hint="eastAsia"/>
          <w:color w:val="0073C3"/>
          <w:rtl/>
        </w:rPr>
        <w:t>ההמלצה</w:t>
      </w:r>
      <w:r w:rsidRPr="0096627E">
        <w:rPr>
          <w:rStyle w:val="7339"/>
          <w:color w:val="0073C3"/>
          <w:rtl/>
        </w:rPr>
        <w:t>:</w:t>
      </w:r>
      <w:r w:rsidRPr="0096627E">
        <w:rPr>
          <w:rtl/>
        </w:rPr>
        <w:t xml:space="preserve"> </w:t>
      </w:r>
      <w:r w:rsidRPr="0096627E">
        <w:rPr>
          <w:rFonts w:hint="cs"/>
          <w:rtl/>
        </w:rPr>
        <w:t>ה</w:t>
      </w:r>
      <w:r w:rsidRPr="0096627E">
        <w:rPr>
          <w:rtl/>
        </w:rPr>
        <w:t xml:space="preserve">ומלץ כי בנק ישראל ישלים את הבחינה שיזם להרחבת היתרות המושקעות בהתאם לעקרונות </w:t>
      </w:r>
      <w:r w:rsidRPr="0096627E">
        <w:rPr>
          <w:rFonts w:hint="cs"/>
          <w:rtl/>
        </w:rPr>
        <w:t>ה-</w:t>
      </w:r>
      <w:r w:rsidRPr="0096627E">
        <w:t>ESG</w:t>
      </w:r>
      <w:r w:rsidRPr="0096627E">
        <w:rPr>
          <w:rtl/>
        </w:rPr>
        <w:t xml:space="preserve"> ואת שילוב גידור הסיכונים הנובעים משינויי האקלים במדיניות הבנק לניהול</w:t>
      </w:r>
      <w:r w:rsidRPr="0096627E">
        <w:rPr>
          <w:rFonts w:hint="cs"/>
          <w:rtl/>
        </w:rPr>
        <w:t xml:space="preserve"> תיק</w:t>
      </w:r>
      <w:r w:rsidRPr="0096627E">
        <w:rPr>
          <w:rtl/>
        </w:rPr>
        <w:t xml:space="preserve"> יתרות</w:t>
      </w:r>
      <w:r w:rsidRPr="0096627E">
        <w:rPr>
          <w:rFonts w:hint="cs"/>
          <w:rtl/>
        </w:rPr>
        <w:t xml:space="preserve"> </w:t>
      </w:r>
      <w:r w:rsidRPr="0096627E">
        <w:rPr>
          <w:rFonts w:hint="cs"/>
          <w:rtl/>
        </w:rPr>
        <w:t>המט"ח</w:t>
      </w:r>
      <w:r w:rsidRPr="0096627E">
        <w:rPr>
          <w:rtl/>
        </w:rPr>
        <w:t>.</w:t>
      </w:r>
    </w:p>
    <w:p w:rsidR="00F20E3F" w:rsidRPr="0096627E" w:rsidP="0096627E" w14:paraId="57990B57" w14:textId="77777777">
      <w:pPr>
        <w:pStyle w:val="7392"/>
        <w:rPr>
          <w:rtl/>
        </w:rPr>
      </w:pPr>
      <w:r w:rsidRPr="0096627E">
        <w:rPr>
          <w:rStyle w:val="7339"/>
          <w:color w:val="0073C3"/>
          <w:rtl/>
        </w:rPr>
        <w:t xml:space="preserve">תגובת </w:t>
      </w:r>
      <w:r w:rsidRPr="0096627E">
        <w:rPr>
          <w:rStyle w:val="7339"/>
          <w:rFonts w:hint="cs"/>
          <w:color w:val="0073C3"/>
          <w:rtl/>
        </w:rPr>
        <w:t>בנק ישראל</w:t>
      </w:r>
      <w:r w:rsidRPr="0096627E">
        <w:rPr>
          <w:rStyle w:val="7339"/>
          <w:color w:val="0073C3"/>
          <w:rtl/>
        </w:rPr>
        <w:t xml:space="preserve"> על הדוח הקודם</w:t>
      </w:r>
      <w:r w:rsidRPr="0096627E">
        <w:rPr>
          <w:rStyle w:val="7339"/>
          <w:rFonts w:hint="cs"/>
          <w:color w:val="0073C3"/>
          <w:rtl/>
        </w:rPr>
        <w:t>:</w:t>
      </w:r>
      <w:r w:rsidRPr="0096627E">
        <w:rPr>
          <w:rStyle w:val="7"/>
          <w:rFonts w:eastAsiaTheme="minorHAnsi" w:hint="cs"/>
          <w:bCs w:val="0"/>
          <w:spacing w:val="0"/>
          <w:rtl/>
        </w:rPr>
        <w:t xml:space="preserve"> </w:t>
      </w:r>
      <w:r w:rsidRPr="0096627E">
        <w:rPr>
          <w:rtl/>
        </w:rPr>
        <w:t xml:space="preserve">עוד לפני הביקורת של מבקר המדינה </w:t>
      </w:r>
      <w:r w:rsidRPr="0096627E">
        <w:rPr>
          <w:rFonts w:hint="cs"/>
          <w:rtl/>
        </w:rPr>
        <w:t xml:space="preserve">הקים </w:t>
      </w:r>
      <w:r w:rsidRPr="0096627E">
        <w:rPr>
          <w:rtl/>
        </w:rPr>
        <w:t xml:space="preserve">הבנק </w:t>
      </w:r>
      <w:r w:rsidRPr="0096627E">
        <w:rPr>
          <w:rFonts w:hint="cs"/>
          <w:rtl/>
        </w:rPr>
        <w:t xml:space="preserve">בשנת 2021 </w:t>
      </w:r>
      <w:r w:rsidRPr="0096627E">
        <w:rPr>
          <w:rtl/>
        </w:rPr>
        <w:t>צוות לבחינת שילוב כללים להשקעות אחראיות במדיניות ההשקעה. ממצאי הצוות והמלצותיו יוצגו לנגיד ולוועדה המוניטרית במהלך</w:t>
      </w:r>
      <w:r w:rsidRPr="0096627E">
        <w:rPr>
          <w:rFonts w:hint="cs"/>
          <w:rtl/>
        </w:rPr>
        <w:t xml:space="preserve"> שנת</w:t>
      </w:r>
      <w:r w:rsidRPr="0096627E">
        <w:rPr>
          <w:rtl/>
        </w:rPr>
        <w:t xml:space="preserve"> 2022.</w:t>
      </w:r>
      <w:r w:rsidRPr="0096627E">
        <w:rPr>
          <w:rFonts w:hint="cs"/>
          <w:rtl/>
        </w:rPr>
        <w:t xml:space="preserve"> </w:t>
      </w:r>
      <w:r w:rsidRPr="0096627E">
        <w:rPr>
          <w:rFonts w:hint="eastAsia"/>
          <w:rtl/>
        </w:rPr>
        <w:t>ה</w:t>
      </w:r>
      <w:r w:rsidRPr="0096627E">
        <w:rPr>
          <w:rtl/>
        </w:rPr>
        <w:t>ודגש כי קביעת מדיניות ההשקעה, לרבות שילוב כללים להשקעות אחראיות, נתון לשיקול דעתה של הוועדה המוניטרית.</w:t>
      </w:r>
    </w:p>
    <w:p w:rsidR="00F20E3F" w:rsidP="0096627E" w14:paraId="45493808" w14:textId="77777777">
      <w:pPr>
        <w:pStyle w:val="73120"/>
        <w:rPr>
          <w:rtl/>
        </w:rPr>
      </w:pPr>
      <w:r w:rsidRPr="002E5ABF">
        <w:rPr>
          <w:rFonts w:hint="cs"/>
          <w:rtl/>
        </w:rPr>
        <w:t>ביקורת המעקב</w:t>
      </w:r>
      <w:r>
        <w:rPr>
          <w:rFonts w:hint="cs"/>
          <w:rtl/>
        </w:rPr>
        <w:t xml:space="preserve"> </w:t>
      </w:r>
    </w:p>
    <w:p w:rsidR="00F20E3F" w:rsidRPr="0096627E" w:rsidP="0096627E" w14:paraId="24F776BB" w14:textId="3F7986D6">
      <w:pPr>
        <w:pStyle w:val="7392"/>
        <w:rPr>
          <w:rtl/>
        </w:rPr>
      </w:pPr>
      <w:r w:rsidRPr="0096627E">
        <w:rPr>
          <w:rtl/>
        </w:rPr>
        <w:t>הסיכונים הפיזיים וסיכוני המעבר משפיעים על כלל הגורמים במשק - על העסקים דרך הנזק לרכוש</w:t>
      </w:r>
      <w:r w:rsidRPr="0096627E">
        <w:rPr>
          <w:rFonts w:hint="cs"/>
          <w:rtl/>
        </w:rPr>
        <w:t>;</w:t>
      </w:r>
      <w:r w:rsidRPr="0096627E">
        <w:rPr>
          <w:rtl/>
        </w:rPr>
        <w:t xml:space="preserve"> על השינויים בדפוסי הביקוש או במבנה העלויות; על משק הבית דרך אובדן הכנסה או נזק לרכוש</w:t>
      </w:r>
      <w:r w:rsidRPr="0096627E">
        <w:rPr>
          <w:rFonts w:hint="cs"/>
          <w:rtl/>
        </w:rPr>
        <w:t>;</w:t>
      </w:r>
      <w:r w:rsidRPr="0096627E">
        <w:rPr>
          <w:rFonts w:hint="cs"/>
        </w:rPr>
        <w:t xml:space="preserve"> </w:t>
      </w:r>
      <w:r w:rsidRPr="0096627E">
        <w:rPr>
          <w:rtl/>
        </w:rPr>
        <w:t>על העלייה ביוקר המחיה לנוכח ההש</w:t>
      </w:r>
      <w:r w:rsidRPr="0096627E">
        <w:rPr>
          <w:rFonts w:hint="cs"/>
          <w:rtl/>
        </w:rPr>
        <w:t>פע</w:t>
      </w:r>
      <w:r w:rsidRPr="0096627E">
        <w:rPr>
          <w:rtl/>
        </w:rPr>
        <w:t xml:space="preserve">ות המתגברות של שינויי האקלים על שרשרת האספקה של המוצרים והשירותים; ועל המדינה ברמת המקרו. השפעות אלו מתורגמות בשוק ההון לסיכונים פיננסיים </w:t>
      </w:r>
      <w:r w:rsidRPr="0096627E">
        <w:rPr>
          <w:rFonts w:hint="cs"/>
          <w:rtl/>
        </w:rPr>
        <w:t>(כמו סיכוני אשראי, סיכוני נזילות וסיכוני שוק). בנוגע להשקעה במדינות (למשל באמצעות אגרות-חוב מדינה), קיימים גם "סיכוני מדינות", כלומר סיכוני</w:t>
      </w:r>
      <w:r w:rsidR="000A6921">
        <w:rPr>
          <w:rFonts w:hint="cs"/>
          <w:rtl/>
        </w:rPr>
        <w:t>ם</w:t>
      </w:r>
      <w:r w:rsidRPr="0096627E">
        <w:rPr>
          <w:rFonts w:hint="cs"/>
          <w:rtl/>
        </w:rPr>
        <w:t xml:space="preserve"> פיננסיים שעלולים להתרחש ככל שיש </w:t>
      </w:r>
      <w:r w:rsidRPr="0096627E">
        <w:rPr>
          <w:rtl/>
        </w:rPr>
        <w:t>התנהלות סביבתית לקויה של מדינה או השפעה רבה של נזקי האקלים עליה</w:t>
      </w:r>
      <w:r w:rsidRPr="0096627E">
        <w:rPr>
          <w:rFonts w:hint="cs"/>
          <w:rtl/>
        </w:rPr>
        <w:t xml:space="preserve"> (להלן ביחד - סיכונים פיננסיים שמקורם בשינויי האקלים)</w:t>
      </w:r>
      <w:r>
        <w:rPr>
          <w:rStyle w:val="FootnoteReference2"/>
          <w:rtl/>
        </w:rPr>
        <w:footnoteReference w:id="133"/>
      </w:r>
      <w:r w:rsidRPr="0096627E">
        <w:rPr>
          <w:rFonts w:hint="cs"/>
          <w:rtl/>
        </w:rPr>
        <w:t xml:space="preserve">. </w:t>
      </w:r>
    </w:p>
    <w:p w:rsidR="00F20E3F" w:rsidRPr="0096627E" w:rsidP="0096627E" w14:paraId="4492A605" w14:textId="77777777">
      <w:pPr>
        <w:pStyle w:val="7392"/>
        <w:rPr>
          <w:rtl/>
        </w:rPr>
      </w:pPr>
      <w:r w:rsidRPr="0096627E">
        <w:rPr>
          <w:rFonts w:hint="cs"/>
          <w:rtl/>
        </w:rPr>
        <w:t>בשל הסיכונים האמורים, ארגונים בין-לאומיים שונים עוסקים בדרכים למזער אותם בנגזרות שונות, אחת מהן היא הנגזרת של הבנקים המרכזיים. למשל, ארגון ה-</w:t>
      </w:r>
      <w:r w:rsidRPr="0096627E">
        <w:t>NGFS</w:t>
      </w:r>
      <w:r>
        <w:rPr>
          <w:rStyle w:val="FootnoteReference2"/>
          <w:rtl/>
        </w:rPr>
        <w:footnoteReference w:id="134"/>
      </w:r>
      <w:r w:rsidRPr="0096627E">
        <w:rPr>
          <w:rFonts w:hint="cs"/>
          <w:rtl/>
        </w:rPr>
        <w:t xml:space="preserve"> של הבנקים המרכזיים זיהה שני צירים מקשרים בין "השקעות אחראיות" (</w:t>
      </w:r>
      <w:r w:rsidRPr="0096627E">
        <w:t>SRI</w:t>
      </w:r>
      <w:r w:rsidRPr="0096627E">
        <w:rPr>
          <w:rFonts w:hint="cs"/>
          <w:rtl/>
        </w:rPr>
        <w:t>) ובין תיק השקעה של בנק מרכזי: האחד מתמקד בסיכונים פיננסיים שמקורם בשינויי אקלים, סביבה ו-</w:t>
      </w:r>
      <w:r w:rsidRPr="0096627E">
        <w:t>ESG</w:t>
      </w:r>
      <w:r w:rsidRPr="0096627E">
        <w:rPr>
          <w:rtl/>
        </w:rPr>
        <w:t xml:space="preserve"> </w:t>
      </w:r>
      <w:r w:rsidRPr="0096627E">
        <w:rPr>
          <w:rFonts w:hint="cs"/>
          <w:rtl/>
        </w:rPr>
        <w:t xml:space="preserve">- והשפעתם על תיק ההשקעה שלו; והשני מתמקד בהשפעות לא פיננסיות של תיק השקעות על הסביבה והחברה. חפיפה של צירים אלו תעלה ככל שתוחמר מדיניות </w:t>
      </w:r>
      <w:r w:rsidRPr="0096627E">
        <w:rPr>
          <w:rFonts w:hint="cs"/>
          <w:rtl/>
        </w:rPr>
        <w:t>המיטיגציה</w:t>
      </w:r>
      <w:r w:rsidRPr="0096627E">
        <w:rPr>
          <w:rFonts w:hint="cs"/>
          <w:rtl/>
        </w:rPr>
        <w:t xml:space="preserve"> והאדפטציה בעולם</w:t>
      </w:r>
      <w:r>
        <w:rPr>
          <w:rStyle w:val="FootnoteReference2"/>
          <w:rtl/>
        </w:rPr>
        <w:footnoteReference w:id="135"/>
      </w:r>
      <w:r w:rsidRPr="0096627E">
        <w:rPr>
          <w:rFonts w:hint="cs"/>
          <w:rtl/>
        </w:rPr>
        <w:t xml:space="preserve">. </w:t>
      </w:r>
    </w:p>
    <w:p w:rsidR="00F20E3F" w:rsidRPr="0096627E" w:rsidP="0096627E" w14:paraId="48F7EF99" w14:textId="77777777">
      <w:pPr>
        <w:pStyle w:val="7392"/>
        <w:rPr>
          <w:rtl/>
        </w:rPr>
      </w:pPr>
      <w:r w:rsidRPr="0096627E">
        <w:rPr>
          <w:rFonts w:hint="cs"/>
          <w:rtl/>
        </w:rPr>
        <w:t>נתונים מסקר שנעשה בקרב 55 בנקים מרכזיים החברים ב-</w:t>
      </w:r>
      <w:r w:rsidRPr="0096627E">
        <w:t>NGFS</w:t>
      </w:r>
      <w:r w:rsidRPr="0096627E">
        <w:rPr>
          <w:rtl/>
        </w:rPr>
        <w:t xml:space="preserve"> </w:t>
      </w:r>
      <w:r w:rsidRPr="0096627E">
        <w:rPr>
          <w:rFonts w:hint="cs"/>
          <w:rtl/>
        </w:rPr>
        <w:t xml:space="preserve">(שהם כמעט שני שלישים מהחברים </w:t>
      </w:r>
      <w:r w:rsidRPr="0096627E">
        <w:rPr>
          <w:rFonts w:hint="eastAsia"/>
          <w:rtl/>
        </w:rPr>
        <w:t>בפורום</w:t>
      </w:r>
      <w:r w:rsidRPr="0096627E">
        <w:rPr>
          <w:rtl/>
        </w:rPr>
        <w:t xml:space="preserve"> </w:t>
      </w:r>
      <w:r w:rsidRPr="0096627E">
        <w:rPr>
          <w:rFonts w:hint="eastAsia"/>
          <w:rtl/>
        </w:rPr>
        <w:t>זה</w:t>
      </w:r>
      <w:r w:rsidRPr="0096627E">
        <w:rPr>
          <w:rFonts w:hint="cs"/>
          <w:rtl/>
        </w:rPr>
        <w:t xml:space="preserve">) ואשר פורסם ביולי 2023 (להלן - סקר </w:t>
      </w:r>
      <w:r w:rsidRPr="0096627E">
        <w:t>NGFS</w:t>
      </w:r>
      <w:r w:rsidRPr="0096627E">
        <w:rPr>
          <w:rFonts w:hint="cs"/>
          <w:rtl/>
        </w:rPr>
        <w:t xml:space="preserve">) מעלים כי כ-35% מהם הטמיעו שיקולי אקלים ברכישת נכסים (השקעות) שהם מבצעים. נתונים נוספים מהסקר המתוארים בתרשים שלהלן מעלים כי 60% מהם סבורים כי הגדרת תפקידם מאפשרת לבצע שינויים במסגרת פעולתם כדי לשלב במפורש שיקולי אקלים במדיניות המוניטרית שלהם </w:t>
      </w:r>
      <w:r w:rsidRPr="0096627E">
        <w:rPr>
          <w:rFonts w:hint="cs"/>
          <w:rtl/>
        </w:rPr>
        <w:t>(העמודה מימין), וכמעט 70% סבורים כך בנוגע לשילוב שיקולים אלו בניהול הסיכונים שהם מבצעים (העמודה משמאל)</w:t>
      </w:r>
      <w:r>
        <w:rPr>
          <w:rStyle w:val="FootnoteReference2"/>
          <w:rtl/>
        </w:rPr>
        <w:footnoteReference w:id="136"/>
      </w:r>
      <w:r w:rsidRPr="0096627E">
        <w:rPr>
          <w:rFonts w:hint="cs"/>
          <w:rtl/>
        </w:rPr>
        <w:t>:</w:t>
      </w:r>
    </w:p>
    <w:p w:rsidR="00F20E3F" w:rsidRPr="004A5124" w:rsidP="004A5124" w14:paraId="6AAF9BFE" w14:textId="77777777">
      <w:pPr>
        <w:pStyle w:val="733"/>
        <w:rPr>
          <w:rtl/>
        </w:rPr>
      </w:pPr>
      <w:r w:rsidRPr="004A5124">
        <w:rPr>
          <w:rFonts w:hint="eastAsia"/>
          <w:b w:val="0"/>
          <w:bCs w:val="0"/>
          <w:rtl/>
        </w:rPr>
        <w:t>תרשים</w:t>
      </w:r>
      <w:r w:rsidRPr="004A5124">
        <w:rPr>
          <w:rFonts w:hint="cs"/>
          <w:b w:val="0"/>
          <w:bCs w:val="0"/>
          <w:rtl/>
        </w:rPr>
        <w:t xml:space="preserve"> 47</w:t>
      </w:r>
      <w:r w:rsidRPr="004A5124">
        <w:rPr>
          <w:b w:val="0"/>
          <w:bCs w:val="0"/>
          <w:rtl/>
        </w:rPr>
        <w:t>:</w:t>
      </w:r>
      <w:r w:rsidRPr="004A5124">
        <w:rPr>
          <w:rFonts w:hint="cs"/>
          <w:b w:val="0"/>
          <w:bCs w:val="0"/>
          <w:rtl/>
        </w:rPr>
        <w:t xml:space="preserve"> </w:t>
      </w:r>
      <w:r w:rsidRPr="004A5124">
        <w:rPr>
          <w:rFonts w:hint="cs"/>
          <w:rtl/>
        </w:rPr>
        <w:t xml:space="preserve">עמדות הבנקים המרכזיים בסקר </w:t>
      </w:r>
      <w:r w:rsidRPr="004A5124">
        <w:t>NGFS</w:t>
      </w:r>
      <w:r w:rsidRPr="004A5124">
        <w:rPr>
          <w:rtl/>
        </w:rPr>
        <w:t xml:space="preserve"> </w:t>
      </w:r>
      <w:r w:rsidRPr="004A5124">
        <w:rPr>
          <w:rFonts w:hint="cs"/>
          <w:rtl/>
        </w:rPr>
        <w:t>בשאלת סמכותם לשלב שיקולי אקלים במסגרת המדיניות המוניטרית (ימין) ובניהול הסיכונים (שמאל) שהם מבצעים</w:t>
      </w:r>
    </w:p>
    <w:p w:rsidR="00F20E3F" w:rsidRPr="004A5124" w:rsidP="004A5124" w14:paraId="6E005030" w14:textId="2BACAB59">
      <w:pPr>
        <w:rPr>
          <w:rtl/>
        </w:rPr>
      </w:pPr>
      <w:r>
        <w:rPr>
          <w:noProof/>
          <w:rtl/>
          <w:lang w:val="he-IL"/>
        </w:rPr>
        <w:drawing>
          <wp:inline distT="0" distB="0" distL="0" distR="0">
            <wp:extent cx="4655951" cy="3192292"/>
            <wp:effectExtent l="0" t="0" r="5080" b="0"/>
            <wp:docPr id="1731437104"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379076" name="תמונה 5"/>
                    <pic:cNvPicPr/>
                  </pic:nvPicPr>
                  <pic:blipFill>
                    <a:blip xmlns:r="http://schemas.openxmlformats.org/officeDocument/2006/relationships" r:embed="rId60">
                      <a:extLst>
                        <a:ext xmlns:a="http://schemas.openxmlformats.org/drawingml/2006/main" uri="{28A0092B-C50C-407E-A947-70E740481C1C}">
                          <a14:useLocalDpi xmlns:a14="http://schemas.microsoft.com/office/drawing/2010/main" val="0"/>
                        </a:ext>
                      </a:extLst>
                    </a:blip>
                    <a:stretch>
                      <a:fillRect/>
                    </a:stretch>
                  </pic:blipFill>
                  <pic:spPr>
                    <a:xfrm>
                      <a:off x="0" y="0"/>
                      <a:ext cx="4676247" cy="3206208"/>
                    </a:xfrm>
                    <a:prstGeom prst="rect">
                      <a:avLst/>
                    </a:prstGeom>
                  </pic:spPr>
                </pic:pic>
              </a:graphicData>
            </a:graphic>
          </wp:inline>
        </w:drawing>
      </w:r>
    </w:p>
    <w:p w:rsidR="00F20E3F" w:rsidRPr="004A5124" w:rsidP="004A5124" w14:paraId="1D113761" w14:textId="77777777">
      <w:pPr>
        <w:pStyle w:val="737"/>
        <w:rPr>
          <w:rtl/>
        </w:rPr>
      </w:pPr>
      <w:r w:rsidRPr="004A5124">
        <w:rPr>
          <w:rFonts w:hint="cs"/>
          <w:rtl/>
        </w:rPr>
        <w:t>המקור: ה-</w:t>
      </w:r>
      <w:r w:rsidRPr="004A5124">
        <w:rPr>
          <w:rFonts w:hint="cs"/>
        </w:rPr>
        <w:t>NGFS</w:t>
      </w:r>
      <w:r w:rsidRPr="004A5124">
        <w:rPr>
          <w:rFonts w:hint="cs"/>
          <w:rtl/>
        </w:rPr>
        <w:t>.</w:t>
      </w:r>
    </w:p>
    <w:p w:rsidR="00F20E3F" w:rsidRPr="008E272A" w:rsidP="004A5124" w14:paraId="3886341E" w14:textId="77777777">
      <w:pPr>
        <w:pStyle w:val="7392"/>
        <w:rPr>
          <w:sz w:val="24"/>
          <w:rtl/>
        </w:rPr>
      </w:pPr>
      <w:r>
        <w:rPr>
          <w:rFonts w:hint="cs"/>
          <w:sz w:val="24"/>
          <w:rtl/>
        </w:rPr>
        <w:t>אשר ליישום מדיניות מוניטרית, מ</w:t>
      </w:r>
      <w:r w:rsidRPr="008E272A">
        <w:rPr>
          <w:rFonts w:hint="cs"/>
          <w:sz w:val="24"/>
          <w:rtl/>
        </w:rPr>
        <w:t>סקר ה-</w:t>
      </w:r>
      <w:r w:rsidRPr="004A5124">
        <w:t>NGFS</w:t>
      </w:r>
      <w:r w:rsidRPr="00A36A79">
        <w:rPr>
          <w:sz w:val="22"/>
          <w:szCs w:val="22"/>
          <w:rtl/>
        </w:rPr>
        <w:t xml:space="preserve"> </w:t>
      </w:r>
      <w:r>
        <w:rPr>
          <w:rFonts w:hint="cs"/>
          <w:sz w:val="24"/>
          <w:rtl/>
        </w:rPr>
        <w:t>עלה עוד כי כ-40% מהבנקים המרכזיים שהשיבו עליו (כשני שלישים מהם באיחוד האירופי) כבר מביאים בחשבון שיקולי אקלים במסגרת פעילותם השוטפת, וכי רבים מהם שוקלים נקיטת צעדים נוספים, במיוחד כאלו שנועדו להגן על המאזנים הפיננסיים שלהם מפני סיכונים שמקורם באקלים. אלה הסיבות שהם נתנו לכך: הצורך להשתתף במאמץ לאיפוס פחמני; הפחתת סיכונים; והצורך</w:t>
      </w:r>
      <w:r w:rsidRPr="00FE2B5F">
        <w:rPr>
          <w:rFonts w:hint="cs"/>
          <w:sz w:val="24"/>
          <w:rtl/>
        </w:rPr>
        <w:t xml:space="preserve"> </w:t>
      </w:r>
      <w:r>
        <w:rPr>
          <w:rFonts w:hint="cs"/>
          <w:sz w:val="24"/>
          <w:rtl/>
        </w:rPr>
        <w:t>לשמש דוגמה וגורם מוביל בנושא</w:t>
      </w:r>
      <w:r>
        <w:rPr>
          <w:rStyle w:val="FootnoteReference2"/>
          <w:sz w:val="24"/>
          <w:rtl/>
        </w:rPr>
        <w:footnoteReference w:id="137"/>
      </w:r>
      <w:r>
        <w:rPr>
          <w:rFonts w:hint="cs"/>
          <w:sz w:val="24"/>
          <w:rtl/>
        </w:rPr>
        <w:t>. בעניין תפקידו של הבנק המרכזי כגורם מוביל בהטמעת סיכוני אקלים ציין ה-</w:t>
      </w:r>
      <w:r w:rsidRPr="004A5124">
        <w:t>NGFS</w:t>
      </w:r>
      <w:r w:rsidRPr="009744B4">
        <w:rPr>
          <w:sz w:val="22"/>
          <w:szCs w:val="22"/>
          <w:rtl/>
        </w:rPr>
        <w:t xml:space="preserve"> </w:t>
      </w:r>
      <w:r>
        <w:rPr>
          <w:rFonts w:hint="cs"/>
          <w:sz w:val="24"/>
          <w:rtl/>
        </w:rPr>
        <w:t xml:space="preserve">כי הבנק המרכזי עלול להיות חשוף לביקורת ציבורית אם לא יטפל בסיכוני האקלים, ואף יותר </w:t>
      </w:r>
      <w:r w:rsidRPr="003A260D">
        <w:rPr>
          <w:rFonts w:hint="eastAsia"/>
          <w:sz w:val="24"/>
          <w:rtl/>
        </w:rPr>
        <w:t>מ</w:t>
      </w:r>
      <w:r>
        <w:rPr>
          <w:rFonts w:hint="cs"/>
          <w:sz w:val="24"/>
          <w:rtl/>
        </w:rPr>
        <w:t xml:space="preserve">כך, אם הוא ינחה את המערכת הבנקאית להטמיע את הסיכונים האלו בעוד הוא נמנע מלעשות כן. יצוין עם זאת כי הסקר מתייחס למדיניות מוניטרית בעיקר, ואף שהטעמים שעליהם הצביעו הבנקים </w:t>
      </w:r>
      <w:r w:rsidRPr="004A5124">
        <w:rPr>
          <w:rFonts w:hint="cs"/>
          <w:rtl/>
        </w:rPr>
        <w:t>המרכזיים</w:t>
      </w:r>
      <w:r>
        <w:rPr>
          <w:rFonts w:hint="cs"/>
          <w:sz w:val="24"/>
          <w:rtl/>
        </w:rPr>
        <w:t xml:space="preserve"> להטמעת סיכוני אקלים עשויים להיות נכונים גם למדיניות יתרות מט"ח, הרי ש</w:t>
      </w:r>
      <w:r w:rsidRPr="005F06BA">
        <w:rPr>
          <w:sz w:val="24"/>
          <w:rtl/>
        </w:rPr>
        <w:t>השיקולים</w:t>
      </w:r>
      <w:r>
        <w:rPr>
          <w:rFonts w:hint="cs"/>
          <w:sz w:val="24"/>
          <w:rtl/>
        </w:rPr>
        <w:t xml:space="preserve"> </w:t>
      </w:r>
      <w:r w:rsidRPr="005F06BA">
        <w:rPr>
          <w:sz w:val="24"/>
          <w:rtl/>
        </w:rPr>
        <w:t>בקבל</w:t>
      </w:r>
      <w:r>
        <w:rPr>
          <w:rFonts w:hint="cs"/>
          <w:sz w:val="24"/>
          <w:rtl/>
        </w:rPr>
        <w:t>ת</w:t>
      </w:r>
      <w:r w:rsidRPr="005F06BA">
        <w:rPr>
          <w:sz w:val="24"/>
          <w:rtl/>
        </w:rPr>
        <w:t xml:space="preserve"> החלטות בתחום המדיניות המוניטרית, שהיא</w:t>
      </w:r>
      <w:r>
        <w:rPr>
          <w:rFonts w:hint="cs"/>
          <w:sz w:val="24"/>
          <w:rtl/>
        </w:rPr>
        <w:t xml:space="preserve"> לפי בנק ישראל</w:t>
      </w:r>
      <w:r w:rsidRPr="005F06BA">
        <w:rPr>
          <w:sz w:val="24"/>
          <w:rtl/>
        </w:rPr>
        <w:t xml:space="preserve"> מדיניות</w:t>
      </w:r>
      <w:r>
        <w:rPr>
          <w:rFonts w:hint="cs"/>
          <w:sz w:val="24"/>
          <w:rtl/>
        </w:rPr>
        <w:t xml:space="preserve"> </w:t>
      </w:r>
      <w:r w:rsidRPr="005F06BA">
        <w:rPr>
          <w:sz w:val="24"/>
          <w:rtl/>
        </w:rPr>
        <w:t>מקומית, מבוססים על חיזוי משתני מפתח כגון תוצר, אינפלציה, מחירי נכסים ועוד</w:t>
      </w:r>
      <w:r>
        <w:rPr>
          <w:rFonts w:hint="cs"/>
          <w:sz w:val="24"/>
          <w:rtl/>
        </w:rPr>
        <w:t>, ואילו</w:t>
      </w:r>
      <w:r w:rsidRPr="005F06BA">
        <w:rPr>
          <w:sz w:val="24"/>
          <w:rtl/>
        </w:rPr>
        <w:t xml:space="preserve"> בהשקעת</w:t>
      </w:r>
      <w:r>
        <w:rPr>
          <w:rFonts w:hint="cs"/>
          <w:sz w:val="24"/>
          <w:rtl/>
        </w:rPr>
        <w:t xml:space="preserve"> </w:t>
      </w:r>
      <w:r w:rsidRPr="005F06BA">
        <w:rPr>
          <w:sz w:val="24"/>
          <w:rtl/>
        </w:rPr>
        <w:t xml:space="preserve">יתרות </w:t>
      </w:r>
      <w:r w:rsidRPr="005F06BA">
        <w:rPr>
          <w:sz w:val="24"/>
          <w:rtl/>
        </w:rPr>
        <w:t>המט"ח</w:t>
      </w:r>
      <w:r w:rsidRPr="005F06BA">
        <w:rPr>
          <w:sz w:val="24"/>
          <w:rtl/>
        </w:rPr>
        <w:t xml:space="preserve"> החיזוי</w:t>
      </w:r>
      <w:r>
        <w:rPr>
          <w:rFonts w:hint="cs"/>
          <w:sz w:val="24"/>
          <w:rtl/>
        </w:rPr>
        <w:t>, לפי בנק ישראל,</w:t>
      </w:r>
      <w:r w:rsidRPr="005F06BA">
        <w:rPr>
          <w:sz w:val="24"/>
          <w:rtl/>
        </w:rPr>
        <w:t xml:space="preserve"> מתייחס לכלכלות בעולם.</w:t>
      </w:r>
    </w:p>
    <w:p w:rsidR="00F20E3F" w:rsidP="004A5124" w14:paraId="0F8A3F5D" w14:textId="77777777">
      <w:pPr>
        <w:pStyle w:val="7392"/>
        <w:rPr>
          <w:sz w:val="24"/>
          <w:rtl/>
        </w:rPr>
      </w:pPr>
      <w:r>
        <w:rPr>
          <w:rFonts w:hint="cs"/>
          <w:sz w:val="24"/>
          <w:rtl/>
        </w:rPr>
        <w:t xml:space="preserve">כדי לשלב את </w:t>
      </w:r>
      <w:r w:rsidRPr="004A5124">
        <w:rPr>
          <w:rFonts w:hint="cs"/>
          <w:rtl/>
        </w:rPr>
        <w:t>עקרונות ה-</w:t>
      </w:r>
      <w:r w:rsidRPr="004A5124">
        <w:t>ESG</w:t>
      </w:r>
      <w:r w:rsidRPr="004A5124">
        <w:rPr>
          <w:rtl/>
        </w:rPr>
        <w:t xml:space="preserve"> </w:t>
      </w:r>
      <w:r w:rsidRPr="004A5124">
        <w:rPr>
          <w:rFonts w:hint="cs"/>
          <w:rtl/>
        </w:rPr>
        <w:t>(או</w:t>
      </w:r>
      <w:r>
        <w:rPr>
          <w:rFonts w:hint="cs"/>
          <w:sz w:val="24"/>
          <w:rtl/>
        </w:rPr>
        <w:t xml:space="preserve"> קיימות) בתיקי ההשקעות שלהם, הבנקים המרכזיים יכולים להשתמש באסטרטגיות שונות כמו: (א) "סינון </w:t>
      </w:r>
      <w:r w:rsidRPr="004A5124">
        <w:rPr>
          <w:rFonts w:hint="cs"/>
          <w:rtl/>
        </w:rPr>
        <w:t>שלילי" (</w:t>
      </w:r>
      <w:r w:rsidRPr="004A5124">
        <w:t>negative screening</w:t>
      </w:r>
      <w:r w:rsidRPr="004A5124">
        <w:rPr>
          <w:rFonts w:hint="cs"/>
          <w:rtl/>
        </w:rPr>
        <w:t>) - קביעת קריטריונים שעל בסיסם יימנעו מלהשקיע בחברות, בסקטורים או במדינות שונות; (ב) "</w:t>
      </w:r>
      <w:r w:rsidRPr="004A5124">
        <w:t>best in class</w:t>
      </w:r>
      <w:r w:rsidRPr="004A5124">
        <w:rPr>
          <w:rFonts w:hint="cs"/>
          <w:rtl/>
        </w:rPr>
        <w:t xml:space="preserve">" - אסטרטגיה לסינון ההשקעות הטובות ביותר בקיימות (שהן מוטות </w:t>
      </w:r>
      <w:r w:rsidRPr="004A5124">
        <w:t>ESG</w:t>
      </w:r>
      <w:r w:rsidRPr="004A5124">
        <w:rPr>
          <w:rFonts w:hint="cs"/>
          <w:rtl/>
        </w:rPr>
        <w:t>); (ג)</w:t>
      </w:r>
      <w:r>
        <w:rPr>
          <w:rFonts w:hint="cs"/>
          <w:sz w:val="24"/>
          <w:rtl/>
        </w:rPr>
        <w:t xml:space="preserve"> הטמעת שיקולי </w:t>
      </w:r>
      <w:r w:rsidRPr="004A5124">
        <w:t>ESG</w:t>
      </w:r>
      <w:r w:rsidRPr="004A5124">
        <w:rPr>
          <w:rtl/>
        </w:rPr>
        <w:t xml:space="preserve"> </w:t>
      </w:r>
      <w:r w:rsidRPr="004A5124">
        <w:rPr>
          <w:rFonts w:hint="cs"/>
          <w:rtl/>
        </w:rPr>
        <w:t>במסגרת</w:t>
      </w:r>
      <w:r>
        <w:rPr>
          <w:rFonts w:hint="cs"/>
          <w:sz w:val="24"/>
          <w:rtl/>
        </w:rPr>
        <w:t xml:space="preserve"> הניתוח הסטנדרטי של השקעות אופציונליות, ועוד</w:t>
      </w:r>
      <w:r>
        <w:rPr>
          <w:rStyle w:val="FootnoteReference2"/>
          <w:sz w:val="24"/>
          <w:rtl/>
        </w:rPr>
        <w:footnoteReference w:id="138"/>
      </w:r>
      <w:r>
        <w:rPr>
          <w:rFonts w:hint="cs"/>
          <w:sz w:val="24"/>
          <w:rtl/>
        </w:rPr>
        <w:t>.</w:t>
      </w:r>
    </w:p>
    <w:p w:rsidR="00F20E3F" w:rsidRPr="008E68A8" w:rsidP="004A5124" w14:paraId="45AD8BCE" w14:textId="77777777">
      <w:pPr>
        <w:pStyle w:val="7392"/>
        <w:rPr>
          <w:sz w:val="24"/>
          <w:rtl/>
        </w:rPr>
      </w:pPr>
      <w:r>
        <w:rPr>
          <w:rFonts w:hint="cs"/>
          <w:rtl/>
        </w:rPr>
        <w:t>לפי ח</w:t>
      </w:r>
      <w:r w:rsidRPr="00EE282B">
        <w:rPr>
          <w:rtl/>
        </w:rPr>
        <w:t>וק בנק ישראל התש"ע-2010</w:t>
      </w:r>
      <w:r>
        <w:rPr>
          <w:rFonts w:hint="cs"/>
          <w:rtl/>
        </w:rPr>
        <w:t xml:space="preserve"> (להלן - חוק בנק ישראל), מטרתו העיקרית של הבנק היא</w:t>
      </w:r>
      <w:r w:rsidRPr="00EE282B">
        <w:rPr>
          <w:rtl/>
        </w:rPr>
        <w:t xml:space="preserve"> </w:t>
      </w:r>
      <w:r>
        <w:rPr>
          <w:rFonts w:hint="cs"/>
          <w:rtl/>
        </w:rPr>
        <w:t>"</w:t>
      </w:r>
      <w:r w:rsidRPr="00EE282B">
        <w:rPr>
          <w:rtl/>
        </w:rPr>
        <w:t>לשמור על יציבות מחירים</w:t>
      </w:r>
      <w:r>
        <w:rPr>
          <w:rFonts w:hint="cs"/>
          <w:rtl/>
        </w:rPr>
        <w:t>" וכן "</w:t>
      </w:r>
      <w:r w:rsidRPr="00EE282B">
        <w:rPr>
          <w:rtl/>
        </w:rPr>
        <w:t>לתמוך ביציבותה של המערכת הפיננסית ובפעילותה הסדירה</w:t>
      </w:r>
      <w:r>
        <w:rPr>
          <w:rFonts w:hint="cs"/>
          <w:rtl/>
        </w:rPr>
        <w:t>", ואם אין פגיעה ביציבות המחירים לאורך זמן, גם "</w:t>
      </w:r>
      <w:r w:rsidRPr="00EE282B">
        <w:rPr>
          <w:rtl/>
        </w:rPr>
        <w:t>לתמוך במטרות אחרות של המדיניות הכלכלית של הממשלה, במיוחד צמיחה, תעסוקה וצמצום פערים חברתיים</w:t>
      </w:r>
      <w:r>
        <w:rPr>
          <w:rFonts w:hint="cs"/>
          <w:rtl/>
        </w:rPr>
        <w:t xml:space="preserve">". לצורך כך הוגדרו תפקידיו של הבנק ובהם </w:t>
      </w:r>
      <w:r w:rsidRPr="00EE282B">
        <w:rPr>
          <w:rtl/>
        </w:rPr>
        <w:t>לנהל את המדיניות המוניטרית</w:t>
      </w:r>
      <w:r>
        <w:rPr>
          <w:rFonts w:hint="cs"/>
          <w:rtl/>
        </w:rPr>
        <w:t xml:space="preserve"> של ישראל; </w:t>
      </w:r>
      <w:r w:rsidRPr="00EE282B">
        <w:rPr>
          <w:rtl/>
        </w:rPr>
        <w:t xml:space="preserve">להחזיק את יתרות </w:t>
      </w:r>
      <w:r>
        <w:rPr>
          <w:rFonts w:hint="cs"/>
          <w:rtl/>
        </w:rPr>
        <w:t>ה</w:t>
      </w:r>
      <w:r w:rsidRPr="00EE282B">
        <w:rPr>
          <w:rtl/>
        </w:rPr>
        <w:t>מט</w:t>
      </w:r>
      <w:r>
        <w:rPr>
          <w:rFonts w:hint="cs"/>
          <w:rtl/>
        </w:rPr>
        <w:t>"ח</w:t>
      </w:r>
      <w:r w:rsidRPr="00EE282B">
        <w:rPr>
          <w:rtl/>
        </w:rPr>
        <w:t xml:space="preserve"> של המדינה ולנהלן</w:t>
      </w:r>
      <w:r>
        <w:rPr>
          <w:rFonts w:hint="cs"/>
          <w:rtl/>
        </w:rPr>
        <w:t>; ו</w:t>
      </w:r>
      <w:r w:rsidRPr="00EE282B">
        <w:rPr>
          <w:rtl/>
        </w:rPr>
        <w:t xml:space="preserve">לתמוך בפעילות הסדירה של שוק </w:t>
      </w:r>
      <w:r>
        <w:rPr>
          <w:rFonts w:hint="cs"/>
          <w:rtl/>
        </w:rPr>
        <w:t>ה</w:t>
      </w:r>
      <w:r w:rsidRPr="00EE282B">
        <w:rPr>
          <w:rtl/>
        </w:rPr>
        <w:t>מט</w:t>
      </w:r>
      <w:r>
        <w:rPr>
          <w:rFonts w:hint="cs"/>
          <w:rtl/>
        </w:rPr>
        <w:t>"ח</w:t>
      </w:r>
      <w:r w:rsidRPr="00EE282B">
        <w:rPr>
          <w:rtl/>
        </w:rPr>
        <w:t xml:space="preserve"> בישראל</w:t>
      </w:r>
      <w:r>
        <w:rPr>
          <w:rFonts w:hint="cs"/>
          <w:rtl/>
        </w:rPr>
        <w:t xml:space="preserve">. </w:t>
      </w:r>
    </w:p>
    <w:p w:rsidR="00F20E3F" w:rsidRPr="008E68A8" w:rsidP="004A5124" w14:paraId="2DD94071" w14:textId="77777777">
      <w:pPr>
        <w:pStyle w:val="7392"/>
        <w:rPr>
          <w:sz w:val="24"/>
          <w:rtl/>
        </w:rPr>
      </w:pPr>
      <w:r w:rsidRPr="008E68A8">
        <w:rPr>
          <w:rFonts w:hint="cs"/>
          <w:sz w:val="24"/>
          <w:rtl/>
        </w:rPr>
        <w:t xml:space="preserve">אחד מהנכסים המשמעותיים שמנהל בנק ישראל הוא תיק יתרות </w:t>
      </w:r>
      <w:r w:rsidRPr="008E68A8">
        <w:rPr>
          <w:rFonts w:hint="cs"/>
          <w:sz w:val="24"/>
          <w:rtl/>
        </w:rPr>
        <w:t>המט"ח</w:t>
      </w:r>
      <w:r w:rsidRPr="008E68A8">
        <w:rPr>
          <w:rFonts w:hint="cs"/>
          <w:sz w:val="24"/>
          <w:rtl/>
        </w:rPr>
        <w:t xml:space="preserve"> של מדינת ישראל המ</w:t>
      </w:r>
      <w:r>
        <w:rPr>
          <w:rFonts w:hint="cs"/>
          <w:sz w:val="24"/>
          <w:rtl/>
        </w:rPr>
        <w:t>שמש</w:t>
      </w:r>
      <w:r w:rsidRPr="008E68A8">
        <w:rPr>
          <w:rFonts w:hint="cs"/>
          <w:sz w:val="24"/>
          <w:rtl/>
        </w:rPr>
        <w:t xml:space="preserve"> מדד לאיתנות </w:t>
      </w:r>
      <w:r>
        <w:rPr>
          <w:rFonts w:hint="cs"/>
          <w:sz w:val="24"/>
          <w:rtl/>
        </w:rPr>
        <w:t>ה</w:t>
      </w:r>
      <w:r w:rsidRPr="008E68A8">
        <w:rPr>
          <w:rFonts w:hint="cs"/>
          <w:sz w:val="24"/>
          <w:rtl/>
        </w:rPr>
        <w:t xml:space="preserve">כלכלית של המדינה </w:t>
      </w:r>
      <w:r>
        <w:rPr>
          <w:rFonts w:hint="cs"/>
          <w:sz w:val="24"/>
          <w:rtl/>
        </w:rPr>
        <w:t>ב</w:t>
      </w:r>
      <w:r w:rsidRPr="008E68A8">
        <w:rPr>
          <w:rFonts w:hint="cs"/>
          <w:sz w:val="24"/>
          <w:rtl/>
        </w:rPr>
        <w:t>התמודד</w:t>
      </w:r>
      <w:r>
        <w:rPr>
          <w:rFonts w:hint="cs"/>
          <w:sz w:val="24"/>
          <w:rtl/>
        </w:rPr>
        <w:t>ות</w:t>
      </w:r>
      <w:r w:rsidRPr="008E68A8">
        <w:rPr>
          <w:rFonts w:hint="cs"/>
          <w:sz w:val="24"/>
          <w:rtl/>
        </w:rPr>
        <w:t xml:space="preserve"> עם זעזועים כלכליים, פיננסיים ופוליטיים במשק</w:t>
      </w:r>
      <w:r>
        <w:rPr>
          <w:rStyle w:val="FootnoteReference2"/>
          <w:sz w:val="24"/>
          <w:rtl/>
        </w:rPr>
        <w:footnoteReference w:id="139"/>
      </w:r>
      <w:r>
        <w:rPr>
          <w:rFonts w:hint="cs"/>
          <w:sz w:val="24"/>
          <w:rtl/>
        </w:rPr>
        <w:t xml:space="preserve">. </w:t>
      </w:r>
      <w:r w:rsidRPr="008E68A8">
        <w:rPr>
          <w:rFonts w:hint="cs"/>
          <w:sz w:val="24"/>
          <w:rtl/>
        </w:rPr>
        <w:t>נכון ליוני 2023</w:t>
      </w:r>
      <w:r>
        <w:rPr>
          <w:rFonts w:hint="cs"/>
          <w:sz w:val="24"/>
          <w:rtl/>
        </w:rPr>
        <w:t xml:space="preserve"> הסתכמו יתרות </w:t>
      </w:r>
      <w:r>
        <w:rPr>
          <w:rFonts w:hint="cs"/>
          <w:sz w:val="24"/>
          <w:rtl/>
        </w:rPr>
        <w:t>המט"ח</w:t>
      </w:r>
      <w:r>
        <w:rPr>
          <w:rFonts w:hint="cs"/>
          <w:sz w:val="24"/>
          <w:rtl/>
        </w:rPr>
        <w:t xml:space="preserve"> של מדינת ישראל</w:t>
      </w:r>
      <w:r w:rsidRPr="008E68A8">
        <w:rPr>
          <w:rFonts w:hint="cs"/>
          <w:sz w:val="24"/>
          <w:rtl/>
        </w:rPr>
        <w:t xml:space="preserve"> </w:t>
      </w:r>
      <w:r>
        <w:rPr>
          <w:rFonts w:hint="cs"/>
          <w:sz w:val="24"/>
          <w:rtl/>
        </w:rPr>
        <w:t>ב</w:t>
      </w:r>
      <w:r w:rsidRPr="008E68A8">
        <w:rPr>
          <w:rFonts w:hint="cs"/>
          <w:sz w:val="24"/>
          <w:rtl/>
        </w:rPr>
        <w:t>כ-202 מיליארד דולר</w:t>
      </w:r>
      <w:r>
        <w:rPr>
          <w:rFonts w:hint="cs"/>
          <w:sz w:val="24"/>
          <w:rtl/>
        </w:rPr>
        <w:t xml:space="preserve"> ארה"ב</w:t>
      </w:r>
      <w:r>
        <w:rPr>
          <w:rStyle w:val="FootnoteReference2"/>
          <w:sz w:val="24"/>
          <w:rtl/>
        </w:rPr>
        <w:footnoteReference w:id="140"/>
      </w:r>
      <w:r w:rsidRPr="008E68A8">
        <w:rPr>
          <w:rFonts w:hint="cs"/>
          <w:sz w:val="24"/>
          <w:rtl/>
        </w:rPr>
        <w:t>. הו</w:t>
      </w:r>
      <w:r>
        <w:rPr>
          <w:rFonts w:hint="cs"/>
          <w:sz w:val="24"/>
          <w:rtl/>
        </w:rPr>
        <w:t>ו</w:t>
      </w:r>
      <w:r w:rsidRPr="008E68A8">
        <w:rPr>
          <w:rFonts w:hint="cs"/>
          <w:sz w:val="24"/>
          <w:rtl/>
        </w:rPr>
        <w:t xml:space="preserve">עדה המוניטרית שהוקמה מכוח חוק בנק ישראל ואשר בראשה עומד נגיד בנק ישראל, אחראית לניהול יתרות </w:t>
      </w:r>
      <w:r>
        <w:rPr>
          <w:rFonts w:hint="cs"/>
          <w:sz w:val="24"/>
          <w:rtl/>
        </w:rPr>
        <w:t>ה</w:t>
      </w:r>
      <w:r w:rsidRPr="008E68A8">
        <w:rPr>
          <w:rFonts w:hint="cs"/>
          <w:sz w:val="24"/>
          <w:rtl/>
        </w:rPr>
        <w:t>מט</w:t>
      </w:r>
      <w:r>
        <w:rPr>
          <w:rFonts w:hint="cs"/>
          <w:sz w:val="24"/>
          <w:rtl/>
        </w:rPr>
        <w:t>"ח</w:t>
      </w:r>
      <w:r>
        <w:rPr>
          <w:rFonts w:hint="cs"/>
          <w:sz w:val="24"/>
          <w:rtl/>
        </w:rPr>
        <w:t>,</w:t>
      </w:r>
      <w:r w:rsidRPr="008E68A8">
        <w:rPr>
          <w:rFonts w:hint="cs"/>
          <w:sz w:val="24"/>
          <w:rtl/>
        </w:rPr>
        <w:t xml:space="preserve"> ו</w:t>
      </w:r>
      <w:r>
        <w:rPr>
          <w:rFonts w:hint="cs"/>
          <w:sz w:val="24"/>
          <w:rtl/>
        </w:rPr>
        <w:t xml:space="preserve">היא </w:t>
      </w:r>
      <w:r w:rsidRPr="008E68A8">
        <w:rPr>
          <w:rFonts w:hint="cs"/>
          <w:sz w:val="24"/>
          <w:rtl/>
        </w:rPr>
        <w:t xml:space="preserve">קובעת את מדיניות ההשקעה של יתרות אלו. המדיניות האחרונה מאפריל 2021 קובעת כי </w:t>
      </w:r>
      <w:r>
        <w:rPr>
          <w:rFonts w:hint="cs"/>
          <w:sz w:val="24"/>
          <w:rtl/>
        </w:rPr>
        <w:t xml:space="preserve">אלה </w:t>
      </w:r>
      <w:r w:rsidRPr="008E68A8">
        <w:rPr>
          <w:sz w:val="24"/>
          <w:rtl/>
        </w:rPr>
        <w:t xml:space="preserve">סוגי הנכסים שמאושרים </w:t>
      </w:r>
      <w:r w:rsidRPr="004A5124">
        <w:rPr>
          <w:rtl/>
        </w:rPr>
        <w:t>לשימוש</w:t>
      </w:r>
      <w:r w:rsidRPr="008E68A8">
        <w:rPr>
          <w:sz w:val="24"/>
          <w:rtl/>
        </w:rPr>
        <w:t xml:space="preserve"> ב</w:t>
      </w:r>
      <w:r>
        <w:rPr>
          <w:rFonts w:hint="cs"/>
          <w:sz w:val="24"/>
          <w:rtl/>
        </w:rPr>
        <w:t xml:space="preserve">עת </w:t>
      </w:r>
      <w:r w:rsidRPr="008E68A8">
        <w:rPr>
          <w:sz w:val="24"/>
          <w:rtl/>
        </w:rPr>
        <w:t xml:space="preserve">ניהול </w:t>
      </w:r>
      <w:r>
        <w:rPr>
          <w:rFonts w:hint="cs"/>
          <w:sz w:val="24"/>
          <w:rtl/>
        </w:rPr>
        <w:t xml:space="preserve">תיק </w:t>
      </w:r>
      <w:r w:rsidRPr="008E68A8">
        <w:rPr>
          <w:sz w:val="24"/>
          <w:rtl/>
        </w:rPr>
        <w:t xml:space="preserve">היתרות בין היתר: </w:t>
      </w:r>
      <w:r>
        <w:rPr>
          <w:rFonts w:hint="cs"/>
          <w:sz w:val="24"/>
          <w:rtl/>
        </w:rPr>
        <w:t>(א</w:t>
      </w:r>
      <w:r w:rsidRPr="008E68A8">
        <w:rPr>
          <w:sz w:val="24"/>
          <w:rtl/>
        </w:rPr>
        <w:t xml:space="preserve">) איגרות חוב מסוגים שונים; </w:t>
      </w:r>
      <w:r>
        <w:rPr>
          <w:rFonts w:hint="cs"/>
          <w:sz w:val="24"/>
          <w:rtl/>
        </w:rPr>
        <w:t>(ב</w:t>
      </w:r>
      <w:r w:rsidRPr="008E68A8">
        <w:rPr>
          <w:sz w:val="24"/>
          <w:rtl/>
        </w:rPr>
        <w:t xml:space="preserve">) איגרות חוב מגובות במשכנתאות או </w:t>
      </w:r>
      <w:r>
        <w:rPr>
          <w:rFonts w:hint="cs"/>
          <w:sz w:val="24"/>
          <w:rtl/>
        </w:rPr>
        <w:t>ב</w:t>
      </w:r>
      <w:r w:rsidRPr="008E68A8">
        <w:rPr>
          <w:sz w:val="24"/>
          <w:rtl/>
        </w:rPr>
        <w:t>נכסים</w:t>
      </w:r>
      <w:r>
        <w:rPr>
          <w:rFonts w:hint="cs"/>
          <w:sz w:val="24"/>
          <w:rtl/>
        </w:rPr>
        <w:t>,</w:t>
      </w:r>
      <w:r w:rsidRPr="008E68A8">
        <w:rPr>
          <w:sz w:val="24"/>
          <w:rtl/>
        </w:rPr>
        <w:t xml:space="preserve"> עד</w:t>
      </w:r>
      <w:r>
        <w:rPr>
          <w:rFonts w:hint="cs"/>
          <w:sz w:val="24"/>
          <w:rtl/>
        </w:rPr>
        <w:t xml:space="preserve"> שיעור של</w:t>
      </w:r>
      <w:r w:rsidRPr="008E68A8">
        <w:rPr>
          <w:sz w:val="24"/>
          <w:rtl/>
        </w:rPr>
        <w:t xml:space="preserve"> 6% מהיתרות;</w:t>
      </w:r>
      <w:r>
        <w:rPr>
          <w:rFonts w:hint="cs"/>
          <w:sz w:val="24"/>
          <w:rtl/>
        </w:rPr>
        <w:t xml:space="preserve"> (ג</w:t>
      </w:r>
      <w:r w:rsidRPr="008E68A8">
        <w:rPr>
          <w:sz w:val="24"/>
          <w:rtl/>
        </w:rPr>
        <w:t>) פ</w:t>
      </w:r>
      <w:r>
        <w:rPr>
          <w:rFonts w:hint="cs"/>
          <w:sz w:val="24"/>
          <w:rtl/>
        </w:rPr>
        <w:t>י</w:t>
      </w:r>
      <w:r w:rsidRPr="008E68A8">
        <w:rPr>
          <w:sz w:val="24"/>
          <w:rtl/>
        </w:rPr>
        <w:t xml:space="preserve">קדונות; </w:t>
      </w:r>
      <w:r>
        <w:rPr>
          <w:rFonts w:hint="cs"/>
          <w:sz w:val="24"/>
          <w:rtl/>
        </w:rPr>
        <w:t>(ד</w:t>
      </w:r>
      <w:r w:rsidRPr="008E68A8">
        <w:rPr>
          <w:sz w:val="24"/>
          <w:rtl/>
        </w:rPr>
        <w:t xml:space="preserve">) ניירות ערך מסחריים שהונפקו על ידי ממשלות או </w:t>
      </w:r>
      <w:r>
        <w:rPr>
          <w:rFonts w:hint="cs"/>
          <w:sz w:val="24"/>
          <w:rtl/>
        </w:rPr>
        <w:t xml:space="preserve">שהם </w:t>
      </w:r>
      <w:r w:rsidRPr="008E68A8">
        <w:rPr>
          <w:sz w:val="24"/>
          <w:rtl/>
        </w:rPr>
        <w:t>בערבות מלאה וישירה של ממשלות, גוף ציבורי או מוסדות בי</w:t>
      </w:r>
      <w:r>
        <w:rPr>
          <w:rFonts w:hint="cs"/>
          <w:sz w:val="24"/>
          <w:rtl/>
        </w:rPr>
        <w:t>ן-</w:t>
      </w:r>
      <w:r w:rsidRPr="008E68A8">
        <w:rPr>
          <w:sz w:val="24"/>
          <w:rtl/>
        </w:rPr>
        <w:t>לאומיים</w:t>
      </w:r>
      <w:r>
        <w:rPr>
          <w:rFonts w:hint="cs"/>
          <w:sz w:val="24"/>
          <w:rtl/>
        </w:rPr>
        <w:t>,</w:t>
      </w:r>
      <w:r w:rsidRPr="008E68A8">
        <w:rPr>
          <w:rFonts w:hint="cs"/>
          <w:sz w:val="24"/>
          <w:rtl/>
        </w:rPr>
        <w:t xml:space="preserve"> עד שיעור של 15% מהיתרות</w:t>
      </w:r>
      <w:r w:rsidRPr="008E68A8">
        <w:rPr>
          <w:sz w:val="24"/>
          <w:rtl/>
        </w:rPr>
        <w:t xml:space="preserve">; </w:t>
      </w:r>
      <w:r>
        <w:rPr>
          <w:rFonts w:hint="cs"/>
          <w:sz w:val="24"/>
          <w:rtl/>
        </w:rPr>
        <w:t>(ה</w:t>
      </w:r>
      <w:r w:rsidRPr="008E68A8">
        <w:rPr>
          <w:sz w:val="24"/>
          <w:rtl/>
        </w:rPr>
        <w:t xml:space="preserve">) מניות, עד שיעור של 27% מהיתרות; </w:t>
      </w:r>
      <w:r>
        <w:rPr>
          <w:rFonts w:hint="cs"/>
          <w:sz w:val="24"/>
          <w:rtl/>
        </w:rPr>
        <w:t>(ו</w:t>
      </w:r>
      <w:r w:rsidRPr="008E68A8">
        <w:rPr>
          <w:sz w:val="24"/>
          <w:rtl/>
        </w:rPr>
        <w:t xml:space="preserve">) </w:t>
      </w:r>
      <w:r>
        <w:rPr>
          <w:rFonts w:hint="cs"/>
          <w:sz w:val="24"/>
          <w:rtl/>
        </w:rPr>
        <w:t>ו</w:t>
      </w:r>
      <w:r w:rsidRPr="008E68A8">
        <w:rPr>
          <w:sz w:val="24"/>
          <w:rtl/>
        </w:rPr>
        <w:t>מזומן</w:t>
      </w:r>
      <w:r>
        <w:rPr>
          <w:rStyle w:val="FootnoteReference2"/>
          <w:sz w:val="24"/>
          <w:rtl/>
        </w:rPr>
        <w:footnoteReference w:id="141"/>
      </w:r>
      <w:r w:rsidRPr="008E68A8">
        <w:rPr>
          <w:sz w:val="24"/>
          <w:rtl/>
        </w:rPr>
        <w:t>.</w:t>
      </w:r>
      <w:r w:rsidRPr="008E68A8">
        <w:rPr>
          <w:rFonts w:hint="cs"/>
          <w:sz w:val="24"/>
          <w:rtl/>
        </w:rPr>
        <w:t xml:space="preserve"> </w:t>
      </w:r>
    </w:p>
    <w:p w:rsidR="00F20E3F" w:rsidRPr="001A4314" w:rsidP="004A5124" w14:paraId="028A0A64" w14:textId="77777777">
      <w:pPr>
        <w:pStyle w:val="7392"/>
        <w:rPr>
          <w:rtl/>
        </w:rPr>
      </w:pPr>
      <w:r w:rsidRPr="00B519DD">
        <w:rPr>
          <w:sz w:val="24"/>
          <w:rtl/>
        </w:rPr>
        <w:t xml:space="preserve">יוצא אפוא כי בניהול תיק יתרות </w:t>
      </w:r>
      <w:r w:rsidRPr="00B519DD">
        <w:rPr>
          <w:sz w:val="24"/>
          <w:rtl/>
        </w:rPr>
        <w:t>המט"ח</w:t>
      </w:r>
      <w:r w:rsidRPr="00B519DD">
        <w:rPr>
          <w:sz w:val="24"/>
          <w:rtl/>
        </w:rPr>
        <w:t xml:space="preserve"> חשוף בנק ישראל</w:t>
      </w:r>
      <w:r>
        <w:rPr>
          <w:rFonts w:hint="cs"/>
          <w:sz w:val="24"/>
          <w:rtl/>
        </w:rPr>
        <w:t>,</w:t>
      </w:r>
      <w:r w:rsidRPr="008E68A8">
        <w:rPr>
          <w:rFonts w:hint="cs"/>
          <w:sz w:val="24"/>
          <w:rtl/>
        </w:rPr>
        <w:t xml:space="preserve"> כמו יתר המשקיעים, לסיכונים פיננסיים שמקורם בשינויי </w:t>
      </w:r>
      <w:r>
        <w:rPr>
          <w:rFonts w:hint="cs"/>
          <w:sz w:val="24"/>
          <w:rtl/>
        </w:rPr>
        <w:t>ה</w:t>
      </w:r>
      <w:r w:rsidRPr="008E68A8">
        <w:rPr>
          <w:rFonts w:hint="cs"/>
          <w:sz w:val="24"/>
          <w:rtl/>
        </w:rPr>
        <w:t xml:space="preserve">אקלים. מדיניות ההשקעה של יתרות </w:t>
      </w:r>
      <w:r w:rsidRPr="008E68A8">
        <w:rPr>
          <w:rFonts w:hint="cs"/>
          <w:sz w:val="24"/>
          <w:rtl/>
        </w:rPr>
        <w:t>המט"ח</w:t>
      </w:r>
      <w:r w:rsidRPr="008E68A8">
        <w:rPr>
          <w:rFonts w:hint="cs"/>
          <w:sz w:val="24"/>
          <w:rtl/>
        </w:rPr>
        <w:t xml:space="preserve"> קובעת עוד כי "בק</w:t>
      </w:r>
      <w:r w:rsidRPr="008E68A8">
        <w:rPr>
          <w:sz w:val="24"/>
          <w:rtl/>
        </w:rPr>
        <w:t xml:space="preserve">ביעת </w:t>
      </w:r>
      <w:r w:rsidRPr="004A5124">
        <w:rPr>
          <w:rtl/>
        </w:rPr>
        <w:t>מדיניות</w:t>
      </w:r>
      <w:r w:rsidRPr="008E68A8">
        <w:rPr>
          <w:sz w:val="24"/>
          <w:rtl/>
        </w:rPr>
        <w:t xml:space="preserve"> ההשקעה של היתרות יש להתחשב גם בחשיפה של הבנק ושל התיק לסיכונים הלא-פיננסים השונים שכרוכים בהשקעה של</w:t>
      </w:r>
      <w:r w:rsidRPr="008E68A8">
        <w:rPr>
          <w:rFonts w:hint="cs"/>
          <w:sz w:val="24"/>
          <w:rtl/>
        </w:rPr>
        <w:t xml:space="preserve"> </w:t>
      </w:r>
      <w:r w:rsidRPr="008E68A8">
        <w:rPr>
          <w:sz w:val="24"/>
          <w:rtl/>
        </w:rPr>
        <w:t xml:space="preserve">היתרות </w:t>
      </w:r>
      <w:r>
        <w:rPr>
          <w:rFonts w:hint="cs"/>
          <w:sz w:val="24"/>
          <w:rtl/>
        </w:rPr>
        <w:t xml:space="preserve">- </w:t>
      </w:r>
      <w:r w:rsidRPr="008E68A8">
        <w:rPr>
          <w:sz w:val="24"/>
          <w:rtl/>
        </w:rPr>
        <w:t>סיכון המוניטין, הסיכון המשפטי, הסיכון הפוליטי, הסיכון התפעולי וכיוצא באל</w:t>
      </w:r>
      <w:r w:rsidRPr="008E68A8">
        <w:rPr>
          <w:rFonts w:hint="cs"/>
          <w:sz w:val="24"/>
          <w:rtl/>
        </w:rPr>
        <w:t xml:space="preserve">ה", אולם </w:t>
      </w:r>
      <w:r>
        <w:rPr>
          <w:rFonts w:hint="cs"/>
          <w:sz w:val="24"/>
          <w:rtl/>
        </w:rPr>
        <w:t xml:space="preserve">נכון לאוגוסט 2023 טרם הוחלט </w:t>
      </w:r>
      <w:r w:rsidRPr="004A5124">
        <w:rPr>
          <w:rFonts w:hint="cs"/>
          <w:rtl/>
        </w:rPr>
        <w:t xml:space="preserve">האם ובאיזה אופן יש להתחשב </w:t>
      </w:r>
      <w:r>
        <w:rPr>
          <w:rFonts w:hint="cs"/>
          <w:rtl/>
        </w:rPr>
        <w:t xml:space="preserve">בסיכונים (פיננסיים ולא פיננסיים כאחד) שמקורם בשיקולי </w:t>
      </w:r>
      <w:r w:rsidRPr="004A5124">
        <w:rPr>
          <w:rFonts w:hint="cs"/>
        </w:rPr>
        <w:t>ES</w:t>
      </w:r>
      <w:r w:rsidRPr="004A5124">
        <w:t>G</w:t>
      </w:r>
      <w:r>
        <w:rPr>
          <w:rFonts w:hint="cs"/>
          <w:rtl/>
        </w:rPr>
        <w:t>, קיימות או אקלים.</w:t>
      </w:r>
    </w:p>
    <w:p w:rsidR="00F20E3F" w:rsidP="004A5124" w14:paraId="04BD61EB" w14:textId="77777777">
      <w:pPr>
        <w:pStyle w:val="7392"/>
        <w:rPr>
          <w:rtl/>
        </w:rPr>
      </w:pPr>
      <w:r>
        <w:rPr>
          <w:rFonts w:hint="cs"/>
          <w:rtl/>
        </w:rPr>
        <w:t xml:space="preserve">כאמור, בתגובה על הדוח הקודם מסר </w:t>
      </w:r>
      <w:r w:rsidRPr="002E539E">
        <w:rPr>
          <w:rtl/>
        </w:rPr>
        <w:t>בנק ישראל כי בשנת 2021</w:t>
      </w:r>
      <w:r>
        <w:rPr>
          <w:rFonts w:hint="cs"/>
          <w:rtl/>
        </w:rPr>
        <w:t xml:space="preserve"> הוקם צוות </w:t>
      </w:r>
      <w:r w:rsidRPr="002E539E">
        <w:rPr>
          <w:rtl/>
        </w:rPr>
        <w:t>לבחינת שילוב כללים להשקעות אחראיות במדיניות ההשקעה</w:t>
      </w:r>
      <w:r w:rsidRPr="00DB6B19">
        <w:rPr>
          <w:rtl/>
        </w:rPr>
        <w:t xml:space="preserve"> </w:t>
      </w:r>
      <w:r>
        <w:rPr>
          <w:rFonts w:hint="cs"/>
          <w:rtl/>
        </w:rPr>
        <w:t>ו</w:t>
      </w:r>
      <w:r>
        <w:rPr>
          <w:rtl/>
        </w:rPr>
        <w:t>לבחון אם נכון להרחיב את סוגי הנכסים שבתיק היתרות ולכלול בהם אג"ח ירוקות או</w:t>
      </w:r>
      <w:r>
        <w:rPr>
          <w:rFonts w:hint="cs"/>
          <w:rtl/>
        </w:rPr>
        <w:t xml:space="preserve"> </w:t>
      </w:r>
      <w:r>
        <w:rPr>
          <w:rtl/>
        </w:rPr>
        <w:t>השקעות מקיימות אחרות בלי לפגוע במטרות החזקת היתרות ובלי לשנות את פרופיל התשואה</w:t>
      </w:r>
      <w:r>
        <w:rPr>
          <w:rFonts w:hint="cs"/>
          <w:rtl/>
        </w:rPr>
        <w:t>-</w:t>
      </w:r>
      <w:r>
        <w:rPr>
          <w:rtl/>
        </w:rPr>
        <w:t>סיכון שלהן</w:t>
      </w:r>
      <w:r>
        <w:rPr>
          <w:rFonts w:hint="cs"/>
          <w:rtl/>
        </w:rPr>
        <w:t>,</w:t>
      </w:r>
      <w:r w:rsidRPr="002E539E">
        <w:rPr>
          <w:rtl/>
        </w:rPr>
        <w:t xml:space="preserve"> </w:t>
      </w:r>
      <w:r>
        <w:rPr>
          <w:rFonts w:hint="cs"/>
          <w:rtl/>
        </w:rPr>
        <w:t xml:space="preserve">וכי </w:t>
      </w:r>
      <w:r w:rsidRPr="002E539E">
        <w:rPr>
          <w:rtl/>
        </w:rPr>
        <w:t xml:space="preserve">המלצותיו </w:t>
      </w:r>
      <w:r>
        <w:rPr>
          <w:rFonts w:hint="cs"/>
          <w:rtl/>
        </w:rPr>
        <w:t xml:space="preserve">צפויות היו להיות מוצגות לנגיד </w:t>
      </w:r>
      <w:r w:rsidRPr="002E539E">
        <w:rPr>
          <w:rtl/>
        </w:rPr>
        <w:t>ולוועדה המוניטרית במהלך</w:t>
      </w:r>
      <w:r>
        <w:rPr>
          <w:rFonts w:hint="cs"/>
          <w:rtl/>
        </w:rPr>
        <w:t xml:space="preserve"> שנת</w:t>
      </w:r>
      <w:r w:rsidRPr="002E539E">
        <w:rPr>
          <w:rtl/>
        </w:rPr>
        <w:t xml:space="preserve"> 2022</w:t>
      </w:r>
      <w:r>
        <w:rPr>
          <w:rFonts w:hint="cs"/>
          <w:rtl/>
        </w:rPr>
        <w:t xml:space="preserve">. באוגוסט 2023 מסר בנק ישראל למשרד מבקר המדינה כי עבודת הצוות הפנימי האמור הסתיימה, וכי נכון לאוגוסט 2023 הבנק בוחן אפשרות "לשילוב כלים למדידת סיכון </w:t>
      </w:r>
      <w:r>
        <w:rPr>
          <w:rFonts w:hint="cs"/>
        </w:rPr>
        <w:t>ESG</w:t>
      </w:r>
      <w:r>
        <w:rPr>
          <w:rFonts w:hint="cs"/>
          <w:rtl/>
        </w:rPr>
        <w:t xml:space="preserve"> בתיק היתרות" שהוא מנהל ולביצוע בדיקת היתכנות (פיילוט) של השקעה בתחום </w:t>
      </w:r>
      <w:r>
        <w:rPr>
          <w:rFonts w:hint="cs"/>
          <w:rtl/>
        </w:rPr>
        <w:t>האג"ח</w:t>
      </w:r>
      <w:r>
        <w:rPr>
          <w:rFonts w:hint="cs"/>
          <w:rtl/>
        </w:rPr>
        <w:t xml:space="preserve"> הירוק - אשר מחייבים עדכון של מדיניות ההשקעה של היתרות על ידי הוועדה המוניטרית בבנק. </w:t>
      </w:r>
    </w:p>
    <w:p w:rsidR="00F20E3F" w:rsidRPr="004A5124" w:rsidP="004A5124" w14:paraId="706221B4" w14:textId="34369C21">
      <w:pPr>
        <w:pStyle w:val="7392"/>
        <w:rPr>
          <w:rtl/>
        </w:rPr>
      </w:pPr>
      <w:r w:rsidRPr="004A5124">
        <w:rPr>
          <w:rFonts w:hint="cs"/>
          <w:rtl/>
        </w:rPr>
        <w:t xml:space="preserve">בנק ישראל עדכן עוד בתשובתו למשרד מבקר המדינה מאוגוסט 2023 (להלן - תשובת בנק ישראל) כי הצוות </w:t>
      </w:r>
      <w:r w:rsidRPr="004A5124">
        <w:rPr>
          <w:rtl/>
        </w:rPr>
        <w:t>ביצע בחינה ראשונית של הנושא והציג סקירה</w:t>
      </w:r>
      <w:r w:rsidRPr="004A5124">
        <w:rPr>
          <w:rFonts w:hint="cs"/>
          <w:rtl/>
        </w:rPr>
        <w:t xml:space="preserve"> בעניין </w:t>
      </w:r>
      <w:r w:rsidRPr="004A5124">
        <w:rPr>
          <w:rtl/>
        </w:rPr>
        <w:t>לוועדה המוניטרית במרץ 2022</w:t>
      </w:r>
      <w:r w:rsidRPr="004A5124">
        <w:rPr>
          <w:rFonts w:hint="cs"/>
          <w:rtl/>
        </w:rPr>
        <w:t xml:space="preserve">, ולאחריה </w:t>
      </w:r>
      <w:r w:rsidRPr="004A5124">
        <w:rPr>
          <w:rtl/>
        </w:rPr>
        <w:t>הבנק החל בבדיקה של חלופת אסטרטגיה לשילוב עקרונות</w:t>
      </w:r>
      <w:r w:rsidRPr="004A5124">
        <w:rPr>
          <w:rFonts w:hint="cs"/>
          <w:rtl/>
        </w:rPr>
        <w:t xml:space="preserve"> </w:t>
      </w:r>
      <w:r w:rsidRPr="004A5124">
        <w:rPr>
          <w:rFonts w:hint="cs"/>
        </w:rPr>
        <w:t>ESG</w:t>
      </w:r>
      <w:r w:rsidRPr="004A5124">
        <w:rPr>
          <w:rFonts w:hint="cs"/>
          <w:rtl/>
        </w:rPr>
        <w:t xml:space="preserve">. </w:t>
      </w:r>
      <w:r w:rsidRPr="004A5124">
        <w:rPr>
          <w:rtl/>
        </w:rPr>
        <w:t>אולם, על רקע השיקולים והאתגרים השונים הנדרשים להחלטה</w:t>
      </w:r>
      <w:r w:rsidRPr="004A5124">
        <w:rPr>
          <w:rFonts w:hint="cs"/>
          <w:rtl/>
        </w:rPr>
        <w:t xml:space="preserve"> </w:t>
      </w:r>
      <w:r w:rsidRPr="004A5124">
        <w:rPr>
          <w:rtl/>
        </w:rPr>
        <w:t xml:space="preserve">המחייבים בחינות נוספות, טרם התקיים דיון </w:t>
      </w:r>
      <w:r w:rsidRPr="004A5124">
        <w:rPr>
          <w:rFonts w:hint="cs"/>
          <w:rtl/>
        </w:rPr>
        <w:t xml:space="preserve">בבנק ישראל </w:t>
      </w:r>
      <w:r w:rsidRPr="004A5124">
        <w:rPr>
          <w:rtl/>
        </w:rPr>
        <w:t>לצורך קבלת החלטות בנושא זה</w:t>
      </w:r>
      <w:r w:rsidRPr="004A5124">
        <w:rPr>
          <w:rFonts w:hint="cs"/>
          <w:rtl/>
        </w:rPr>
        <w:t xml:space="preserve">, בין היתר על רקע הממצאים שאינם חד-משמעיים לגבי התשואה בהשקעות </w:t>
      </w:r>
      <w:r w:rsidRPr="004A5124">
        <w:rPr>
          <w:rFonts w:hint="cs"/>
        </w:rPr>
        <w:t>ESG</w:t>
      </w:r>
      <w:r w:rsidRPr="004A5124">
        <w:rPr>
          <w:rFonts w:hint="cs"/>
          <w:rtl/>
        </w:rPr>
        <w:t xml:space="preserve"> והיעדר סטנדרטיזציה במדידת סיכוני אקלים. לפיכך ציין בנק ישראל כי טרם הסתיימה בחינת הנושא בבנק שהיא </w:t>
      </w:r>
      <w:r w:rsidRPr="004A5124">
        <w:rPr>
          <w:rtl/>
        </w:rPr>
        <w:t>מורכבת</w:t>
      </w:r>
      <w:r w:rsidRPr="004A5124">
        <w:rPr>
          <w:rFonts w:hint="cs"/>
          <w:rtl/>
        </w:rPr>
        <w:t xml:space="preserve">, וכי רוב </w:t>
      </w:r>
      <w:r w:rsidRPr="004A5124">
        <w:rPr>
          <w:rtl/>
        </w:rPr>
        <w:t>הבנקים המרכזיים</w:t>
      </w:r>
      <w:r w:rsidRPr="004A5124">
        <w:rPr>
          <w:rFonts w:hint="cs"/>
          <w:rtl/>
        </w:rPr>
        <w:t xml:space="preserve"> בעולם </w:t>
      </w:r>
      <w:r w:rsidRPr="004A5124">
        <w:rPr>
          <w:rtl/>
        </w:rPr>
        <w:t xml:space="preserve">טרם הטמיעו שיקולי אקלים ברכישת נכסים </w:t>
      </w:r>
      <w:r w:rsidRPr="004A5124">
        <w:rPr>
          <w:rFonts w:hint="cs"/>
          <w:rtl/>
        </w:rPr>
        <w:t>(</w:t>
      </w:r>
      <w:r w:rsidRPr="004A5124">
        <w:rPr>
          <w:rtl/>
        </w:rPr>
        <w:t>השקעות</w:t>
      </w:r>
      <w:r w:rsidRPr="004A5124">
        <w:rPr>
          <w:rFonts w:hint="cs"/>
          <w:rtl/>
        </w:rPr>
        <w:t>)</w:t>
      </w:r>
      <w:r w:rsidRPr="004A5124">
        <w:rPr>
          <w:rtl/>
        </w:rPr>
        <w:t xml:space="preserve"> שהם מבצעים</w:t>
      </w:r>
      <w:r w:rsidRPr="004A5124">
        <w:rPr>
          <w:rFonts w:hint="cs"/>
          <w:rtl/>
        </w:rPr>
        <w:t xml:space="preserve"> בשל האתגרים הקיימים </w:t>
      </w:r>
      <w:r w:rsidRPr="004A5124">
        <w:rPr>
          <w:rtl/>
        </w:rPr>
        <w:t>בבואם לבחון שילוב שיקולי אקלים בהשקעותיהם</w:t>
      </w:r>
      <w:r w:rsidRPr="004A5124">
        <w:rPr>
          <w:rFonts w:hint="cs"/>
          <w:rtl/>
        </w:rPr>
        <w:t xml:space="preserve">, כגון שמירה על מנדט הבנק המרכזי; מניעת ניגוד עניינים בבחירת חברות להשקעה במסגרת שיקולי </w:t>
      </w:r>
      <w:r w:rsidRPr="004A5124">
        <w:rPr>
          <w:rFonts w:hint="cs"/>
        </w:rPr>
        <w:t>ESG</w:t>
      </w:r>
      <w:r w:rsidRPr="004A5124">
        <w:rPr>
          <w:rFonts w:hint="cs"/>
          <w:rtl/>
        </w:rPr>
        <w:t>; ו</w:t>
      </w:r>
      <w:r w:rsidRPr="004A5124">
        <w:rPr>
          <w:rtl/>
        </w:rPr>
        <w:t>מציאת איזון בין השקיפות המתחייבת בביצוע השקעות</w:t>
      </w:r>
      <w:r w:rsidRPr="004A5124">
        <w:rPr>
          <w:rFonts w:hint="cs"/>
          <w:rtl/>
        </w:rPr>
        <w:t xml:space="preserve"> </w:t>
      </w:r>
      <w:r w:rsidRPr="004A5124">
        <w:rPr>
          <w:rFonts w:hint="cs"/>
        </w:rPr>
        <w:t>ESG</w:t>
      </w:r>
      <w:r w:rsidRPr="004A5124">
        <w:rPr>
          <w:rFonts w:hint="cs"/>
          <w:rtl/>
        </w:rPr>
        <w:t xml:space="preserve"> </w:t>
      </w:r>
      <w:r w:rsidRPr="004A5124">
        <w:rPr>
          <w:rtl/>
        </w:rPr>
        <w:t xml:space="preserve">לבין פרסום הנכסים </w:t>
      </w:r>
      <w:r w:rsidRPr="004A5124">
        <w:rPr>
          <w:rFonts w:hint="cs"/>
          <w:rtl/>
        </w:rPr>
        <w:t>ה</w:t>
      </w:r>
      <w:r w:rsidRPr="004A5124">
        <w:rPr>
          <w:rtl/>
        </w:rPr>
        <w:t xml:space="preserve">מרכיבים את יתרות </w:t>
      </w:r>
      <w:r w:rsidRPr="004A5124">
        <w:rPr>
          <w:rtl/>
        </w:rPr>
        <w:t>המט"ח</w:t>
      </w:r>
      <w:r w:rsidRPr="004A5124">
        <w:rPr>
          <w:rtl/>
        </w:rPr>
        <w:t>.</w:t>
      </w:r>
      <w:r w:rsidRPr="004A5124">
        <w:rPr>
          <w:rFonts w:hint="cs"/>
          <w:rtl/>
        </w:rPr>
        <w:t xml:space="preserve"> </w:t>
      </w:r>
    </w:p>
    <w:p w:rsidR="00F20E3F" w:rsidRPr="004A5124" w:rsidP="004A5124" w14:paraId="7FB3E319" w14:textId="77777777">
      <w:pPr>
        <w:pStyle w:val="716"/>
        <w:rPr>
          <w:rtl/>
        </w:rPr>
      </w:pPr>
      <w:r w:rsidRPr="004A5124">
        <w:rPr>
          <w:rFonts w:hint="cs"/>
          <w:rtl/>
        </w:rPr>
        <w:t xml:space="preserve">בדוח הקודם עלה שבנק ישראל אינו משקיע את תיק יתרות </w:t>
      </w:r>
      <w:r w:rsidRPr="004A5124">
        <w:rPr>
          <w:rFonts w:hint="cs"/>
          <w:rtl/>
        </w:rPr>
        <w:t>המט"ח</w:t>
      </w:r>
      <w:r w:rsidRPr="004A5124">
        <w:rPr>
          <w:rFonts w:hint="cs"/>
          <w:rtl/>
        </w:rPr>
        <w:t xml:space="preserve"> של המדינה בתחומי </w:t>
      </w:r>
      <w:r w:rsidRPr="004A5124">
        <w:rPr>
          <w:rFonts w:hint="cs"/>
        </w:rPr>
        <w:t>ESG</w:t>
      </w:r>
      <w:r w:rsidRPr="004A5124">
        <w:rPr>
          <w:rFonts w:hint="cs"/>
          <w:rtl/>
        </w:rPr>
        <w:t xml:space="preserve">. </w:t>
      </w:r>
      <w:r w:rsidRPr="004A5124">
        <w:rPr>
          <w:rFonts w:hint="eastAsia"/>
          <w:rtl/>
        </w:rPr>
        <w:t>ב</w:t>
      </w:r>
      <w:r w:rsidRPr="004A5124">
        <w:rPr>
          <w:rFonts w:hint="cs"/>
          <w:rtl/>
        </w:rPr>
        <w:t>תגובתו</w:t>
      </w:r>
      <w:r w:rsidRPr="004A5124">
        <w:rPr>
          <w:rtl/>
        </w:rPr>
        <w:t xml:space="preserve"> </w:t>
      </w:r>
      <w:r w:rsidRPr="004A5124">
        <w:rPr>
          <w:rFonts w:hint="cs"/>
          <w:rtl/>
        </w:rPr>
        <w:t>ע</w:t>
      </w:r>
      <w:r w:rsidRPr="004A5124">
        <w:rPr>
          <w:rFonts w:hint="eastAsia"/>
          <w:rtl/>
        </w:rPr>
        <w:t>ל</w:t>
      </w:r>
      <w:r w:rsidRPr="004A5124">
        <w:rPr>
          <w:rFonts w:hint="cs"/>
          <w:rtl/>
        </w:rPr>
        <w:t xml:space="preserve"> ממצא זה</w:t>
      </w:r>
      <w:r w:rsidRPr="004A5124">
        <w:rPr>
          <w:rtl/>
        </w:rPr>
        <w:t xml:space="preserve"> </w:t>
      </w:r>
      <w:r w:rsidRPr="004A5124">
        <w:rPr>
          <w:rFonts w:hint="eastAsia"/>
          <w:rtl/>
        </w:rPr>
        <w:t>כתב</w:t>
      </w:r>
      <w:r w:rsidRPr="004A5124">
        <w:rPr>
          <w:rtl/>
        </w:rPr>
        <w:t xml:space="preserve"> </w:t>
      </w:r>
      <w:r w:rsidRPr="004A5124">
        <w:rPr>
          <w:rFonts w:hint="eastAsia"/>
          <w:rtl/>
        </w:rPr>
        <w:t>בנק</w:t>
      </w:r>
      <w:r w:rsidRPr="004A5124">
        <w:rPr>
          <w:rtl/>
        </w:rPr>
        <w:t xml:space="preserve"> ישראל</w:t>
      </w:r>
      <w:r w:rsidRPr="004A5124">
        <w:rPr>
          <w:rFonts w:hint="cs"/>
          <w:rtl/>
        </w:rPr>
        <w:t xml:space="preserve"> למשרד מבקר המדינה בינואר 2022</w:t>
      </w:r>
      <w:r w:rsidRPr="004A5124">
        <w:rPr>
          <w:rtl/>
        </w:rPr>
        <w:t xml:space="preserve"> </w:t>
      </w:r>
      <w:r w:rsidRPr="004A5124">
        <w:rPr>
          <w:rFonts w:hint="cs"/>
          <w:rtl/>
        </w:rPr>
        <w:t xml:space="preserve">כי בשנת 2021 </w:t>
      </w:r>
      <w:r w:rsidRPr="004A5124">
        <w:rPr>
          <w:rtl/>
        </w:rPr>
        <w:t>ה</w:t>
      </w:r>
      <w:r w:rsidRPr="004A5124">
        <w:rPr>
          <w:rFonts w:hint="cs"/>
          <w:rtl/>
        </w:rPr>
        <w:t>וא</w:t>
      </w:r>
      <w:r w:rsidRPr="004A5124">
        <w:rPr>
          <w:rtl/>
        </w:rPr>
        <w:t xml:space="preserve"> הקים צוות לבחינ</w:t>
      </w:r>
      <w:r w:rsidRPr="004A5124">
        <w:rPr>
          <w:rFonts w:hint="cs"/>
          <w:rtl/>
        </w:rPr>
        <w:t xml:space="preserve">ה אם נכון להרחיב את סוגי הנכסים שבתיק יתרות </w:t>
      </w:r>
      <w:r w:rsidRPr="004A5124">
        <w:rPr>
          <w:rFonts w:hint="cs"/>
          <w:rtl/>
        </w:rPr>
        <w:t>המט"ח</w:t>
      </w:r>
      <w:r w:rsidRPr="004A5124">
        <w:rPr>
          <w:rFonts w:hint="cs"/>
          <w:rtl/>
        </w:rPr>
        <w:t xml:space="preserve"> ואם לכלול בהם אג"ח ירוקות או השקעות</w:t>
      </w:r>
      <w:r w:rsidRPr="004A5124">
        <w:rPr>
          <w:rtl/>
        </w:rPr>
        <w:t xml:space="preserve"> מקיימות אחרות בלי לפגוע במטרות החזקת היתרות ובלי לשנות את פרופיל</w:t>
      </w:r>
      <w:r w:rsidRPr="004A5124">
        <w:rPr>
          <w:rFonts w:hint="cs"/>
          <w:rtl/>
        </w:rPr>
        <w:t xml:space="preserve"> </w:t>
      </w:r>
      <w:r w:rsidRPr="004A5124">
        <w:rPr>
          <w:rtl/>
        </w:rPr>
        <w:t>התשואה-סיכון של</w:t>
      </w:r>
      <w:r w:rsidRPr="004A5124">
        <w:rPr>
          <w:rFonts w:hint="cs"/>
          <w:rtl/>
        </w:rPr>
        <w:t xml:space="preserve"> התיק</w:t>
      </w:r>
      <w:r w:rsidRPr="004A5124">
        <w:rPr>
          <w:rtl/>
        </w:rPr>
        <w:t xml:space="preserve"> </w:t>
      </w:r>
      <w:r w:rsidRPr="004A5124">
        <w:rPr>
          <w:rFonts w:hint="cs"/>
          <w:rtl/>
        </w:rPr>
        <w:t xml:space="preserve">ולבחינת </w:t>
      </w:r>
      <w:r w:rsidRPr="004A5124">
        <w:rPr>
          <w:rtl/>
        </w:rPr>
        <w:t xml:space="preserve">שילוב כללים להשקעות אחראיות במדיניות ההשקעה. </w:t>
      </w:r>
      <w:r w:rsidRPr="004A5124">
        <w:rPr>
          <w:rFonts w:hint="cs"/>
          <w:rtl/>
        </w:rPr>
        <w:t>עוד נמסר כי "</w:t>
      </w:r>
      <w:r w:rsidRPr="004A5124">
        <w:rPr>
          <w:rtl/>
        </w:rPr>
        <w:t>ממצאי הצוות והמלצותיו יוצגו לנגיד ולוועדה המוניטרית במהלך 2022</w:t>
      </w:r>
      <w:r w:rsidRPr="004A5124">
        <w:rPr>
          <w:rFonts w:hint="cs"/>
          <w:rtl/>
        </w:rPr>
        <w:t>"</w:t>
      </w:r>
      <w:r w:rsidRPr="004A5124">
        <w:rPr>
          <w:rtl/>
        </w:rPr>
        <w:t xml:space="preserve">. </w:t>
      </w:r>
    </w:p>
    <w:p w:rsidR="00F20E3F" w:rsidRPr="004A5124" w:rsidP="004A5124" w14:paraId="331C3C94" w14:textId="77777777">
      <w:pPr>
        <w:pStyle w:val="716"/>
        <w:rPr>
          <w:rtl/>
        </w:rPr>
      </w:pPr>
      <w:r w:rsidRPr="004A5124">
        <w:rPr>
          <w:rFonts w:hint="eastAsia"/>
          <w:rtl/>
        </w:rPr>
        <w:t>ביקורת</w:t>
      </w:r>
      <w:r w:rsidRPr="004A5124">
        <w:rPr>
          <w:rtl/>
        </w:rPr>
        <w:t xml:space="preserve"> </w:t>
      </w:r>
      <w:r w:rsidRPr="004A5124">
        <w:rPr>
          <w:rFonts w:hint="eastAsia"/>
          <w:rtl/>
        </w:rPr>
        <w:t>המעקב</w:t>
      </w:r>
      <w:r w:rsidRPr="004A5124">
        <w:rPr>
          <w:rtl/>
        </w:rPr>
        <w:t xml:space="preserve"> </w:t>
      </w:r>
      <w:r w:rsidRPr="004A5124">
        <w:rPr>
          <w:rFonts w:hint="eastAsia"/>
          <w:rtl/>
        </w:rPr>
        <w:t>העלתה</w:t>
      </w:r>
      <w:r w:rsidRPr="004A5124">
        <w:rPr>
          <w:rtl/>
        </w:rPr>
        <w:t xml:space="preserve"> </w:t>
      </w:r>
      <w:r w:rsidRPr="004A5124">
        <w:rPr>
          <w:rFonts w:hint="eastAsia"/>
          <w:rtl/>
        </w:rPr>
        <w:t>כי</w:t>
      </w:r>
      <w:r w:rsidRPr="004A5124">
        <w:rPr>
          <w:rtl/>
        </w:rPr>
        <w:t xml:space="preserve"> </w:t>
      </w:r>
      <w:r w:rsidRPr="004A5124">
        <w:rPr>
          <w:rFonts w:hint="eastAsia"/>
          <w:rtl/>
        </w:rPr>
        <w:t>נכון</w:t>
      </w:r>
      <w:r w:rsidRPr="004A5124">
        <w:rPr>
          <w:rtl/>
        </w:rPr>
        <w:t xml:space="preserve"> </w:t>
      </w:r>
      <w:r w:rsidRPr="004A5124">
        <w:rPr>
          <w:rFonts w:hint="eastAsia"/>
          <w:rtl/>
        </w:rPr>
        <w:t>לאוגוסט</w:t>
      </w:r>
      <w:r w:rsidRPr="004A5124">
        <w:rPr>
          <w:rtl/>
        </w:rPr>
        <w:t xml:space="preserve"> 2023, </w:t>
      </w:r>
      <w:r w:rsidRPr="004A5124">
        <w:rPr>
          <w:rFonts w:hint="eastAsia"/>
          <w:rtl/>
        </w:rPr>
        <w:t>יותר</w:t>
      </w:r>
      <w:r w:rsidRPr="004A5124">
        <w:rPr>
          <w:rtl/>
        </w:rPr>
        <w:t xml:space="preserve"> </w:t>
      </w:r>
      <w:r w:rsidRPr="004A5124">
        <w:rPr>
          <w:rFonts w:hint="eastAsia"/>
          <w:rtl/>
        </w:rPr>
        <w:t>משנתיים</w:t>
      </w:r>
      <w:r w:rsidRPr="004A5124">
        <w:rPr>
          <w:rtl/>
        </w:rPr>
        <w:t xml:space="preserve"> </w:t>
      </w:r>
      <w:r w:rsidRPr="004A5124">
        <w:rPr>
          <w:rFonts w:hint="eastAsia"/>
          <w:rtl/>
        </w:rPr>
        <w:t>מאז</w:t>
      </w:r>
      <w:r w:rsidRPr="004A5124">
        <w:rPr>
          <w:rtl/>
        </w:rPr>
        <w:t xml:space="preserve"> </w:t>
      </w:r>
      <w:r w:rsidRPr="004A5124">
        <w:rPr>
          <w:rFonts w:hint="eastAsia"/>
          <w:rtl/>
        </w:rPr>
        <w:t>הוקם</w:t>
      </w:r>
      <w:r w:rsidRPr="004A5124">
        <w:rPr>
          <w:rtl/>
        </w:rPr>
        <w:t xml:space="preserve"> </w:t>
      </w:r>
      <w:r w:rsidRPr="004A5124">
        <w:rPr>
          <w:rFonts w:hint="eastAsia"/>
          <w:rtl/>
        </w:rPr>
        <w:t>צוות</w:t>
      </w:r>
      <w:r w:rsidRPr="004A5124">
        <w:rPr>
          <w:rtl/>
        </w:rPr>
        <w:t xml:space="preserve"> </w:t>
      </w:r>
      <w:r w:rsidRPr="004A5124">
        <w:rPr>
          <w:rFonts w:hint="eastAsia"/>
          <w:rtl/>
        </w:rPr>
        <w:t>לבחינת</w:t>
      </w:r>
      <w:r w:rsidRPr="004A5124">
        <w:rPr>
          <w:rtl/>
        </w:rPr>
        <w:t xml:space="preserve"> </w:t>
      </w:r>
      <w:r w:rsidRPr="004A5124">
        <w:rPr>
          <w:rFonts w:hint="eastAsia"/>
          <w:rtl/>
        </w:rPr>
        <w:t>כללים</w:t>
      </w:r>
      <w:r w:rsidRPr="004A5124">
        <w:rPr>
          <w:rtl/>
        </w:rPr>
        <w:t xml:space="preserve"> </w:t>
      </w:r>
      <w:r w:rsidRPr="004A5124">
        <w:rPr>
          <w:rFonts w:hint="eastAsia"/>
          <w:rtl/>
        </w:rPr>
        <w:t>להשקעות</w:t>
      </w:r>
      <w:r w:rsidRPr="004A5124">
        <w:rPr>
          <w:rtl/>
        </w:rPr>
        <w:t xml:space="preserve"> </w:t>
      </w:r>
      <w:r w:rsidRPr="004A5124">
        <w:rPr>
          <w:rFonts w:hint="eastAsia"/>
          <w:rtl/>
        </w:rPr>
        <w:t>אחראיות</w:t>
      </w:r>
      <w:r w:rsidRPr="004A5124">
        <w:rPr>
          <w:rtl/>
        </w:rPr>
        <w:t xml:space="preserve"> </w:t>
      </w:r>
      <w:r w:rsidRPr="004A5124">
        <w:rPr>
          <w:rFonts w:hint="cs"/>
          <w:rtl/>
        </w:rPr>
        <w:t>(</w:t>
      </w:r>
      <w:r w:rsidRPr="004A5124">
        <w:rPr>
          <w:rtl/>
        </w:rPr>
        <w:t xml:space="preserve">שיקולי </w:t>
      </w:r>
      <w:r w:rsidRPr="004A5124">
        <w:t>ESG</w:t>
      </w:r>
      <w:r w:rsidRPr="004A5124">
        <w:rPr>
          <w:rFonts w:hint="cs"/>
          <w:rtl/>
        </w:rPr>
        <w:t>)</w:t>
      </w:r>
      <w:r w:rsidRPr="004A5124">
        <w:rPr>
          <w:rtl/>
        </w:rPr>
        <w:t xml:space="preserve"> </w:t>
      </w:r>
      <w:r w:rsidRPr="004A5124">
        <w:rPr>
          <w:rFonts w:hint="eastAsia"/>
          <w:rtl/>
        </w:rPr>
        <w:t>במדיניות</w:t>
      </w:r>
      <w:r w:rsidRPr="004A5124">
        <w:rPr>
          <w:rtl/>
        </w:rPr>
        <w:t xml:space="preserve"> </w:t>
      </w:r>
      <w:r w:rsidRPr="004A5124">
        <w:rPr>
          <w:rFonts w:hint="eastAsia"/>
          <w:rtl/>
        </w:rPr>
        <w:t>ההשקעה</w:t>
      </w:r>
      <w:r w:rsidRPr="004A5124">
        <w:rPr>
          <w:rtl/>
        </w:rPr>
        <w:t xml:space="preserve"> </w:t>
      </w:r>
      <w:r w:rsidRPr="004A5124">
        <w:rPr>
          <w:rFonts w:hint="eastAsia"/>
          <w:rtl/>
        </w:rPr>
        <w:t>שלו</w:t>
      </w:r>
      <w:r w:rsidRPr="004A5124">
        <w:rPr>
          <w:rtl/>
        </w:rPr>
        <w:t xml:space="preserve">, </w:t>
      </w:r>
      <w:r w:rsidRPr="004A5124">
        <w:rPr>
          <w:rFonts w:hint="eastAsia"/>
          <w:rtl/>
        </w:rPr>
        <w:t>בנק</w:t>
      </w:r>
      <w:r w:rsidRPr="004A5124">
        <w:rPr>
          <w:rtl/>
        </w:rPr>
        <w:t xml:space="preserve"> </w:t>
      </w:r>
      <w:r w:rsidRPr="004A5124">
        <w:rPr>
          <w:rFonts w:hint="eastAsia"/>
          <w:rtl/>
        </w:rPr>
        <w:t>ישראל</w:t>
      </w:r>
      <w:r w:rsidRPr="004A5124">
        <w:rPr>
          <w:rtl/>
        </w:rPr>
        <w:t xml:space="preserve"> </w:t>
      </w:r>
      <w:r w:rsidRPr="004A5124">
        <w:rPr>
          <w:rFonts w:hint="eastAsia"/>
          <w:rtl/>
        </w:rPr>
        <w:t>טרם</w:t>
      </w:r>
      <w:r w:rsidRPr="004A5124">
        <w:rPr>
          <w:rtl/>
        </w:rPr>
        <w:t xml:space="preserve"> סיים את הליכי הבדיקה וטרם קיבל החלטות בנושא. </w:t>
      </w:r>
    </w:p>
    <w:p w:rsidR="00F20E3F" w:rsidRPr="004A5124" w:rsidP="004A5124" w14:paraId="5D4CD567" w14:textId="2E107668">
      <w:pPr>
        <w:pStyle w:val="716"/>
        <w:rPr>
          <w:rtl/>
        </w:rPr>
      </w:pPr>
      <w:r w:rsidRPr="004A5124">
        <w:rPr>
          <w:rFonts w:hint="eastAsia"/>
          <w:rtl/>
        </w:rPr>
        <w:t>משכך</w:t>
      </w:r>
      <w:r w:rsidRPr="004A5124">
        <w:rPr>
          <w:rtl/>
        </w:rPr>
        <w:t xml:space="preserve">, </w:t>
      </w:r>
      <w:r w:rsidRPr="004A5124">
        <w:rPr>
          <w:rFonts w:hint="eastAsia"/>
          <w:rtl/>
        </w:rPr>
        <w:t>בנק</w:t>
      </w:r>
      <w:r w:rsidRPr="004A5124">
        <w:rPr>
          <w:rtl/>
        </w:rPr>
        <w:t xml:space="preserve"> ישראל מנהל את תיק </w:t>
      </w:r>
      <w:r w:rsidRPr="004A5124">
        <w:rPr>
          <w:rFonts w:hint="eastAsia"/>
          <w:rtl/>
        </w:rPr>
        <w:t>יתרות</w:t>
      </w:r>
      <w:r w:rsidRPr="004A5124">
        <w:rPr>
          <w:rtl/>
        </w:rPr>
        <w:t xml:space="preserve"> </w:t>
      </w:r>
      <w:r w:rsidRPr="004A5124">
        <w:rPr>
          <w:rFonts w:hint="eastAsia"/>
          <w:rtl/>
        </w:rPr>
        <w:t>המט</w:t>
      </w:r>
      <w:r w:rsidRPr="004A5124">
        <w:rPr>
          <w:rtl/>
        </w:rPr>
        <w:t>"ח</w:t>
      </w:r>
      <w:r w:rsidRPr="004A5124">
        <w:rPr>
          <w:rtl/>
        </w:rPr>
        <w:t xml:space="preserve"> </w:t>
      </w:r>
      <w:r w:rsidRPr="004A5124">
        <w:rPr>
          <w:rFonts w:hint="eastAsia"/>
          <w:rtl/>
        </w:rPr>
        <w:t>של</w:t>
      </w:r>
      <w:r w:rsidRPr="004A5124">
        <w:rPr>
          <w:rtl/>
        </w:rPr>
        <w:t xml:space="preserve"> </w:t>
      </w:r>
      <w:r w:rsidRPr="004A5124">
        <w:rPr>
          <w:rFonts w:hint="eastAsia"/>
          <w:rtl/>
        </w:rPr>
        <w:t>מדינת</w:t>
      </w:r>
      <w:r w:rsidRPr="004A5124">
        <w:rPr>
          <w:rtl/>
        </w:rPr>
        <w:t xml:space="preserve"> </w:t>
      </w:r>
      <w:r w:rsidRPr="004A5124">
        <w:rPr>
          <w:rFonts w:hint="eastAsia"/>
          <w:rtl/>
        </w:rPr>
        <w:t>ישראל</w:t>
      </w:r>
      <w:r w:rsidRPr="004A5124">
        <w:rPr>
          <w:rtl/>
        </w:rPr>
        <w:t xml:space="preserve"> </w:t>
      </w:r>
      <w:r w:rsidRPr="004A5124">
        <w:rPr>
          <w:rFonts w:hint="eastAsia"/>
          <w:rtl/>
        </w:rPr>
        <w:t>העומדות</w:t>
      </w:r>
      <w:r w:rsidRPr="004A5124">
        <w:rPr>
          <w:rtl/>
        </w:rPr>
        <w:t xml:space="preserve">, </w:t>
      </w:r>
      <w:r w:rsidRPr="004A5124">
        <w:rPr>
          <w:rFonts w:hint="eastAsia"/>
          <w:rtl/>
        </w:rPr>
        <w:t>נכון</w:t>
      </w:r>
      <w:r w:rsidRPr="004A5124">
        <w:rPr>
          <w:rtl/>
        </w:rPr>
        <w:t xml:space="preserve"> </w:t>
      </w:r>
      <w:r w:rsidRPr="004A5124">
        <w:rPr>
          <w:rFonts w:hint="eastAsia"/>
          <w:rtl/>
        </w:rPr>
        <w:t>ליוני</w:t>
      </w:r>
      <w:r w:rsidRPr="004A5124">
        <w:rPr>
          <w:rtl/>
        </w:rPr>
        <w:t xml:space="preserve"> 2023, </w:t>
      </w:r>
      <w:r w:rsidRPr="004A5124">
        <w:rPr>
          <w:rFonts w:hint="eastAsia"/>
          <w:rtl/>
        </w:rPr>
        <w:t>על</w:t>
      </w:r>
      <w:r w:rsidRPr="004A5124">
        <w:rPr>
          <w:rtl/>
        </w:rPr>
        <w:t xml:space="preserve"> </w:t>
      </w:r>
      <w:r w:rsidRPr="004A5124">
        <w:rPr>
          <w:rFonts w:hint="eastAsia"/>
          <w:rtl/>
        </w:rPr>
        <w:t>סך</w:t>
      </w:r>
      <w:r w:rsidRPr="004A5124">
        <w:rPr>
          <w:rtl/>
        </w:rPr>
        <w:t xml:space="preserve"> </w:t>
      </w:r>
      <w:r w:rsidRPr="004A5124">
        <w:rPr>
          <w:rFonts w:hint="eastAsia"/>
          <w:rtl/>
        </w:rPr>
        <w:t>של</w:t>
      </w:r>
      <w:r w:rsidRPr="004A5124">
        <w:rPr>
          <w:rtl/>
        </w:rPr>
        <w:t xml:space="preserve"> </w:t>
      </w:r>
      <w:r w:rsidRPr="004A5124">
        <w:rPr>
          <w:rFonts w:hint="eastAsia"/>
          <w:rtl/>
        </w:rPr>
        <w:t>כ</w:t>
      </w:r>
      <w:r w:rsidRPr="004A5124">
        <w:rPr>
          <w:rtl/>
        </w:rPr>
        <w:t xml:space="preserve">-202 </w:t>
      </w:r>
      <w:r w:rsidRPr="004A5124">
        <w:rPr>
          <w:rFonts w:hint="eastAsia"/>
          <w:rtl/>
        </w:rPr>
        <w:t>מיליארד</w:t>
      </w:r>
      <w:r w:rsidRPr="004A5124">
        <w:rPr>
          <w:rtl/>
        </w:rPr>
        <w:t xml:space="preserve"> </w:t>
      </w:r>
      <w:r w:rsidRPr="004A5124">
        <w:rPr>
          <w:rFonts w:hint="eastAsia"/>
          <w:rtl/>
        </w:rPr>
        <w:t>דולר</w:t>
      </w:r>
      <w:r w:rsidRPr="004A5124">
        <w:rPr>
          <w:rtl/>
        </w:rPr>
        <w:t xml:space="preserve">, ללא התחשבות בשיקולי </w:t>
      </w:r>
      <w:r w:rsidRPr="004A5124">
        <w:t>ESG</w:t>
      </w:r>
      <w:r w:rsidRPr="004A5124">
        <w:rPr>
          <w:rtl/>
        </w:rPr>
        <w:t xml:space="preserve"> ול</w:t>
      </w:r>
      <w:r w:rsidRPr="004A5124">
        <w:rPr>
          <w:rFonts w:hint="eastAsia"/>
          <w:rtl/>
        </w:rPr>
        <w:t>לא</w:t>
      </w:r>
      <w:r w:rsidRPr="004A5124">
        <w:rPr>
          <w:rtl/>
        </w:rPr>
        <w:t xml:space="preserve"> </w:t>
      </w:r>
      <w:r w:rsidRPr="004A5124">
        <w:rPr>
          <w:rFonts w:hint="eastAsia"/>
          <w:rtl/>
        </w:rPr>
        <w:t>הטמעת</w:t>
      </w:r>
      <w:r w:rsidRPr="004A5124">
        <w:rPr>
          <w:rtl/>
        </w:rPr>
        <w:t xml:space="preserve"> </w:t>
      </w:r>
      <w:r w:rsidRPr="004A5124">
        <w:rPr>
          <w:rFonts w:hint="eastAsia"/>
          <w:rtl/>
        </w:rPr>
        <w:t>סיכונים</w:t>
      </w:r>
      <w:r w:rsidRPr="004A5124">
        <w:rPr>
          <w:rtl/>
        </w:rPr>
        <w:t xml:space="preserve"> </w:t>
      </w:r>
      <w:r w:rsidRPr="004A5124">
        <w:rPr>
          <w:rFonts w:hint="eastAsia"/>
          <w:rtl/>
        </w:rPr>
        <w:t>הנובעים</w:t>
      </w:r>
      <w:r w:rsidRPr="004A5124">
        <w:rPr>
          <w:rtl/>
        </w:rPr>
        <w:t xml:space="preserve"> משינויי אקלים במסגרת שיקולי ההשקעה</w:t>
      </w:r>
      <w:r w:rsidRPr="004A5124">
        <w:rPr>
          <w:rFonts w:hint="cs"/>
          <w:rtl/>
        </w:rPr>
        <w:t xml:space="preserve"> שלו</w:t>
      </w:r>
      <w:r w:rsidRPr="004A5124">
        <w:rPr>
          <w:rtl/>
        </w:rPr>
        <w:t xml:space="preserve">. </w:t>
      </w:r>
      <w:r w:rsidRPr="004A5124">
        <w:rPr>
          <w:rFonts w:hint="eastAsia"/>
          <w:rtl/>
        </w:rPr>
        <w:t>זאת</w:t>
      </w:r>
      <w:r w:rsidRPr="004A5124">
        <w:rPr>
          <w:rtl/>
        </w:rPr>
        <w:t xml:space="preserve">, </w:t>
      </w:r>
      <w:r w:rsidRPr="004A5124">
        <w:rPr>
          <w:rFonts w:hint="eastAsia"/>
          <w:rtl/>
        </w:rPr>
        <w:t>הגם</w:t>
      </w:r>
      <w:r w:rsidRPr="004A5124">
        <w:rPr>
          <w:rtl/>
        </w:rPr>
        <w:t xml:space="preserve"> </w:t>
      </w:r>
      <w:r w:rsidRPr="004A5124">
        <w:rPr>
          <w:rFonts w:hint="eastAsia"/>
          <w:rtl/>
        </w:rPr>
        <w:t>ש</w:t>
      </w:r>
      <w:r w:rsidRPr="004A5124">
        <w:rPr>
          <w:rFonts w:hint="cs"/>
          <w:rtl/>
        </w:rPr>
        <w:t>מ</w:t>
      </w:r>
      <w:r w:rsidRPr="004A5124">
        <w:rPr>
          <w:rFonts w:hint="eastAsia"/>
          <w:rtl/>
        </w:rPr>
        <w:t>סקר</w:t>
      </w:r>
      <w:r w:rsidRPr="004A5124">
        <w:rPr>
          <w:rtl/>
        </w:rPr>
        <w:t xml:space="preserve"> </w:t>
      </w:r>
      <w:r w:rsidRPr="004A5124">
        <w:rPr>
          <w:rFonts w:hint="eastAsia"/>
          <w:rtl/>
        </w:rPr>
        <w:t>ה</w:t>
      </w:r>
      <w:r w:rsidRPr="004A5124">
        <w:rPr>
          <w:rtl/>
        </w:rPr>
        <w:t>-</w:t>
      </w:r>
      <w:r w:rsidRPr="004A5124">
        <w:t>NGFS</w:t>
      </w:r>
      <w:r w:rsidRPr="004A5124">
        <w:rPr>
          <w:rtl/>
        </w:rPr>
        <w:t xml:space="preserve"> </w:t>
      </w:r>
      <w:r w:rsidRPr="004A5124">
        <w:rPr>
          <w:rFonts w:hint="eastAsia"/>
          <w:rtl/>
        </w:rPr>
        <w:t>שנע</w:t>
      </w:r>
      <w:r w:rsidRPr="004A5124">
        <w:rPr>
          <w:rFonts w:hint="cs"/>
          <w:rtl/>
        </w:rPr>
        <w:t>שה</w:t>
      </w:r>
      <w:r w:rsidRPr="004A5124">
        <w:rPr>
          <w:rtl/>
        </w:rPr>
        <w:t xml:space="preserve"> בשנת 2022 ע</w:t>
      </w:r>
      <w:r w:rsidRPr="004A5124">
        <w:rPr>
          <w:rFonts w:hint="cs"/>
          <w:rtl/>
        </w:rPr>
        <w:t>ו</w:t>
      </w:r>
      <w:r w:rsidRPr="004A5124">
        <w:rPr>
          <w:rtl/>
        </w:rPr>
        <w:t xml:space="preserve">לה </w:t>
      </w:r>
      <w:r w:rsidRPr="004A5124">
        <w:rPr>
          <w:rFonts w:hint="cs"/>
          <w:rtl/>
        </w:rPr>
        <w:t xml:space="preserve">המגמה ולפיה </w:t>
      </w:r>
      <w:r w:rsidRPr="004A5124">
        <w:rPr>
          <w:rFonts w:hint="eastAsia"/>
          <w:rtl/>
        </w:rPr>
        <w:t>כ</w:t>
      </w:r>
      <w:r w:rsidRPr="004A5124">
        <w:rPr>
          <w:rFonts w:hint="cs"/>
          <w:rtl/>
        </w:rPr>
        <w:t>-</w:t>
      </w:r>
      <w:r w:rsidRPr="004A5124">
        <w:rPr>
          <w:rtl/>
        </w:rPr>
        <w:t xml:space="preserve">40% מהבנקים המרכזיים </w:t>
      </w:r>
      <w:r w:rsidRPr="004A5124">
        <w:rPr>
          <w:rFonts w:hint="cs"/>
          <w:rtl/>
        </w:rPr>
        <w:t>ש</w:t>
      </w:r>
      <w:r w:rsidRPr="004A5124">
        <w:rPr>
          <w:rFonts w:hint="eastAsia"/>
          <w:rtl/>
        </w:rPr>
        <w:t>השיבו</w:t>
      </w:r>
      <w:r w:rsidRPr="004A5124">
        <w:rPr>
          <w:rtl/>
        </w:rPr>
        <w:t xml:space="preserve"> </w:t>
      </w:r>
      <w:r w:rsidRPr="004A5124">
        <w:rPr>
          <w:rFonts w:hint="cs"/>
          <w:rtl/>
        </w:rPr>
        <w:t xml:space="preserve">עליו </w:t>
      </w:r>
      <w:r w:rsidRPr="004A5124">
        <w:rPr>
          <w:rtl/>
        </w:rPr>
        <w:t xml:space="preserve">(כשני </w:t>
      </w:r>
      <w:r w:rsidRPr="004A5124">
        <w:rPr>
          <w:rFonts w:hint="eastAsia"/>
          <w:rtl/>
        </w:rPr>
        <w:t>שליש</w:t>
      </w:r>
      <w:r w:rsidRPr="004A5124">
        <w:rPr>
          <w:rFonts w:hint="cs"/>
          <w:rtl/>
        </w:rPr>
        <w:t>ים</w:t>
      </w:r>
      <w:r w:rsidRPr="004A5124">
        <w:rPr>
          <w:rtl/>
        </w:rPr>
        <w:t xml:space="preserve"> </w:t>
      </w:r>
      <w:r w:rsidRPr="004A5124">
        <w:rPr>
          <w:rFonts w:hint="cs"/>
          <w:rtl/>
        </w:rPr>
        <w:t>מ</w:t>
      </w:r>
      <w:r w:rsidRPr="004A5124">
        <w:rPr>
          <w:rFonts w:hint="eastAsia"/>
          <w:rtl/>
        </w:rPr>
        <w:t>הם</w:t>
      </w:r>
      <w:r w:rsidRPr="004A5124">
        <w:rPr>
          <w:rtl/>
        </w:rPr>
        <w:t xml:space="preserve"> </w:t>
      </w:r>
      <w:r w:rsidRPr="004A5124">
        <w:rPr>
          <w:rFonts w:hint="eastAsia"/>
          <w:rtl/>
        </w:rPr>
        <w:t>באיחוד</w:t>
      </w:r>
      <w:r w:rsidRPr="004A5124">
        <w:rPr>
          <w:rtl/>
        </w:rPr>
        <w:t xml:space="preserve"> </w:t>
      </w:r>
      <w:r w:rsidRPr="004A5124">
        <w:rPr>
          <w:rFonts w:hint="eastAsia"/>
          <w:rtl/>
        </w:rPr>
        <w:t>האירופי</w:t>
      </w:r>
      <w:r w:rsidRPr="004A5124">
        <w:rPr>
          <w:rtl/>
        </w:rPr>
        <w:t>)</w:t>
      </w:r>
      <w:r w:rsidRPr="004A5124">
        <w:rPr>
          <w:rFonts w:hint="cs"/>
          <w:rtl/>
        </w:rPr>
        <w:t xml:space="preserve"> מביא</w:t>
      </w:r>
      <w:r w:rsidRPr="004A5124">
        <w:rPr>
          <w:rFonts w:hint="eastAsia"/>
          <w:rtl/>
        </w:rPr>
        <w:t>ים</w:t>
      </w:r>
      <w:r w:rsidRPr="004A5124">
        <w:rPr>
          <w:rtl/>
        </w:rPr>
        <w:t xml:space="preserve"> </w:t>
      </w:r>
      <w:r w:rsidRPr="004A5124">
        <w:rPr>
          <w:rFonts w:hint="eastAsia"/>
          <w:rtl/>
        </w:rPr>
        <w:t>בחשבון</w:t>
      </w:r>
      <w:r w:rsidRPr="004A5124">
        <w:rPr>
          <w:rtl/>
        </w:rPr>
        <w:t xml:space="preserve"> </w:t>
      </w:r>
      <w:r w:rsidRPr="004A5124">
        <w:rPr>
          <w:rFonts w:hint="eastAsia"/>
          <w:rtl/>
        </w:rPr>
        <w:t>שיקולי</w:t>
      </w:r>
      <w:r w:rsidRPr="004A5124">
        <w:rPr>
          <w:rtl/>
        </w:rPr>
        <w:t xml:space="preserve"> </w:t>
      </w:r>
      <w:r w:rsidRPr="004A5124">
        <w:rPr>
          <w:rFonts w:hint="eastAsia"/>
          <w:rtl/>
        </w:rPr>
        <w:t>אקלים</w:t>
      </w:r>
      <w:r w:rsidRPr="004A5124">
        <w:rPr>
          <w:rtl/>
        </w:rPr>
        <w:t xml:space="preserve"> </w:t>
      </w:r>
      <w:r w:rsidRPr="004A5124">
        <w:rPr>
          <w:rFonts w:hint="eastAsia"/>
          <w:rtl/>
        </w:rPr>
        <w:t>ב</w:t>
      </w:r>
      <w:r w:rsidRPr="004A5124">
        <w:rPr>
          <w:rFonts w:hint="cs"/>
          <w:rtl/>
        </w:rPr>
        <w:t>מסגרת ה</w:t>
      </w:r>
      <w:r w:rsidRPr="004A5124">
        <w:rPr>
          <w:rFonts w:hint="eastAsia"/>
          <w:rtl/>
        </w:rPr>
        <w:t>מדיניות</w:t>
      </w:r>
      <w:r w:rsidRPr="004A5124">
        <w:rPr>
          <w:rtl/>
        </w:rPr>
        <w:t xml:space="preserve"> </w:t>
      </w:r>
      <w:r w:rsidRPr="004A5124">
        <w:rPr>
          <w:rFonts w:hint="eastAsia"/>
          <w:rtl/>
        </w:rPr>
        <w:t>המוניטרית</w:t>
      </w:r>
      <w:r w:rsidRPr="004A5124">
        <w:rPr>
          <w:rtl/>
        </w:rPr>
        <w:t xml:space="preserve"> </w:t>
      </w:r>
      <w:r w:rsidRPr="004A5124">
        <w:rPr>
          <w:rFonts w:hint="cs"/>
          <w:rtl/>
        </w:rPr>
        <w:t xml:space="preserve">השוטפת </w:t>
      </w:r>
      <w:r w:rsidRPr="004A5124">
        <w:rPr>
          <w:rFonts w:hint="eastAsia"/>
          <w:rtl/>
        </w:rPr>
        <w:t>שלהם</w:t>
      </w:r>
      <w:r w:rsidRPr="004A5124">
        <w:rPr>
          <w:rtl/>
        </w:rPr>
        <w:t>, וכי רבים מהם שוקלים נקיטת צעדים נוספים, במיוחד כאלו שנועדו להגן על המאזנים הפיננסיים שלהם מפני סיכונים שמקורם באקלים</w:t>
      </w:r>
      <w:r w:rsidRPr="004A5124">
        <w:rPr>
          <w:rFonts w:hint="cs"/>
          <w:rtl/>
        </w:rPr>
        <w:t xml:space="preserve">; </w:t>
      </w:r>
      <w:r w:rsidRPr="004A5124">
        <w:rPr>
          <w:rFonts w:hint="eastAsia"/>
          <w:rtl/>
        </w:rPr>
        <w:t>ו</w:t>
      </w:r>
      <w:r w:rsidRPr="004A5124">
        <w:rPr>
          <w:rFonts w:hint="cs"/>
          <w:rtl/>
        </w:rPr>
        <w:t xml:space="preserve">אלה </w:t>
      </w:r>
      <w:r w:rsidRPr="004A5124">
        <w:rPr>
          <w:rFonts w:hint="eastAsia"/>
          <w:rtl/>
        </w:rPr>
        <w:t>הסיבות</w:t>
      </w:r>
      <w:r w:rsidRPr="004A5124">
        <w:rPr>
          <w:rtl/>
        </w:rPr>
        <w:t xml:space="preserve"> </w:t>
      </w:r>
      <w:r w:rsidRPr="004A5124">
        <w:rPr>
          <w:rFonts w:hint="eastAsia"/>
          <w:rtl/>
        </w:rPr>
        <w:t>ש</w:t>
      </w:r>
      <w:r w:rsidRPr="004A5124">
        <w:rPr>
          <w:rFonts w:hint="cs"/>
          <w:rtl/>
        </w:rPr>
        <w:t xml:space="preserve">הם </w:t>
      </w:r>
      <w:r w:rsidRPr="004A5124">
        <w:rPr>
          <w:rFonts w:hint="eastAsia"/>
          <w:rtl/>
        </w:rPr>
        <w:t>נתנו</w:t>
      </w:r>
      <w:r w:rsidRPr="004A5124">
        <w:rPr>
          <w:rtl/>
        </w:rPr>
        <w:t xml:space="preserve"> </w:t>
      </w:r>
      <w:r w:rsidRPr="004A5124">
        <w:rPr>
          <w:rFonts w:hint="eastAsia"/>
          <w:rtl/>
        </w:rPr>
        <w:t>לכך</w:t>
      </w:r>
      <w:r w:rsidRPr="004A5124">
        <w:rPr>
          <w:rtl/>
        </w:rPr>
        <w:t xml:space="preserve">: </w:t>
      </w:r>
      <w:r w:rsidRPr="004A5124">
        <w:rPr>
          <w:rFonts w:hint="eastAsia"/>
          <w:rtl/>
        </w:rPr>
        <w:t>הצורך</w:t>
      </w:r>
      <w:r w:rsidRPr="004A5124">
        <w:rPr>
          <w:rtl/>
        </w:rPr>
        <w:t xml:space="preserve"> </w:t>
      </w:r>
      <w:r w:rsidRPr="004A5124">
        <w:rPr>
          <w:rFonts w:hint="eastAsia"/>
          <w:rtl/>
        </w:rPr>
        <w:t>להשתתף</w:t>
      </w:r>
      <w:r w:rsidRPr="004A5124">
        <w:rPr>
          <w:rtl/>
        </w:rPr>
        <w:t xml:space="preserve"> </w:t>
      </w:r>
      <w:r w:rsidRPr="004A5124">
        <w:rPr>
          <w:rFonts w:hint="eastAsia"/>
          <w:rtl/>
        </w:rPr>
        <w:t>במאמץ</w:t>
      </w:r>
      <w:r w:rsidRPr="004A5124">
        <w:rPr>
          <w:rtl/>
        </w:rPr>
        <w:t xml:space="preserve"> </w:t>
      </w:r>
      <w:r w:rsidRPr="004A5124">
        <w:rPr>
          <w:rFonts w:hint="eastAsia"/>
          <w:rtl/>
        </w:rPr>
        <w:t>לאיפוס</w:t>
      </w:r>
      <w:r w:rsidRPr="004A5124">
        <w:rPr>
          <w:rtl/>
        </w:rPr>
        <w:t xml:space="preserve"> </w:t>
      </w:r>
      <w:r w:rsidRPr="004A5124">
        <w:rPr>
          <w:rFonts w:hint="eastAsia"/>
          <w:rtl/>
        </w:rPr>
        <w:t>פחמני</w:t>
      </w:r>
      <w:r w:rsidRPr="004A5124">
        <w:rPr>
          <w:rtl/>
        </w:rPr>
        <w:t xml:space="preserve">; </w:t>
      </w:r>
      <w:r w:rsidRPr="004A5124">
        <w:rPr>
          <w:rFonts w:hint="eastAsia"/>
          <w:rtl/>
        </w:rPr>
        <w:t>הפחתת</w:t>
      </w:r>
      <w:r w:rsidRPr="004A5124">
        <w:rPr>
          <w:rtl/>
        </w:rPr>
        <w:t xml:space="preserve"> </w:t>
      </w:r>
      <w:r w:rsidRPr="004A5124">
        <w:rPr>
          <w:rFonts w:hint="eastAsia"/>
          <w:rtl/>
        </w:rPr>
        <w:t>סיכונים</w:t>
      </w:r>
      <w:r w:rsidRPr="004A5124">
        <w:rPr>
          <w:rtl/>
        </w:rPr>
        <w:t xml:space="preserve">; </w:t>
      </w:r>
      <w:r w:rsidRPr="004A5124">
        <w:rPr>
          <w:rFonts w:hint="eastAsia"/>
          <w:rtl/>
        </w:rPr>
        <w:t>והצורך</w:t>
      </w:r>
      <w:r w:rsidRPr="004A5124">
        <w:rPr>
          <w:rtl/>
        </w:rPr>
        <w:t xml:space="preserve"> </w:t>
      </w:r>
      <w:r w:rsidRPr="004A5124">
        <w:rPr>
          <w:rFonts w:hint="eastAsia"/>
          <w:rtl/>
        </w:rPr>
        <w:t>ל</w:t>
      </w:r>
      <w:r w:rsidRPr="004A5124">
        <w:rPr>
          <w:rFonts w:hint="cs"/>
          <w:rtl/>
        </w:rPr>
        <w:t>שמש</w:t>
      </w:r>
      <w:r w:rsidRPr="004A5124">
        <w:rPr>
          <w:rtl/>
        </w:rPr>
        <w:t xml:space="preserve"> </w:t>
      </w:r>
      <w:r w:rsidRPr="004A5124">
        <w:rPr>
          <w:rFonts w:hint="eastAsia"/>
          <w:rtl/>
        </w:rPr>
        <w:t>דוגמ</w:t>
      </w:r>
      <w:r w:rsidRPr="004A5124">
        <w:rPr>
          <w:rFonts w:hint="cs"/>
          <w:rtl/>
        </w:rPr>
        <w:t>ה</w:t>
      </w:r>
      <w:r w:rsidRPr="004A5124">
        <w:rPr>
          <w:rtl/>
        </w:rPr>
        <w:t xml:space="preserve"> </w:t>
      </w:r>
      <w:r w:rsidRPr="004A5124">
        <w:rPr>
          <w:rFonts w:hint="eastAsia"/>
          <w:rtl/>
        </w:rPr>
        <w:t>וגורם</w:t>
      </w:r>
      <w:r w:rsidRPr="004A5124">
        <w:rPr>
          <w:rtl/>
        </w:rPr>
        <w:t xml:space="preserve"> </w:t>
      </w:r>
      <w:r w:rsidRPr="004A5124">
        <w:rPr>
          <w:rFonts w:hint="eastAsia"/>
          <w:rtl/>
        </w:rPr>
        <w:t>מוביל</w:t>
      </w:r>
      <w:r w:rsidRPr="004A5124">
        <w:rPr>
          <w:rtl/>
        </w:rPr>
        <w:t xml:space="preserve"> </w:t>
      </w:r>
      <w:r w:rsidRPr="004A5124">
        <w:rPr>
          <w:rFonts w:hint="eastAsia"/>
          <w:rtl/>
        </w:rPr>
        <w:t>בנושא</w:t>
      </w:r>
      <w:r w:rsidRPr="004A5124">
        <w:rPr>
          <w:rFonts w:hint="cs"/>
          <w:rtl/>
        </w:rPr>
        <w:t>.</w:t>
      </w:r>
    </w:p>
    <w:p w:rsidR="00F20E3F" w:rsidRPr="004A5124" w:rsidP="004A5124" w14:paraId="67A3AFE0" w14:textId="77777777">
      <w:pPr>
        <w:pStyle w:val="716"/>
        <w:rPr>
          <w:rtl/>
        </w:rPr>
      </w:pPr>
      <w:r w:rsidRPr="004A5124">
        <w:rPr>
          <w:rFonts w:hint="cs"/>
          <w:rtl/>
        </w:rPr>
        <w:t>בחלוף כשנתיים מאז הוקם הצוות לבחינת הנושא בבנק ישראל, ובהמשך להמלצת הדוח הקודם ולהמלצות ארגונים בין-לאומיים כמו ה-</w:t>
      </w:r>
      <w:r w:rsidRPr="004A5124">
        <w:rPr>
          <w:rFonts w:hint="cs"/>
        </w:rPr>
        <w:t>NGFS</w:t>
      </w:r>
      <w:r w:rsidRPr="004A5124">
        <w:rPr>
          <w:rFonts w:hint="cs"/>
          <w:rtl/>
        </w:rPr>
        <w:t xml:space="preserve">, </w:t>
      </w:r>
      <w:r w:rsidRPr="004A5124">
        <w:rPr>
          <w:rFonts w:hint="eastAsia"/>
          <w:rtl/>
        </w:rPr>
        <w:t>מומלץ</w:t>
      </w:r>
      <w:r w:rsidRPr="004A5124">
        <w:rPr>
          <w:rFonts w:hint="cs"/>
          <w:rtl/>
        </w:rPr>
        <w:t xml:space="preserve"> כי בנק ישראל יאיץ את פעולותיו בנושא וישלים את בחינת הסיכונים הנובעים משינויי האקלים ואת הכללת שיקולי </w:t>
      </w:r>
      <w:r w:rsidRPr="004A5124">
        <w:rPr>
          <w:rFonts w:hint="cs"/>
        </w:rPr>
        <w:t>ESG</w:t>
      </w:r>
      <w:r w:rsidRPr="004A5124">
        <w:rPr>
          <w:rFonts w:hint="cs"/>
          <w:rtl/>
        </w:rPr>
        <w:t xml:space="preserve"> במדיניות ההשקעה שלו בתיק יתרות </w:t>
      </w:r>
      <w:r w:rsidRPr="004A5124">
        <w:rPr>
          <w:rFonts w:hint="cs"/>
          <w:rtl/>
        </w:rPr>
        <w:t>המט"ח</w:t>
      </w:r>
      <w:r w:rsidRPr="004A5124">
        <w:rPr>
          <w:rFonts w:hint="cs"/>
          <w:rtl/>
        </w:rPr>
        <w:t xml:space="preserve"> של מדינת ישראל, ויבחן האם ובאיזה אופן עליו לפעול להטמעת הסיכונים הנובעים משינויי האקלים בפעילות השוטפת שלו כמנהל תיק יתרות </w:t>
      </w:r>
      <w:r w:rsidRPr="004A5124">
        <w:rPr>
          <w:rFonts w:hint="cs"/>
          <w:rtl/>
        </w:rPr>
        <w:t>המט"ח</w:t>
      </w:r>
      <w:r w:rsidRPr="004A5124">
        <w:rPr>
          <w:rFonts w:hint="cs"/>
          <w:rtl/>
        </w:rPr>
        <w:t xml:space="preserve"> של המדינה, המסתכם בכ-202 מיליארד דולר ארה"ב, ולנוכח הסיכונים שעליהם הצביע לפני הבנקים המסחריים המפוקחים על ידו. </w:t>
      </w:r>
    </w:p>
    <w:p w:rsidR="00F20E3F" w:rsidRPr="004A5124" w:rsidP="004A5124" w14:paraId="0D9F0DF4" w14:textId="77777777">
      <w:pPr>
        <w:pStyle w:val="716"/>
        <w:rPr>
          <w:rtl/>
        </w:rPr>
      </w:pPr>
      <w:r w:rsidRPr="004A5124">
        <w:rPr>
          <w:rFonts w:hint="eastAsia"/>
          <w:rtl/>
        </w:rPr>
        <w:t>עוד</w:t>
      </w:r>
      <w:r w:rsidRPr="004A5124">
        <w:rPr>
          <w:rtl/>
        </w:rPr>
        <w:t xml:space="preserve"> </w:t>
      </w:r>
      <w:r w:rsidRPr="004A5124">
        <w:rPr>
          <w:rFonts w:hint="eastAsia"/>
          <w:rtl/>
        </w:rPr>
        <w:t>מומלץ</w:t>
      </w:r>
      <w:r w:rsidRPr="004A5124">
        <w:rPr>
          <w:rtl/>
        </w:rPr>
        <w:t xml:space="preserve"> כי</w:t>
      </w:r>
      <w:r w:rsidRPr="004A5124">
        <w:rPr>
          <w:rFonts w:hint="cs"/>
          <w:rtl/>
        </w:rPr>
        <w:t xml:space="preserve"> אם בנק ישראל יחליט במסגרת סמכותו לכלול שיקולי </w:t>
      </w:r>
      <w:r w:rsidRPr="004A5124">
        <w:rPr>
          <w:rFonts w:hint="cs"/>
        </w:rPr>
        <w:t>ESG</w:t>
      </w:r>
      <w:r w:rsidRPr="004A5124">
        <w:rPr>
          <w:rFonts w:hint="cs"/>
          <w:rtl/>
        </w:rPr>
        <w:t xml:space="preserve"> </w:t>
      </w:r>
      <w:r w:rsidRPr="004A5124">
        <w:rPr>
          <w:rtl/>
        </w:rPr>
        <w:t>בפעילות השוטפת שלו</w:t>
      </w:r>
      <w:r w:rsidRPr="004A5124">
        <w:rPr>
          <w:rFonts w:hint="cs"/>
          <w:rtl/>
        </w:rPr>
        <w:t>,</w:t>
      </w:r>
      <w:r w:rsidRPr="004A5124">
        <w:rPr>
          <w:rtl/>
        </w:rPr>
        <w:t xml:space="preserve"> </w:t>
      </w:r>
      <w:r w:rsidRPr="004A5124">
        <w:rPr>
          <w:rFonts w:hint="cs"/>
          <w:rtl/>
        </w:rPr>
        <w:t xml:space="preserve">הוא </w:t>
      </w:r>
      <w:r w:rsidRPr="004A5124">
        <w:rPr>
          <w:rFonts w:hint="eastAsia"/>
          <w:rtl/>
        </w:rPr>
        <w:t>יפרסם</w:t>
      </w:r>
      <w:r w:rsidRPr="004A5124">
        <w:rPr>
          <w:rtl/>
        </w:rPr>
        <w:t xml:space="preserve"> </w:t>
      </w:r>
      <w:r w:rsidRPr="004A5124">
        <w:rPr>
          <w:rFonts w:hint="eastAsia"/>
          <w:rtl/>
        </w:rPr>
        <w:t>לציבור</w:t>
      </w:r>
      <w:r w:rsidRPr="004A5124">
        <w:rPr>
          <w:rtl/>
        </w:rPr>
        <w:t>, באופן שוטף, את אופן יישום הטמעת שיקולי ה-</w:t>
      </w:r>
      <w:r w:rsidRPr="004A5124">
        <w:t>ESG</w:t>
      </w:r>
      <w:r w:rsidRPr="004A5124">
        <w:rPr>
          <w:rtl/>
        </w:rPr>
        <w:t xml:space="preserve"> בפעילות השוטפת שלו</w:t>
      </w:r>
      <w:r w:rsidRPr="004A5124">
        <w:rPr>
          <w:rFonts w:hint="cs"/>
          <w:rtl/>
        </w:rPr>
        <w:t xml:space="preserve"> כחלק מ</w:t>
      </w:r>
      <w:r w:rsidRPr="004A5124">
        <w:rPr>
          <w:rFonts w:hint="eastAsia"/>
          <w:rtl/>
        </w:rPr>
        <w:t>פרסומיו</w:t>
      </w:r>
      <w:r w:rsidRPr="004A5124">
        <w:rPr>
          <w:rtl/>
        </w:rPr>
        <w:t xml:space="preserve"> </w:t>
      </w:r>
      <w:r w:rsidRPr="004A5124">
        <w:rPr>
          <w:rFonts w:hint="cs"/>
          <w:rtl/>
        </w:rPr>
        <w:t xml:space="preserve">על </w:t>
      </w:r>
      <w:r w:rsidRPr="004A5124">
        <w:rPr>
          <w:rFonts w:hint="eastAsia"/>
          <w:rtl/>
        </w:rPr>
        <w:t>אודות</w:t>
      </w:r>
      <w:r w:rsidRPr="004A5124">
        <w:rPr>
          <w:rtl/>
        </w:rPr>
        <w:t xml:space="preserve"> </w:t>
      </w:r>
      <w:r w:rsidRPr="004A5124">
        <w:rPr>
          <w:rFonts w:hint="eastAsia"/>
          <w:rtl/>
        </w:rPr>
        <w:t>ניהול</w:t>
      </w:r>
      <w:r w:rsidRPr="004A5124">
        <w:rPr>
          <w:rtl/>
        </w:rPr>
        <w:t xml:space="preserve"> </w:t>
      </w:r>
      <w:r w:rsidRPr="004A5124">
        <w:rPr>
          <w:rFonts w:hint="eastAsia"/>
          <w:rtl/>
        </w:rPr>
        <w:t>תיק</w:t>
      </w:r>
      <w:r w:rsidRPr="004A5124">
        <w:rPr>
          <w:rtl/>
        </w:rPr>
        <w:t xml:space="preserve"> </w:t>
      </w:r>
      <w:r w:rsidRPr="004A5124">
        <w:rPr>
          <w:rFonts w:hint="eastAsia"/>
          <w:rtl/>
        </w:rPr>
        <w:t>יתרות</w:t>
      </w:r>
      <w:r w:rsidRPr="004A5124">
        <w:rPr>
          <w:rtl/>
        </w:rPr>
        <w:t xml:space="preserve"> </w:t>
      </w:r>
      <w:r w:rsidRPr="004A5124">
        <w:rPr>
          <w:rFonts w:hint="eastAsia"/>
          <w:rtl/>
        </w:rPr>
        <w:t>המט</w:t>
      </w:r>
      <w:r w:rsidRPr="004A5124">
        <w:rPr>
          <w:rtl/>
        </w:rPr>
        <w:t>"ח</w:t>
      </w:r>
      <w:r w:rsidRPr="004A5124">
        <w:rPr>
          <w:rtl/>
        </w:rPr>
        <w:t xml:space="preserve"> </w:t>
      </w:r>
      <w:r w:rsidRPr="004A5124">
        <w:rPr>
          <w:rFonts w:hint="eastAsia"/>
          <w:rtl/>
        </w:rPr>
        <w:t>של</w:t>
      </w:r>
      <w:r w:rsidRPr="004A5124">
        <w:rPr>
          <w:rtl/>
        </w:rPr>
        <w:t xml:space="preserve"> </w:t>
      </w:r>
      <w:r w:rsidRPr="004A5124">
        <w:rPr>
          <w:rFonts w:hint="eastAsia"/>
          <w:rtl/>
        </w:rPr>
        <w:t>המדינה</w:t>
      </w:r>
      <w:r w:rsidRPr="004A5124">
        <w:rPr>
          <w:rtl/>
        </w:rPr>
        <w:t>.</w:t>
      </w:r>
    </w:p>
    <w:p w:rsidR="00F20E3F" w:rsidP="004A5124" w14:paraId="29E6FA7F" w14:textId="77777777">
      <w:pPr>
        <w:pStyle w:val="7392"/>
        <w:rPr>
          <w:rtl/>
        </w:rPr>
      </w:pPr>
      <w:r>
        <w:rPr>
          <w:rtl/>
        </w:rPr>
        <w:t xml:space="preserve">בנק </w:t>
      </w:r>
      <w:r>
        <w:rPr>
          <w:rFonts w:hint="cs"/>
          <w:rtl/>
        </w:rPr>
        <w:t xml:space="preserve">ישראל </w:t>
      </w:r>
      <w:r w:rsidRPr="00BB0886">
        <w:rPr>
          <w:rFonts w:hint="eastAsia"/>
          <w:rtl/>
        </w:rPr>
        <w:t>ציין</w:t>
      </w:r>
      <w:r>
        <w:rPr>
          <w:rFonts w:hint="cs"/>
          <w:rtl/>
        </w:rPr>
        <w:t xml:space="preserve"> בתשובתו כי יפעל לה</w:t>
      </w:r>
      <w:r>
        <w:rPr>
          <w:rtl/>
        </w:rPr>
        <w:t>שלים את הבדיקות ויביא את הנושא להחלטת הוועדה המוניטרית בהתאם לסדרי העדיפויות</w:t>
      </w:r>
      <w:r>
        <w:rPr>
          <w:rFonts w:hint="cs"/>
          <w:rtl/>
        </w:rPr>
        <w:t xml:space="preserve"> שלה</w:t>
      </w:r>
      <w:r>
        <w:rPr>
          <w:rtl/>
        </w:rPr>
        <w:t>, ה</w:t>
      </w:r>
      <w:r>
        <w:rPr>
          <w:rFonts w:hint="cs"/>
          <w:rtl/>
        </w:rPr>
        <w:t>מביא</w:t>
      </w:r>
      <w:r>
        <w:rPr>
          <w:rtl/>
        </w:rPr>
        <w:t>ים בחשבון את האיזונים בין הנושאים שאליהם היא נדרשת בניהול</w:t>
      </w:r>
      <w:r>
        <w:rPr>
          <w:rFonts w:hint="cs"/>
          <w:rtl/>
        </w:rPr>
        <w:t xml:space="preserve"> </w:t>
      </w:r>
      <w:r>
        <w:rPr>
          <w:rtl/>
        </w:rPr>
        <w:t xml:space="preserve">יתרות </w:t>
      </w:r>
      <w:r>
        <w:rPr>
          <w:rtl/>
        </w:rPr>
        <w:t>המט"ח</w:t>
      </w:r>
      <w:r>
        <w:rPr>
          <w:rtl/>
        </w:rPr>
        <w:t>, החשובים לא פחות ואף יותר.</w:t>
      </w:r>
    </w:p>
    <w:p w:rsidR="003824AD" w:rsidRPr="006C304E" w:rsidP="003824AD" w14:paraId="16A4A40B" w14:textId="77777777">
      <w:pPr>
        <w:pStyle w:val="0-"/>
        <w:rPr>
          <w:rtl/>
        </w:rPr>
      </w:pPr>
      <w:r w:rsidRPr="006C304E">
        <w:rPr>
          <w:rFonts w:hint="cs"/>
          <w:rtl/>
        </w:rPr>
        <w:t>מידת תיקון הליקוי</w:t>
      </w:r>
    </w:p>
    <w:p w:rsidR="003824AD" w:rsidRPr="006C304E" w:rsidP="00FB13B2" w14:paraId="45360872" w14:textId="77777777">
      <w:pPr>
        <w:spacing w:before="240" w:after="360"/>
        <w:jc w:val="center"/>
        <w:rPr>
          <w:rtl/>
        </w:rPr>
      </w:pPr>
      <w:r w:rsidRPr="006C304E">
        <w:rPr>
          <w:noProof/>
        </w:rPr>
        <w:drawing>
          <wp:inline distT="0" distB="0" distL="0" distR="0">
            <wp:extent cx="3960935" cy="740593"/>
            <wp:effectExtent l="0" t="0" r="0" b="0"/>
            <wp:docPr id="1105233887" name="תמונה 1105233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776181" name="תמונה 1986381801"/>
                    <pic:cNvPicPr/>
                  </pic:nvPicPr>
                  <pic:blipFill>
                    <a:blip xmlns:r="http://schemas.openxmlformats.org/officeDocument/2006/relationships" r:embed="rId37">
                      <a:extLst>
                        <a:ext xmlns:a="http://schemas.openxmlformats.org/drawingml/2006/main" uri="{28A0092B-C50C-407E-A947-70E740481C1C}">
                          <a14:useLocalDpi xmlns:a14="http://schemas.microsoft.com/office/drawing/2010/main" val="0"/>
                        </a:ext>
                      </a:extLst>
                    </a:blip>
                    <a:stretch>
                      <a:fillRect/>
                    </a:stretch>
                  </pic:blipFill>
                  <pic:spPr>
                    <a:xfrm>
                      <a:off x="0" y="0"/>
                      <a:ext cx="4045187" cy="756346"/>
                    </a:xfrm>
                    <a:prstGeom prst="rect">
                      <a:avLst/>
                    </a:prstGeom>
                  </pic:spPr>
                </pic:pic>
              </a:graphicData>
            </a:graphic>
          </wp:inline>
        </w:drawing>
      </w:r>
    </w:p>
    <w:p w:rsidR="00F20E3F" w:rsidRPr="00D91DE2" w:rsidP="007B7A97" w14:paraId="05C9DAC6" w14:textId="77777777">
      <w:pPr>
        <w:pStyle w:val="73414"/>
        <w:rPr>
          <w:rtl/>
        </w:rPr>
      </w:pPr>
      <w:r w:rsidRPr="00D91DE2">
        <w:rPr>
          <w:rtl/>
        </w:rPr>
        <w:t xml:space="preserve">רשות ניירות ערך וסיכוני </w:t>
      </w:r>
      <w:r>
        <w:rPr>
          <w:rFonts w:hint="cs"/>
          <w:rtl/>
        </w:rPr>
        <w:t>ה</w:t>
      </w:r>
      <w:r w:rsidRPr="00D91DE2">
        <w:rPr>
          <w:rtl/>
        </w:rPr>
        <w:t>אקלים</w:t>
      </w:r>
    </w:p>
    <w:p w:rsidR="00F20E3F" w:rsidRPr="001005F3" w:rsidP="004A5124" w14:paraId="7A9BD95D" w14:textId="77777777">
      <w:pPr>
        <w:pStyle w:val="73120"/>
        <w:rPr>
          <w:rtl/>
        </w:rPr>
      </w:pPr>
      <w:r w:rsidRPr="001005F3">
        <w:rPr>
          <w:rtl/>
        </w:rPr>
        <w:t>הדוח הקודם</w:t>
      </w:r>
    </w:p>
    <w:p w:rsidR="00F20E3F" w:rsidP="001005F3" w14:paraId="47EEC7AF" w14:textId="77777777">
      <w:pPr>
        <w:pStyle w:val="7392"/>
        <w:rPr>
          <w:rtl/>
        </w:rPr>
      </w:pPr>
      <w:r w:rsidRPr="001005F3">
        <w:rPr>
          <w:rStyle w:val="7371"/>
          <w:rFonts w:hint="eastAsia"/>
          <w:color w:val="0073C3"/>
          <w:rtl/>
        </w:rPr>
        <w:t>הליקוי</w:t>
      </w:r>
      <w:r w:rsidRPr="001005F3">
        <w:rPr>
          <w:rStyle w:val="7371"/>
          <w:color w:val="0073C3"/>
          <w:rtl/>
        </w:rPr>
        <w:t>:</w:t>
      </w:r>
      <w:r w:rsidRPr="001005F3">
        <w:rPr>
          <w:rFonts w:hint="cs"/>
          <w:color w:val="0073C3"/>
          <w:rtl/>
        </w:rPr>
        <w:t xml:space="preserve"> </w:t>
      </w:r>
      <w:r>
        <w:rPr>
          <w:rFonts w:hint="cs"/>
          <w:rtl/>
        </w:rPr>
        <w:t xml:space="preserve">המתכונת של </w:t>
      </w:r>
      <w:r w:rsidRPr="001005F3">
        <w:rPr>
          <w:rFonts w:hint="cs"/>
          <w:rtl/>
        </w:rPr>
        <w:t xml:space="preserve">חובות </w:t>
      </w:r>
      <w:r w:rsidRPr="001005F3">
        <w:rPr>
          <w:rtl/>
        </w:rPr>
        <w:t xml:space="preserve">גילויי </w:t>
      </w:r>
      <w:r w:rsidRPr="001005F3">
        <w:t>ESG</w:t>
      </w:r>
      <w:r w:rsidRPr="001005F3">
        <w:rPr>
          <w:rtl/>
        </w:rPr>
        <w:t xml:space="preserve"> שפרסמה רשות ניירות ערך</w:t>
      </w:r>
      <w:r w:rsidRPr="001005F3">
        <w:rPr>
          <w:rFonts w:hint="cs"/>
          <w:rtl/>
        </w:rPr>
        <w:t xml:space="preserve"> (להלן גם - הרשות)</w:t>
      </w:r>
      <w:r w:rsidRPr="001005F3">
        <w:rPr>
          <w:rtl/>
        </w:rPr>
        <w:t xml:space="preserve"> לא מבדלת את האקלים מיתר שיקולי </w:t>
      </w:r>
      <w:r w:rsidRPr="001005F3">
        <w:t>ESG</w:t>
      </w:r>
      <w:r w:rsidRPr="001005F3">
        <w:rPr>
          <w:rtl/>
        </w:rPr>
        <w:t xml:space="preserve">. כמו כן מתכונת וולונטרית של גילוי </w:t>
      </w:r>
      <w:r w:rsidRPr="001005F3">
        <w:t>ESG</w:t>
      </w:r>
      <w:r w:rsidRPr="001005F3">
        <w:rPr>
          <w:rtl/>
        </w:rPr>
        <w:t xml:space="preserve"> והיכולת לדווח בפורמטים שונים מובילות לכך ששיקול הדעת בנוגע לקיום הגילוי, המידע שיכלול</w:t>
      </w:r>
      <w:r w:rsidRPr="009B21D9">
        <w:rPr>
          <w:rtl/>
        </w:rPr>
        <w:t>, באיזו תדירות, מתכונתו ומקום הפרסום יישארו בידי החברות עצמן. ללא גילוי איכותי ובר השוואה, אשר עולה בקנה אחד עם עקרונות הגילוי המקובלים בעולם, הרשות עלולה להתקשות לקדם מדיניות השקעות המביאה בחשבון היבטי אקלים, והחברות מצידן לא יידרשו לשפר את ביצועיהן כדי למשוך משקיעים.</w:t>
      </w:r>
    </w:p>
    <w:p w:rsidR="00F20E3F" w:rsidRPr="009B21D9" w:rsidP="001005F3" w14:paraId="2E6F6B01" w14:textId="77777777">
      <w:pPr>
        <w:pStyle w:val="7392"/>
        <w:rPr>
          <w:b/>
          <w:bCs/>
          <w:rtl/>
        </w:rPr>
      </w:pPr>
      <w:r w:rsidRPr="001005F3">
        <w:rPr>
          <w:rStyle w:val="7371"/>
          <w:rFonts w:hint="eastAsia"/>
          <w:color w:val="0073C3"/>
          <w:rtl/>
        </w:rPr>
        <w:t>ההמלצה</w:t>
      </w:r>
      <w:r w:rsidRPr="001005F3">
        <w:rPr>
          <w:rStyle w:val="7371"/>
          <w:color w:val="0073C3"/>
          <w:rtl/>
        </w:rPr>
        <w:t>:</w:t>
      </w:r>
      <w:r w:rsidRPr="00734E17">
        <w:rPr>
          <w:rtl/>
        </w:rPr>
        <w:t xml:space="preserve"> </w:t>
      </w:r>
      <w:r w:rsidRPr="009B21D9">
        <w:rPr>
          <w:rtl/>
        </w:rPr>
        <w:t>בכל הנוגע להטלת חובות דיווח הנוגע</w:t>
      </w:r>
      <w:r>
        <w:rPr>
          <w:rFonts w:hint="cs"/>
          <w:rtl/>
        </w:rPr>
        <w:t>ים</w:t>
      </w:r>
      <w:r w:rsidRPr="009B21D9">
        <w:rPr>
          <w:rtl/>
        </w:rPr>
        <w:t xml:space="preserve"> לנושאים סביבתיים, </w:t>
      </w:r>
      <w:r>
        <w:rPr>
          <w:rFonts w:hint="cs"/>
          <w:rtl/>
        </w:rPr>
        <w:t>הוצע</w:t>
      </w:r>
      <w:r w:rsidRPr="009B21D9">
        <w:rPr>
          <w:rtl/>
        </w:rPr>
        <w:t xml:space="preserve"> כי רשות ניירות ערך תיתן דעתה על כך שמתכונת הגילוי הוולונטרי בנושאים סביבתיים </w:t>
      </w:r>
      <w:r>
        <w:rPr>
          <w:rFonts w:hint="cs"/>
          <w:rtl/>
        </w:rPr>
        <w:t xml:space="preserve">היא </w:t>
      </w:r>
      <w:r w:rsidRPr="009B21D9">
        <w:rPr>
          <w:rtl/>
        </w:rPr>
        <w:t xml:space="preserve">פחותה בהשוואה למתכונת הקודמת </w:t>
      </w:r>
      <w:r>
        <w:rPr>
          <w:rFonts w:hint="cs"/>
          <w:rtl/>
        </w:rPr>
        <w:t>של גילוי סביבתי ואשר</w:t>
      </w:r>
      <w:r w:rsidRPr="009B21D9">
        <w:rPr>
          <w:rtl/>
        </w:rPr>
        <w:t xml:space="preserve"> כללה תיקון חקיקה ראשית המטיל חובות גילוי לפי קריטריונים אחידים, דבר שגם היה מקנה לרשות סמכויות פיקוח בנושא.</w:t>
      </w:r>
      <w:r>
        <w:rPr>
          <w:rFonts w:hint="cs"/>
          <w:rtl/>
        </w:rPr>
        <w:t xml:space="preserve"> עוד ה</w:t>
      </w:r>
      <w:r w:rsidRPr="009B21D9">
        <w:rPr>
          <w:rtl/>
        </w:rPr>
        <w:t xml:space="preserve">ומלץ כי רשות ניירות ערך תוביל עם משרד המשפטים בחינה של הדרכים לקידום חובת גילוי ודיווח אחיד של היבטי אקלים. </w:t>
      </w:r>
    </w:p>
    <w:p w:rsidR="00F20E3F" w:rsidP="001005F3" w14:paraId="0368C475" w14:textId="77777777">
      <w:pPr>
        <w:pStyle w:val="7392"/>
        <w:rPr>
          <w:rtl/>
        </w:rPr>
      </w:pPr>
      <w:r w:rsidRPr="001005F3">
        <w:rPr>
          <w:rStyle w:val="7371"/>
          <w:color w:val="0073C3"/>
          <w:rtl/>
        </w:rPr>
        <w:t xml:space="preserve">תגובת </w:t>
      </w:r>
      <w:r w:rsidRPr="001005F3">
        <w:rPr>
          <w:rStyle w:val="7371"/>
          <w:rFonts w:hint="cs"/>
          <w:color w:val="0073C3"/>
          <w:rtl/>
        </w:rPr>
        <w:t>רשות ניירות ערך</w:t>
      </w:r>
      <w:r w:rsidRPr="001005F3">
        <w:rPr>
          <w:rStyle w:val="7371"/>
          <w:color w:val="0073C3"/>
          <w:rtl/>
        </w:rPr>
        <w:t xml:space="preserve"> על הדוח הקודם</w:t>
      </w:r>
      <w:r w:rsidRPr="001005F3">
        <w:rPr>
          <w:rStyle w:val="7371"/>
          <w:rFonts w:hint="cs"/>
          <w:color w:val="0073C3"/>
          <w:rtl/>
        </w:rPr>
        <w:t>:</w:t>
      </w:r>
      <w:r w:rsidRPr="000E3025">
        <w:rPr>
          <w:rStyle w:val="7"/>
          <w:rFonts w:eastAsiaTheme="majorEastAsia" w:hint="cs"/>
          <w:rtl/>
        </w:rPr>
        <w:t xml:space="preserve"> </w:t>
      </w:r>
      <w:r>
        <w:rPr>
          <w:rtl/>
        </w:rPr>
        <w:t xml:space="preserve">חובת הדיווח של תאגידים </w:t>
      </w:r>
      <w:r w:rsidRPr="005F3797">
        <w:rPr>
          <w:rtl/>
        </w:rPr>
        <w:t>מדווחים לפי חוק ניירות ערך, התש</w:t>
      </w:r>
      <w:r>
        <w:rPr>
          <w:rtl/>
        </w:rPr>
        <w:t>כ״ח-1968</w:t>
      </w:r>
      <w:r>
        <w:rPr>
          <w:rFonts w:hint="cs"/>
          <w:rtl/>
        </w:rPr>
        <w:t>,</w:t>
      </w:r>
      <w:r>
        <w:rPr>
          <w:rtl/>
        </w:rPr>
        <w:t xml:space="preserve"> והתקנות שהותקנו מכוחו, כפופה לעיקרון המהותיות. קרי, תאגידים מדווחים נדרשים לתת גילוי מידע מסוים, מקום </w:t>
      </w:r>
      <w:r>
        <w:rPr>
          <w:rFonts w:hint="cs"/>
          <w:rtl/>
        </w:rPr>
        <w:t>ש</w:t>
      </w:r>
      <w:r>
        <w:rPr>
          <w:rtl/>
        </w:rPr>
        <w:t xml:space="preserve">בו המידע האמור מתייחס לאירוע או </w:t>
      </w:r>
      <w:r>
        <w:rPr>
          <w:rFonts w:hint="cs"/>
          <w:rtl/>
        </w:rPr>
        <w:t>ל</w:t>
      </w:r>
      <w:r>
        <w:rPr>
          <w:rtl/>
        </w:rPr>
        <w:t>עניין החורגים מעסקי התאגיד הרגילים בשל טיבם, היקפם או תוצאתם האפשרית</w:t>
      </w:r>
      <w:r>
        <w:rPr>
          <w:rFonts w:hint="cs"/>
          <w:rtl/>
        </w:rPr>
        <w:t>,</w:t>
      </w:r>
      <w:r>
        <w:rPr>
          <w:rtl/>
        </w:rPr>
        <w:t xml:space="preserve"> ואשר יש להם או עשויה להיות להם השפעה מהותית על התאגיד, וכן בדבר כל אירוע או עני</w:t>
      </w:r>
      <w:r>
        <w:rPr>
          <w:rFonts w:hint="cs"/>
          <w:rtl/>
        </w:rPr>
        <w:t>י</w:t>
      </w:r>
      <w:r>
        <w:rPr>
          <w:rtl/>
        </w:rPr>
        <w:t>ן שיש בהם כדי להשפיע באופן משמעותי על מחיר ניירות הערך של התאגיד</w:t>
      </w:r>
      <w:r w:rsidRPr="00FE73D1">
        <w:rPr>
          <w:rtl/>
        </w:rPr>
        <w:t>.</w:t>
      </w:r>
      <w:r w:rsidRPr="00FE73D1">
        <w:rPr>
          <w:rFonts w:hint="cs"/>
          <w:rtl/>
        </w:rPr>
        <w:t xml:space="preserve"> </w:t>
      </w:r>
      <w:r w:rsidRPr="00FE73D1">
        <w:rPr>
          <w:rtl/>
        </w:rPr>
        <w:t>הרשות מסרה</w:t>
      </w:r>
      <w:r w:rsidRPr="00FE73D1">
        <w:rPr>
          <w:rFonts w:hint="cs"/>
          <w:rtl/>
        </w:rPr>
        <w:t xml:space="preserve"> כי</w:t>
      </w:r>
      <w:r>
        <w:rPr>
          <w:rFonts w:hint="cs"/>
          <w:rtl/>
        </w:rPr>
        <w:t xml:space="preserve"> היא</w:t>
      </w:r>
      <w:r>
        <w:rPr>
          <w:rtl/>
        </w:rPr>
        <w:t xml:space="preserve"> ביצעה בשנתיים האחרונות פעילות לא מעטה בתחום</w:t>
      </w:r>
      <w:r>
        <w:rPr>
          <w:rFonts w:hint="cs"/>
          <w:rtl/>
        </w:rPr>
        <w:t>:</w:t>
      </w:r>
      <w:r>
        <w:rPr>
          <w:rtl/>
        </w:rPr>
        <w:t xml:space="preserve"> באפריל 2021 פורסם מתווה גילוי וולונטרי של הרשות לחברות הציבוריות בתחום האחריות התאגידית; ביוני 2021 הושק עמוד ייעודי באתר הרשות </w:t>
      </w:r>
      <w:r>
        <w:rPr>
          <w:rFonts w:hint="cs"/>
          <w:rtl/>
        </w:rPr>
        <w:t>ש</w:t>
      </w:r>
      <w:r>
        <w:rPr>
          <w:rtl/>
        </w:rPr>
        <w:t>בו מתפרסמים דוחות אחריות תאגידית של חברות ציבוריות; ובאוקטובר 2021 קיימה הרשות ת</w:t>
      </w:r>
      <w:r>
        <w:rPr>
          <w:rFonts w:hint="cs"/>
          <w:rtl/>
        </w:rPr>
        <w:t>ו</w:t>
      </w:r>
      <w:r>
        <w:rPr>
          <w:rtl/>
        </w:rPr>
        <w:t>כנית הדרכה דו</w:t>
      </w:r>
      <w:r>
        <w:rPr>
          <w:rFonts w:hint="cs"/>
          <w:rtl/>
        </w:rPr>
        <w:t>-</w:t>
      </w:r>
      <w:r>
        <w:rPr>
          <w:rtl/>
        </w:rPr>
        <w:t>יומית לנציגי כ-45 חברות ציבוריות בנוגע לאופן הכנת דוח אחריות תאגידית.</w:t>
      </w:r>
      <w:r>
        <w:rPr>
          <w:rFonts w:hint="cs"/>
          <w:rtl/>
        </w:rPr>
        <w:t xml:space="preserve"> </w:t>
      </w:r>
      <w:r>
        <w:rPr>
          <w:rtl/>
        </w:rPr>
        <w:t>נוסף</w:t>
      </w:r>
      <w:r>
        <w:rPr>
          <w:rFonts w:hint="cs"/>
          <w:rtl/>
        </w:rPr>
        <w:t xml:space="preserve"> על כך</w:t>
      </w:r>
      <w:r>
        <w:rPr>
          <w:rtl/>
        </w:rPr>
        <w:t xml:space="preserve"> ממשיכה הרשות לעקוב אחר ההתפתחויות בעולם בתחום האחריות התאגידית ומשבר האקלים. ככל שהרשות תגיע למסקנה כי נדרש שהחברות הציבוריות יספקו באופן מנדטורי מידע מסוים אודות סיכונים סביבתיים, היא תפעל לקדם עיגון דרישה זו בחקיקה</w:t>
      </w:r>
      <w:r>
        <w:rPr>
          <w:rFonts w:hint="cs"/>
          <w:rtl/>
        </w:rPr>
        <w:t xml:space="preserve">. לגבי ההמלצה </w:t>
      </w:r>
      <w:r w:rsidRPr="009B21D9">
        <w:rPr>
          <w:rtl/>
        </w:rPr>
        <w:t>כי רשות ניירות ערך תוביל עם משרד המשפטים בחינה של הדרכים לקידום חובת גילוי ודיווח אחיד של היבטי אקלים</w:t>
      </w:r>
      <w:r>
        <w:rPr>
          <w:rFonts w:hint="cs"/>
          <w:rtl/>
        </w:rPr>
        <w:t xml:space="preserve">, רשות ניירות ערך מסרה כי </w:t>
      </w:r>
      <w:r w:rsidRPr="00EF781E">
        <w:rPr>
          <w:rFonts w:hint="cs"/>
          <w:rtl/>
        </w:rPr>
        <w:t>היא תשמח לשתף פעולה עם יוזמה של משרד המשפטים בנושא זה</w:t>
      </w:r>
      <w:r w:rsidRPr="00EF781E">
        <w:rPr>
          <w:rFonts w:hint="cs"/>
        </w:rPr>
        <w:t>.</w:t>
      </w:r>
    </w:p>
    <w:p w:rsidR="00F20E3F" w:rsidRPr="004A5124" w:rsidP="004A5124" w14:paraId="338F85BC" w14:textId="77777777">
      <w:pPr>
        <w:pStyle w:val="73120"/>
        <w:rPr>
          <w:rtl/>
        </w:rPr>
      </w:pPr>
      <w:r w:rsidRPr="004A5124">
        <w:rPr>
          <w:rFonts w:hint="cs"/>
          <w:rtl/>
        </w:rPr>
        <w:t xml:space="preserve">ביקורת המעקב </w:t>
      </w:r>
    </w:p>
    <w:p w:rsidR="00F20E3F" w:rsidRPr="001005F3" w:rsidP="00C44928" w14:paraId="240A5F3B" w14:textId="77777777">
      <w:pPr>
        <w:pStyle w:val="734"/>
        <w:numPr>
          <w:ilvl w:val="0"/>
          <w:numId w:val="30"/>
        </w:numPr>
      </w:pPr>
      <w:r w:rsidRPr="001005F3">
        <w:rPr>
          <w:rFonts w:hint="cs"/>
          <w:rtl/>
        </w:rPr>
        <w:t>רשות ניירות ערך השיבה על השאלון לגבי הפעולות שקידמה בנושא היערכותה לסיכוני האקלים. להלן תשובותיה:</w:t>
      </w:r>
    </w:p>
    <w:tbl>
      <w:tblPr>
        <w:tblStyle w:val="TableGrid"/>
        <w:bidiVisual/>
        <w:tblW w:w="4715" w:type="pct"/>
        <w:tblInd w:w="420" w:type="dxa"/>
        <w:tblBorders>
          <w:top w:val="none" w:sz="0" w:space="0" w:color="auto"/>
          <w:bottom w:val="none" w:sz="0" w:space="0" w:color="auto"/>
          <w:insideH w:val="none" w:sz="0" w:space="0" w:color="auto"/>
        </w:tblBorders>
        <w:shd w:val="clear" w:color="auto" w:fill="DFECEF"/>
        <w:tblLook w:val="04A0"/>
      </w:tblPr>
      <w:tblGrid>
        <w:gridCol w:w="1134"/>
        <w:gridCol w:w="5806"/>
      </w:tblGrid>
      <w:tr w14:paraId="257D14AB" w14:textId="77777777" w:rsidTr="001005F3">
        <w:tblPrEx>
          <w:tblW w:w="4715" w:type="pct"/>
          <w:tblInd w:w="420" w:type="dxa"/>
          <w:tblBorders>
            <w:top w:val="none" w:sz="0" w:space="0" w:color="auto"/>
            <w:bottom w:val="none" w:sz="0" w:space="0" w:color="auto"/>
            <w:insideH w:val="none" w:sz="0" w:space="0" w:color="auto"/>
          </w:tblBorders>
          <w:shd w:val="clear" w:color="auto" w:fill="DFECEF"/>
          <w:tblLook w:val="04A0"/>
        </w:tblPrEx>
        <w:trPr>
          <w:trHeight w:val="180"/>
        </w:trPr>
        <w:tc>
          <w:tcPr>
            <w:tcW w:w="817" w:type="pct"/>
            <w:shd w:val="clear" w:color="auto" w:fill="BDCFD8"/>
          </w:tcPr>
          <w:p w:rsidR="001005F3" w:rsidRPr="009E15BF" w:rsidP="001005F3" w14:paraId="404A8F31" w14:textId="77777777">
            <w:pPr>
              <w:pStyle w:val="73R"/>
              <w:rPr>
                <w:bCs/>
                <w:color w:val="00305F"/>
                <w:rtl/>
              </w:rPr>
            </w:pPr>
          </w:p>
        </w:tc>
        <w:tc>
          <w:tcPr>
            <w:tcW w:w="4183" w:type="pct"/>
            <w:shd w:val="clear" w:color="auto" w:fill="BDCFD8"/>
          </w:tcPr>
          <w:p w:rsidR="001005F3" w:rsidRPr="009E15BF" w:rsidP="00711A1D" w14:paraId="076414C2" w14:textId="77777777">
            <w:pPr>
              <w:pStyle w:val="73R"/>
              <w:rPr>
                <w:bCs/>
                <w:color w:val="00305F"/>
                <w:rtl/>
              </w:rPr>
            </w:pPr>
            <w:r w:rsidRPr="009E15BF">
              <w:rPr>
                <w:rFonts w:hint="cs"/>
                <w:bCs/>
                <w:color w:val="00305F"/>
                <w:rtl/>
              </w:rPr>
              <w:t>השאלות</w:t>
            </w:r>
          </w:p>
        </w:tc>
      </w:tr>
      <w:tr w14:paraId="56C2E8AB" w14:textId="77777777" w:rsidTr="001005F3">
        <w:tblPrEx>
          <w:tblW w:w="4715" w:type="pct"/>
          <w:tblInd w:w="420" w:type="dxa"/>
          <w:shd w:val="clear" w:color="auto" w:fill="DFECEF"/>
          <w:tblLook w:val="04A0"/>
        </w:tblPrEx>
        <w:trPr>
          <w:trHeight w:val="152"/>
        </w:trPr>
        <w:tc>
          <w:tcPr>
            <w:tcW w:w="817" w:type="pct"/>
            <w:shd w:val="clear" w:color="auto" w:fill="C8DCE4"/>
          </w:tcPr>
          <w:p w:rsidR="001005F3" w:rsidRPr="009E15BF" w:rsidP="00711A1D" w14:paraId="4A8EB4D2" w14:textId="77777777">
            <w:pPr>
              <w:pStyle w:val="73R"/>
              <w:rPr>
                <w:b/>
                <w:bCs/>
                <w:rtl/>
              </w:rPr>
            </w:pPr>
          </w:p>
        </w:tc>
        <w:tc>
          <w:tcPr>
            <w:tcW w:w="4183" w:type="pct"/>
            <w:shd w:val="clear" w:color="auto" w:fill="C8DCE4"/>
            <w:vAlign w:val="center"/>
          </w:tcPr>
          <w:p w:rsidR="001005F3" w:rsidP="00711A1D" w14:paraId="5FBBA7D1" w14:textId="6A25914B">
            <w:pPr>
              <w:pStyle w:val="73R"/>
              <w:rPr>
                <w:b/>
                <w:bCs/>
                <w:color w:val="00305F"/>
                <w:rtl/>
              </w:rPr>
            </w:pPr>
            <w:r w:rsidRPr="00F753FB">
              <w:rPr>
                <w:b/>
                <w:bCs/>
                <w:rtl/>
              </w:rPr>
              <w:t>ניתוח של ההשפעות והסיכונים של שינויי האקלים על תחומי אחריות הרגולטור, על יציבות המערכת הפיננסית ועל פעילות המפוקחים</w:t>
            </w:r>
            <w:r w:rsidRPr="00F753FB">
              <w:rPr>
                <w:rFonts w:hint="cs"/>
                <w:b/>
                <w:bCs/>
                <w:rtl/>
              </w:rPr>
              <w:t xml:space="preserve"> שבאחריותו</w:t>
            </w:r>
            <w:r w:rsidRPr="009E15BF">
              <w:rPr>
                <w:rFonts w:hint="cs"/>
                <w:b/>
                <w:bCs/>
                <w:rtl/>
              </w:rPr>
              <w:t xml:space="preserve">: </w:t>
            </w:r>
          </w:p>
          <w:p w:rsidR="001005F3" w:rsidRPr="004331F6" w:rsidP="00711A1D" w14:paraId="3D21DA5D" w14:textId="77777777">
            <w:pPr>
              <w:pStyle w:val="73R"/>
              <w:rPr>
                <w:rtl/>
              </w:rPr>
            </w:pPr>
            <w:r w:rsidRPr="0090194E">
              <w:rPr>
                <w:rFonts w:hint="cs"/>
                <w:b/>
                <w:bCs/>
                <w:color w:val="1E285C"/>
                <w:rtl/>
              </w:rPr>
              <w:t>פירוט פעולות שדווח שנעשו:</w:t>
            </w:r>
          </w:p>
        </w:tc>
      </w:tr>
      <w:tr w14:paraId="7A5848F2" w14:textId="77777777" w:rsidTr="001005F3">
        <w:tblPrEx>
          <w:tblW w:w="4715" w:type="pct"/>
          <w:tblInd w:w="420" w:type="dxa"/>
          <w:shd w:val="clear" w:color="auto" w:fill="DFECEF"/>
          <w:tblLook w:val="04A0"/>
        </w:tblPrEx>
        <w:trPr>
          <w:trHeight w:val="314"/>
        </w:trPr>
        <w:tc>
          <w:tcPr>
            <w:tcW w:w="817" w:type="pct"/>
            <w:vMerge w:val="restart"/>
            <w:shd w:val="clear" w:color="auto" w:fill="DFECEF"/>
          </w:tcPr>
          <w:p w:rsidR="001005F3" w:rsidRPr="00145AB3" w:rsidP="00711A1D" w14:paraId="0E64BB85" w14:textId="77777777">
            <w:pPr>
              <w:pStyle w:val="73R"/>
              <w:rPr>
                <w:rFonts w:ascii="David" w:hAnsi="David"/>
                <w:b/>
                <w:bCs/>
                <w:rtl/>
              </w:rPr>
            </w:pPr>
            <w:r w:rsidRPr="00145AB3">
              <w:rPr>
                <w:rFonts w:ascii="David" w:hAnsi="David" w:hint="cs"/>
                <w:b/>
                <w:bCs/>
                <w:rtl/>
              </w:rPr>
              <w:t>שאלון</w:t>
            </w:r>
          </w:p>
          <w:p w:rsidR="001005F3" w:rsidRPr="00C566A0" w:rsidP="00C566A0" w14:paraId="7F05E26C" w14:textId="13BFA59A">
            <w:pPr>
              <w:pStyle w:val="719"/>
              <w:spacing w:after="0" w:line="240" w:lineRule="auto"/>
              <w:jc w:val="center"/>
              <w:rPr>
                <w:rFonts w:ascii="David" w:hAnsi="David" w:eastAsiaTheme="minorEastAsia"/>
                <w:color w:val="auto"/>
                <w:sz w:val="16"/>
                <w:szCs w:val="16"/>
                <w:rtl/>
              </w:rPr>
            </w:pPr>
            <w:r w:rsidRPr="00145AB3">
              <w:rPr>
                <w:rFonts w:ascii="David" w:hAnsi="David" w:eastAsiaTheme="minorEastAsia"/>
                <w:noProof/>
                <w:color w:val="auto"/>
                <w:sz w:val="16"/>
                <w:szCs w:val="16"/>
                <w:rtl/>
              </w:rPr>
              <w:drawing>
                <wp:inline distT="0" distB="0" distL="0" distR="0">
                  <wp:extent cx="391784" cy="457082"/>
                  <wp:effectExtent l="0" t="0" r="2540" b="635"/>
                  <wp:docPr id="520548675" name="גרפיקה 520548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012140" name="גרפיקה 520548675"/>
                          <pic:cNvPicPr/>
                        </pic:nvPicPr>
                        <pic:blipFill>
                          <a:blip xmlns:r="http://schemas.openxmlformats.org/officeDocument/2006/relationships" r:embed="rId58" cstate="print">
                            <a:extLst>
                              <a:ext xmlns:a="http://schemas.openxmlformats.org/drawingml/2006/main" uri="{BEBA8EAE-BF5A-486C-A8C5-ECC9F3942E4B}">
                                <a14:imgProps xmlns:a14="http://schemas.microsoft.com/office/drawing/2010/main">
                                  <a14:imgLayer xmlns:r="http://schemas.openxmlformats.org/officeDocument/2006/relationships" r:embed="rId59">
                                    <a14:imgEffect>
                                      <a14:saturation sat="0"/>
                                    </a14:imgEffect>
                                  </a14:imgLayer>
                                </a14:imgProps>
                              </a:ext>
                              <a:ext xmlns:a="http://schemas.openxmlformats.org/drawingml/2006/main" uri="{28A0092B-C50C-407E-A947-70E740481C1C}">
                                <a14:useLocalDpi xmlns:a14="http://schemas.microsoft.com/office/drawing/2010/main" val="0"/>
                              </a:ext>
                            </a:extLst>
                          </a:blip>
                          <a:stretch>
                            <a:fillRect/>
                          </a:stretch>
                        </pic:blipFill>
                        <pic:spPr>
                          <a:xfrm>
                            <a:off x="0" y="0"/>
                            <a:ext cx="391784" cy="457082"/>
                          </a:xfrm>
                          <a:prstGeom prst="rect">
                            <a:avLst/>
                          </a:prstGeom>
                        </pic:spPr>
                      </pic:pic>
                    </a:graphicData>
                  </a:graphic>
                </wp:inline>
              </w:drawing>
            </w:r>
          </w:p>
        </w:tc>
        <w:tc>
          <w:tcPr>
            <w:tcW w:w="4183" w:type="pct"/>
            <w:shd w:val="clear" w:color="auto" w:fill="DFECEF"/>
            <w:vAlign w:val="center"/>
          </w:tcPr>
          <w:p w:rsidR="001005F3" w:rsidRPr="0090194E" w:rsidP="00711A1D" w14:paraId="1FCC43F8" w14:textId="77777777">
            <w:pPr>
              <w:pStyle w:val="73R"/>
              <w:rPr>
                <w:b/>
                <w:color w:val="000000" w:themeColor="text1"/>
                <w:rtl/>
              </w:rPr>
            </w:pPr>
            <w:r w:rsidRPr="0090194E">
              <w:rPr>
                <w:rFonts w:hint="cs"/>
                <w:color w:val="000000" w:themeColor="text1"/>
                <w:rtl/>
              </w:rPr>
              <w:t xml:space="preserve">מעקב </w:t>
            </w:r>
            <w:r w:rsidRPr="0090194E">
              <w:rPr>
                <w:color w:val="000000" w:themeColor="text1"/>
                <w:rtl/>
              </w:rPr>
              <w:t>אחר הנעשה אצל רגולטורים מקבילים בעולם</w:t>
            </w:r>
          </w:p>
        </w:tc>
      </w:tr>
      <w:tr w14:paraId="50694958" w14:textId="77777777" w:rsidTr="001005F3">
        <w:tblPrEx>
          <w:tblW w:w="4715" w:type="pct"/>
          <w:tblInd w:w="420" w:type="dxa"/>
          <w:shd w:val="clear" w:color="auto" w:fill="DFECEF"/>
          <w:tblLook w:val="04A0"/>
        </w:tblPrEx>
        <w:trPr>
          <w:trHeight w:val="314"/>
        </w:trPr>
        <w:tc>
          <w:tcPr>
            <w:tcW w:w="817" w:type="pct"/>
            <w:vMerge/>
            <w:shd w:val="clear" w:color="auto" w:fill="DFECEF"/>
          </w:tcPr>
          <w:p w:rsidR="001005F3" w:rsidRPr="0090194E" w:rsidP="00711A1D" w14:paraId="27F37389" w14:textId="77777777">
            <w:pPr>
              <w:pStyle w:val="73R"/>
              <w:rPr>
                <w:color w:val="000000" w:themeColor="text1"/>
                <w:rtl/>
              </w:rPr>
            </w:pPr>
          </w:p>
        </w:tc>
        <w:tc>
          <w:tcPr>
            <w:tcW w:w="4183" w:type="pct"/>
            <w:shd w:val="clear" w:color="auto" w:fill="F0F8F9"/>
            <w:vAlign w:val="center"/>
          </w:tcPr>
          <w:p w:rsidR="001005F3" w:rsidRPr="0090194E" w:rsidP="00711A1D" w14:paraId="41A41FEB" w14:textId="77777777">
            <w:pPr>
              <w:pStyle w:val="73R"/>
              <w:rPr>
                <w:b/>
                <w:color w:val="000000" w:themeColor="text1"/>
                <w:rtl/>
              </w:rPr>
            </w:pPr>
            <w:r w:rsidRPr="0090194E">
              <w:rPr>
                <w:color w:val="000000" w:themeColor="text1"/>
                <w:rtl/>
              </w:rPr>
              <w:t>נערכו דיונים פנימיים בנושא</w:t>
            </w:r>
          </w:p>
        </w:tc>
      </w:tr>
      <w:tr w14:paraId="444EA341" w14:textId="77777777" w:rsidTr="001005F3">
        <w:tblPrEx>
          <w:tblW w:w="4715" w:type="pct"/>
          <w:tblInd w:w="420" w:type="dxa"/>
          <w:shd w:val="clear" w:color="auto" w:fill="DFECEF"/>
          <w:tblLook w:val="04A0"/>
        </w:tblPrEx>
        <w:trPr>
          <w:trHeight w:val="314"/>
        </w:trPr>
        <w:tc>
          <w:tcPr>
            <w:tcW w:w="817" w:type="pct"/>
            <w:vMerge/>
            <w:shd w:val="clear" w:color="auto" w:fill="DFECEF"/>
          </w:tcPr>
          <w:p w:rsidR="001005F3" w:rsidRPr="0090194E" w:rsidP="00711A1D" w14:paraId="722FA00A" w14:textId="77777777">
            <w:pPr>
              <w:pStyle w:val="73R"/>
              <w:rPr>
                <w:color w:val="000000" w:themeColor="text1"/>
                <w:rtl/>
              </w:rPr>
            </w:pPr>
          </w:p>
        </w:tc>
        <w:tc>
          <w:tcPr>
            <w:tcW w:w="4183" w:type="pct"/>
            <w:shd w:val="clear" w:color="auto" w:fill="DFECEF"/>
            <w:vAlign w:val="center"/>
          </w:tcPr>
          <w:p w:rsidR="001005F3" w:rsidRPr="0090194E" w:rsidP="00711A1D" w14:paraId="281B8F21" w14:textId="77777777">
            <w:pPr>
              <w:pStyle w:val="73R"/>
              <w:rPr>
                <w:b/>
                <w:color w:val="000000" w:themeColor="text1"/>
                <w:rtl/>
              </w:rPr>
            </w:pPr>
            <w:r w:rsidRPr="0090194E">
              <w:rPr>
                <w:rFonts w:hint="cs"/>
                <w:color w:val="000000" w:themeColor="text1"/>
                <w:rtl/>
              </w:rPr>
              <w:t>גובשו כלים למפוקחים הנוגעים לסיכוני אקלים</w:t>
            </w:r>
          </w:p>
        </w:tc>
      </w:tr>
    </w:tbl>
    <w:p w:rsidR="001005F3" w:rsidRPr="001005F3" w:rsidP="001005F3" w14:paraId="17D9CC48" w14:textId="77777777">
      <w:pPr>
        <w:rPr>
          <w:rtl/>
        </w:rPr>
      </w:pPr>
    </w:p>
    <w:tbl>
      <w:tblPr>
        <w:tblStyle w:val="TableGrid"/>
        <w:bidiVisual/>
        <w:tblW w:w="4715" w:type="pct"/>
        <w:tblInd w:w="420" w:type="dxa"/>
        <w:tblBorders>
          <w:top w:val="none" w:sz="0" w:space="0" w:color="auto"/>
          <w:bottom w:val="none" w:sz="0" w:space="0" w:color="auto"/>
          <w:insideH w:val="none" w:sz="0" w:space="0" w:color="auto"/>
        </w:tblBorders>
        <w:shd w:val="clear" w:color="auto" w:fill="DFECEF"/>
        <w:tblLook w:val="04A0"/>
      </w:tblPr>
      <w:tblGrid>
        <w:gridCol w:w="1134"/>
        <w:gridCol w:w="5806"/>
      </w:tblGrid>
      <w:tr w14:paraId="30AFCDFD" w14:textId="77777777" w:rsidTr="001005F3">
        <w:tblPrEx>
          <w:tblW w:w="4715" w:type="pct"/>
          <w:tblInd w:w="420" w:type="dxa"/>
          <w:tblBorders>
            <w:top w:val="none" w:sz="0" w:space="0" w:color="auto"/>
            <w:bottom w:val="none" w:sz="0" w:space="0" w:color="auto"/>
            <w:insideH w:val="none" w:sz="0" w:space="0" w:color="auto"/>
          </w:tblBorders>
          <w:shd w:val="clear" w:color="auto" w:fill="DFECEF"/>
          <w:tblLook w:val="04A0"/>
        </w:tblPrEx>
        <w:trPr>
          <w:trHeight w:val="180"/>
        </w:trPr>
        <w:tc>
          <w:tcPr>
            <w:tcW w:w="817" w:type="pct"/>
            <w:shd w:val="clear" w:color="auto" w:fill="BDCFD8"/>
          </w:tcPr>
          <w:p w:rsidR="001005F3" w:rsidRPr="0090194E" w:rsidP="00711A1D" w14:paraId="197EAD91" w14:textId="77777777">
            <w:pPr>
              <w:pStyle w:val="73R"/>
              <w:rPr>
                <w:rtl/>
              </w:rPr>
            </w:pPr>
          </w:p>
        </w:tc>
        <w:tc>
          <w:tcPr>
            <w:tcW w:w="4183" w:type="pct"/>
            <w:shd w:val="clear" w:color="auto" w:fill="BDCFD8"/>
          </w:tcPr>
          <w:p w:rsidR="001005F3" w:rsidRPr="0090194E" w:rsidP="00711A1D" w14:paraId="2BD54B20" w14:textId="77777777">
            <w:pPr>
              <w:pStyle w:val="73R"/>
              <w:rPr>
                <w:rtl/>
              </w:rPr>
            </w:pPr>
            <w:r w:rsidRPr="00C566A0">
              <w:rPr>
                <w:rFonts w:hint="cs"/>
                <w:bCs/>
                <w:color w:val="00305F"/>
                <w:rtl/>
              </w:rPr>
              <w:t>השאלות</w:t>
            </w:r>
          </w:p>
        </w:tc>
      </w:tr>
      <w:tr w14:paraId="52BD5227" w14:textId="77777777" w:rsidTr="001005F3">
        <w:tblPrEx>
          <w:tblW w:w="4715" w:type="pct"/>
          <w:tblInd w:w="420" w:type="dxa"/>
          <w:shd w:val="clear" w:color="auto" w:fill="DFECEF"/>
          <w:tblLook w:val="04A0"/>
        </w:tblPrEx>
        <w:trPr>
          <w:trHeight w:val="152"/>
        </w:trPr>
        <w:tc>
          <w:tcPr>
            <w:tcW w:w="817" w:type="pct"/>
            <w:shd w:val="clear" w:color="auto" w:fill="C8DCE4"/>
          </w:tcPr>
          <w:p w:rsidR="001005F3" w:rsidRPr="0090194E" w:rsidP="00711A1D" w14:paraId="637E21B3" w14:textId="77777777">
            <w:pPr>
              <w:pStyle w:val="73R"/>
              <w:rPr>
                <w:b/>
                <w:bCs/>
                <w:rtl/>
              </w:rPr>
            </w:pPr>
          </w:p>
        </w:tc>
        <w:tc>
          <w:tcPr>
            <w:tcW w:w="4183" w:type="pct"/>
            <w:shd w:val="clear" w:color="auto" w:fill="C8DCE4"/>
            <w:vAlign w:val="center"/>
          </w:tcPr>
          <w:p w:rsidR="001005F3" w:rsidRPr="0090194E" w:rsidP="00711A1D" w14:paraId="78DFB21B" w14:textId="5A109F14">
            <w:pPr>
              <w:pStyle w:val="73R"/>
              <w:rPr>
                <w:b/>
                <w:bCs/>
                <w:rtl/>
              </w:rPr>
            </w:pPr>
            <w:r w:rsidRPr="00F753FB">
              <w:rPr>
                <w:rFonts w:hint="cs"/>
                <w:b/>
                <w:bCs/>
                <w:rtl/>
              </w:rPr>
              <w:t>הטמעת</w:t>
            </w:r>
            <w:r w:rsidRPr="00F753FB">
              <w:rPr>
                <w:b/>
                <w:bCs/>
                <w:rtl/>
              </w:rPr>
              <w:t xml:space="preserve"> תהליכי דיווח ובקרה והנחיות לגופים </w:t>
            </w:r>
            <w:r w:rsidRPr="00F753FB">
              <w:rPr>
                <w:rFonts w:hint="cs"/>
                <w:b/>
                <w:bCs/>
                <w:rtl/>
              </w:rPr>
              <w:t>שבפיקוחו</w:t>
            </w:r>
            <w:r w:rsidRPr="00F753FB">
              <w:rPr>
                <w:b/>
                <w:bCs/>
                <w:rtl/>
              </w:rPr>
              <w:t xml:space="preserve">, הנוגעים לניהול סיכונים פיננסיים שמקורם בשינויי </w:t>
            </w:r>
            <w:r w:rsidRPr="00F753FB">
              <w:rPr>
                <w:rFonts w:hint="cs"/>
                <w:b/>
                <w:bCs/>
                <w:rtl/>
              </w:rPr>
              <w:t>ה</w:t>
            </w:r>
            <w:r w:rsidRPr="00F753FB">
              <w:rPr>
                <w:b/>
                <w:bCs/>
                <w:rtl/>
              </w:rPr>
              <w:t>אקלים</w:t>
            </w:r>
            <w:r w:rsidRPr="0090194E">
              <w:rPr>
                <w:rFonts w:hint="cs"/>
                <w:b/>
                <w:bCs/>
                <w:rtl/>
              </w:rPr>
              <w:t xml:space="preserve">: </w:t>
            </w:r>
          </w:p>
          <w:p w:rsidR="001005F3" w:rsidRPr="0090194E" w:rsidP="00711A1D" w14:paraId="38C0AD18" w14:textId="77777777">
            <w:pPr>
              <w:pStyle w:val="73R"/>
              <w:rPr>
                <w:rtl/>
              </w:rPr>
            </w:pPr>
            <w:r w:rsidRPr="0090194E">
              <w:rPr>
                <w:rFonts w:hint="cs"/>
                <w:b/>
                <w:bCs/>
                <w:color w:val="1E285C"/>
                <w:rtl/>
              </w:rPr>
              <w:t>פירוט פעולות שדווח שנעשו:</w:t>
            </w:r>
          </w:p>
        </w:tc>
      </w:tr>
      <w:tr w14:paraId="3EEF8FEA" w14:textId="77777777" w:rsidTr="001005F3">
        <w:tblPrEx>
          <w:tblW w:w="4715" w:type="pct"/>
          <w:tblInd w:w="420" w:type="dxa"/>
          <w:shd w:val="clear" w:color="auto" w:fill="DFECEF"/>
          <w:tblLook w:val="04A0"/>
        </w:tblPrEx>
        <w:trPr>
          <w:trHeight w:val="503"/>
        </w:trPr>
        <w:tc>
          <w:tcPr>
            <w:tcW w:w="817" w:type="pct"/>
            <w:vMerge w:val="restart"/>
            <w:shd w:val="clear" w:color="auto" w:fill="DFECEF"/>
          </w:tcPr>
          <w:p w:rsidR="001005F3" w:rsidRPr="00145AB3" w:rsidP="00711A1D" w14:paraId="4405733E" w14:textId="77777777">
            <w:pPr>
              <w:pStyle w:val="73R"/>
              <w:rPr>
                <w:rFonts w:ascii="David" w:hAnsi="David"/>
                <w:b/>
                <w:bCs/>
                <w:rtl/>
              </w:rPr>
            </w:pPr>
            <w:r w:rsidRPr="00145AB3">
              <w:rPr>
                <w:rFonts w:ascii="David" w:hAnsi="David" w:hint="cs"/>
                <w:b/>
                <w:bCs/>
                <w:rtl/>
              </w:rPr>
              <w:t>שאלון</w:t>
            </w:r>
          </w:p>
          <w:p w:rsidR="001005F3" w:rsidRPr="0090194E" w:rsidP="00711A1D" w14:paraId="2022D988" w14:textId="77777777">
            <w:pPr>
              <w:pStyle w:val="719"/>
              <w:spacing w:after="0" w:line="240" w:lineRule="auto"/>
              <w:jc w:val="center"/>
              <w:rPr>
                <w:rFonts w:ascii="David" w:hAnsi="David" w:eastAsiaTheme="minorEastAsia"/>
                <w:color w:val="auto"/>
                <w:sz w:val="16"/>
                <w:szCs w:val="16"/>
                <w:rtl/>
              </w:rPr>
            </w:pPr>
            <w:r w:rsidRPr="00145AB3">
              <w:rPr>
                <w:rFonts w:ascii="David" w:hAnsi="David" w:eastAsiaTheme="minorEastAsia"/>
                <w:noProof/>
                <w:color w:val="auto"/>
                <w:sz w:val="16"/>
                <w:szCs w:val="16"/>
                <w:rtl/>
              </w:rPr>
              <w:drawing>
                <wp:inline distT="0" distB="0" distL="0" distR="0">
                  <wp:extent cx="391784" cy="457082"/>
                  <wp:effectExtent l="0" t="0" r="2540" b="635"/>
                  <wp:docPr id="1144089293" name="גרפיקה 1144089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155866" name="גרפיקה 1144089293"/>
                          <pic:cNvPicPr/>
                        </pic:nvPicPr>
                        <pic:blipFill>
                          <a:blip xmlns:r="http://schemas.openxmlformats.org/officeDocument/2006/relationships" r:embed="rId58" cstate="print">
                            <a:extLst>
                              <a:ext xmlns:a="http://schemas.openxmlformats.org/drawingml/2006/main" uri="{BEBA8EAE-BF5A-486C-A8C5-ECC9F3942E4B}">
                                <a14:imgProps xmlns:a14="http://schemas.microsoft.com/office/drawing/2010/main">
                                  <a14:imgLayer xmlns:r="http://schemas.openxmlformats.org/officeDocument/2006/relationships" r:embed="rId61">
                                    <a14:imgEffect>
                                      <a14:saturation sat="0"/>
                                    </a14:imgEffect>
                                  </a14:imgLayer>
                                </a14:imgProps>
                              </a:ext>
                              <a:ext xmlns:a="http://schemas.openxmlformats.org/drawingml/2006/main" uri="{28A0092B-C50C-407E-A947-70E740481C1C}">
                                <a14:useLocalDpi xmlns:a14="http://schemas.microsoft.com/office/drawing/2010/main" val="0"/>
                              </a:ext>
                            </a:extLst>
                          </a:blip>
                          <a:stretch>
                            <a:fillRect/>
                          </a:stretch>
                        </pic:blipFill>
                        <pic:spPr>
                          <a:xfrm>
                            <a:off x="0" y="0"/>
                            <a:ext cx="391784" cy="457082"/>
                          </a:xfrm>
                          <a:prstGeom prst="rect">
                            <a:avLst/>
                          </a:prstGeom>
                        </pic:spPr>
                      </pic:pic>
                    </a:graphicData>
                  </a:graphic>
                </wp:inline>
              </w:drawing>
            </w:r>
          </w:p>
        </w:tc>
        <w:tc>
          <w:tcPr>
            <w:tcW w:w="4183" w:type="pct"/>
            <w:shd w:val="clear" w:color="auto" w:fill="DFECEF"/>
            <w:vAlign w:val="center"/>
          </w:tcPr>
          <w:p w:rsidR="001005F3" w:rsidRPr="0090194E" w:rsidP="00711A1D" w14:paraId="73FFFF3C" w14:textId="77777777">
            <w:pPr>
              <w:pStyle w:val="73R"/>
              <w:rPr>
                <w:rtl/>
              </w:rPr>
            </w:pPr>
            <w:r w:rsidRPr="0090194E">
              <w:rPr>
                <w:rtl/>
              </w:rPr>
              <w:t>פורסם נייר עמדה להערות הציבור</w:t>
            </w:r>
          </w:p>
        </w:tc>
      </w:tr>
      <w:tr w14:paraId="77F25C42" w14:textId="77777777" w:rsidTr="001005F3">
        <w:tblPrEx>
          <w:tblW w:w="4715" w:type="pct"/>
          <w:tblInd w:w="420" w:type="dxa"/>
          <w:shd w:val="clear" w:color="auto" w:fill="DFECEF"/>
          <w:tblLook w:val="04A0"/>
        </w:tblPrEx>
        <w:trPr>
          <w:trHeight w:val="314"/>
        </w:trPr>
        <w:tc>
          <w:tcPr>
            <w:tcW w:w="817" w:type="pct"/>
            <w:vMerge/>
            <w:shd w:val="clear" w:color="auto" w:fill="DFECEF"/>
          </w:tcPr>
          <w:p w:rsidR="001005F3" w:rsidRPr="0090194E" w:rsidP="00711A1D" w14:paraId="0770EC3D" w14:textId="77777777">
            <w:pPr>
              <w:pStyle w:val="73R"/>
              <w:rPr>
                <w:rtl/>
              </w:rPr>
            </w:pPr>
          </w:p>
        </w:tc>
        <w:tc>
          <w:tcPr>
            <w:tcW w:w="4183" w:type="pct"/>
            <w:shd w:val="clear" w:color="auto" w:fill="F0F8F9"/>
            <w:vAlign w:val="center"/>
          </w:tcPr>
          <w:p w:rsidR="001005F3" w:rsidRPr="0090194E" w:rsidP="00711A1D" w14:paraId="122386AD" w14:textId="77777777">
            <w:pPr>
              <w:pStyle w:val="73R"/>
              <w:rPr>
                <w:rtl/>
              </w:rPr>
            </w:pPr>
            <w:r w:rsidRPr="0090194E">
              <w:rPr>
                <w:rtl/>
              </w:rPr>
              <w:t>פורסמו הנחיות דיווח לציבור באופן וולונטרי</w:t>
            </w:r>
          </w:p>
        </w:tc>
      </w:tr>
    </w:tbl>
    <w:p w:rsidR="00F20E3F" w:rsidRPr="00614D28" w:rsidP="001005F3" w14:paraId="20744612" w14:textId="25808712">
      <w:pPr>
        <w:pStyle w:val="7316"/>
        <w:spacing w:before="240"/>
        <w:rPr>
          <w:rtl/>
        </w:rPr>
      </w:pPr>
      <w:r w:rsidRPr="0096618B">
        <w:rPr>
          <w:rFonts w:hint="cs"/>
          <w:rtl/>
        </w:rPr>
        <w:t>ממצאי</w:t>
      </w:r>
      <w:r w:rsidRPr="00614D28">
        <w:rPr>
          <w:rFonts w:hint="cs"/>
          <w:rtl/>
        </w:rPr>
        <w:t xml:space="preserve"> השאלון מעידים כי הרשות החלה בפעולות היערכות </w:t>
      </w:r>
      <w:r w:rsidRPr="00E761A5">
        <w:rPr>
          <w:rFonts w:hint="cs"/>
          <w:rtl/>
        </w:rPr>
        <w:t xml:space="preserve">מסוימות </w:t>
      </w:r>
      <w:r w:rsidRPr="00E761A5">
        <w:rPr>
          <w:rFonts w:hint="eastAsia"/>
          <w:rtl/>
        </w:rPr>
        <w:t>לסיכונים</w:t>
      </w:r>
      <w:r w:rsidRPr="00E761A5">
        <w:rPr>
          <w:rtl/>
        </w:rPr>
        <w:t xml:space="preserve"> </w:t>
      </w:r>
      <w:r w:rsidRPr="00E761A5">
        <w:rPr>
          <w:rFonts w:hint="eastAsia"/>
          <w:rtl/>
        </w:rPr>
        <w:t>הנובעים</w:t>
      </w:r>
      <w:r w:rsidRPr="00E761A5">
        <w:rPr>
          <w:rtl/>
        </w:rPr>
        <w:t xml:space="preserve"> </w:t>
      </w:r>
      <w:r w:rsidRPr="00E761A5">
        <w:rPr>
          <w:rFonts w:hint="eastAsia"/>
          <w:rtl/>
        </w:rPr>
        <w:t>משינוי</w:t>
      </w:r>
      <w:r>
        <w:rPr>
          <w:rFonts w:hint="cs"/>
          <w:rtl/>
        </w:rPr>
        <w:t>י</w:t>
      </w:r>
      <w:r w:rsidRPr="00614D28">
        <w:rPr>
          <w:rFonts w:hint="cs"/>
          <w:rtl/>
        </w:rPr>
        <w:t xml:space="preserve"> </w:t>
      </w:r>
      <w:r>
        <w:rPr>
          <w:rFonts w:hint="cs"/>
          <w:rtl/>
        </w:rPr>
        <w:t>ה</w:t>
      </w:r>
      <w:r w:rsidRPr="00614D28">
        <w:rPr>
          <w:rFonts w:hint="cs"/>
          <w:rtl/>
        </w:rPr>
        <w:t>אקלים</w:t>
      </w:r>
      <w:r>
        <w:rPr>
          <w:rFonts w:hint="cs"/>
          <w:rtl/>
        </w:rPr>
        <w:t>,</w:t>
      </w:r>
      <w:r w:rsidRPr="00614D28">
        <w:rPr>
          <w:rFonts w:hint="cs"/>
          <w:rtl/>
        </w:rPr>
        <w:t xml:space="preserve"> אולם נכון למאי 2023</w:t>
      </w:r>
      <w:r>
        <w:rPr>
          <w:rFonts w:hint="cs"/>
          <w:rtl/>
        </w:rPr>
        <w:t xml:space="preserve"> הפעולות בו</w:t>
      </w:r>
      <w:r w:rsidRPr="00614D28">
        <w:rPr>
          <w:rFonts w:hint="cs"/>
          <w:rtl/>
        </w:rPr>
        <w:t>צעו</w:t>
      </w:r>
      <w:r>
        <w:rPr>
          <w:rFonts w:hint="cs"/>
          <w:rtl/>
        </w:rPr>
        <w:t xml:space="preserve"> באופן חלקי</w:t>
      </w:r>
      <w:r w:rsidRPr="00614D28">
        <w:rPr>
          <w:rFonts w:hint="cs"/>
          <w:rtl/>
        </w:rPr>
        <w:t>.</w:t>
      </w:r>
      <w:r w:rsidRPr="00456519">
        <w:rPr>
          <w:rFonts w:hint="cs"/>
          <w:rtl/>
        </w:rPr>
        <w:t xml:space="preserve"> </w:t>
      </w:r>
      <w:r>
        <w:rPr>
          <w:rFonts w:hint="cs"/>
          <w:rtl/>
        </w:rPr>
        <w:t>להלן</w:t>
      </w:r>
      <w:r w:rsidRPr="00270A28">
        <w:rPr>
          <w:rFonts w:hint="cs"/>
          <w:rtl/>
        </w:rPr>
        <w:t xml:space="preserve"> עיקרי הפעולות שקודמו ברשות </w:t>
      </w:r>
      <w:r>
        <w:rPr>
          <w:rFonts w:hint="cs"/>
          <w:rtl/>
        </w:rPr>
        <w:t>ועלו במסגרת ביקורת המעקב:</w:t>
      </w:r>
    </w:p>
    <w:p w:rsidR="00F20E3F" w:rsidP="00C44928" w14:paraId="27B0EBB2" w14:textId="77777777">
      <w:pPr>
        <w:pStyle w:val="734"/>
        <w:numPr>
          <w:ilvl w:val="0"/>
          <w:numId w:val="88"/>
        </w:numPr>
        <w:rPr>
          <w:rtl/>
        </w:rPr>
      </w:pPr>
      <w:r>
        <w:rPr>
          <w:rFonts w:hint="cs"/>
          <w:rtl/>
        </w:rPr>
        <w:t xml:space="preserve">לעניין </w:t>
      </w:r>
      <w:r w:rsidRPr="002E0FD1">
        <w:rPr>
          <w:rFonts w:hint="cs"/>
          <w:b/>
          <w:bCs/>
          <w:rtl/>
        </w:rPr>
        <w:t>ניהול סיכונים</w:t>
      </w:r>
      <w:r>
        <w:rPr>
          <w:rFonts w:hint="cs"/>
          <w:rtl/>
        </w:rPr>
        <w:t>,</w:t>
      </w:r>
      <w:r w:rsidRPr="00EE53EB">
        <w:rPr>
          <w:rFonts w:hint="cs"/>
          <w:rtl/>
        </w:rPr>
        <w:t xml:space="preserve"> בדצמבר 2022 </w:t>
      </w:r>
      <w:r>
        <w:rPr>
          <w:rFonts w:hint="cs"/>
          <w:rtl/>
        </w:rPr>
        <w:t xml:space="preserve">פרסמה </w:t>
      </w:r>
      <w:r w:rsidRPr="00EE53EB">
        <w:rPr>
          <w:rtl/>
        </w:rPr>
        <w:t xml:space="preserve">מחלקת השקעות של </w:t>
      </w:r>
      <w:r>
        <w:rPr>
          <w:rFonts w:hint="cs"/>
          <w:rtl/>
        </w:rPr>
        <w:t>ה</w:t>
      </w:r>
      <w:r w:rsidRPr="00EE53EB">
        <w:rPr>
          <w:rtl/>
        </w:rPr>
        <w:t>רשות הוראה למנהלי קרנות ולבעלי רישיון גדולים</w:t>
      </w:r>
      <w:r>
        <w:rPr>
          <w:rStyle w:val="FootnoteReference2"/>
          <w:rtl/>
        </w:rPr>
        <w:footnoteReference w:id="142"/>
      </w:r>
      <w:r w:rsidRPr="00EE53EB">
        <w:rPr>
          <w:rtl/>
        </w:rPr>
        <w:t xml:space="preserve"> </w:t>
      </w:r>
      <w:r>
        <w:rPr>
          <w:rFonts w:hint="cs"/>
          <w:rtl/>
        </w:rPr>
        <w:t>לקיים בחינה</w:t>
      </w:r>
      <w:r w:rsidRPr="00400ED7">
        <w:rPr>
          <w:rtl/>
        </w:rPr>
        <w:t xml:space="preserve"> </w:t>
      </w:r>
      <w:r>
        <w:rPr>
          <w:rFonts w:hint="cs"/>
          <w:rtl/>
        </w:rPr>
        <w:t>"</w:t>
      </w:r>
      <w:r w:rsidRPr="00400ED7">
        <w:rPr>
          <w:rtl/>
        </w:rPr>
        <w:t>אם יש מקום בראייתם לתת משקל לשיקולי סביבה</w:t>
      </w:r>
      <w:r>
        <w:rPr>
          <w:rFonts w:hint="cs"/>
          <w:rtl/>
        </w:rPr>
        <w:t>, חברה וממשל [</w:t>
      </w:r>
      <w:r>
        <w:rPr>
          <w:rFonts w:hint="cs"/>
        </w:rPr>
        <w:t>ES</w:t>
      </w:r>
      <w:r>
        <w:t>G</w:t>
      </w:r>
      <w:r>
        <w:rPr>
          <w:rFonts w:hint="cs"/>
          <w:rtl/>
        </w:rPr>
        <w:t xml:space="preserve">]" </w:t>
      </w:r>
      <w:r w:rsidRPr="00EE53EB">
        <w:rPr>
          <w:rtl/>
        </w:rPr>
        <w:t>בתהליכי קבלת החלטות השקעה או ניהול סיכונים</w:t>
      </w:r>
      <w:r>
        <w:rPr>
          <w:rFonts w:hint="cs"/>
          <w:rtl/>
        </w:rPr>
        <w:t xml:space="preserve">, וכן לפרסם אם מדיניותם כוללת שיקולי </w:t>
      </w:r>
      <w:r>
        <w:rPr>
          <w:rFonts w:hint="cs"/>
        </w:rPr>
        <w:t>E</w:t>
      </w:r>
      <w:r>
        <w:t>SG</w:t>
      </w:r>
      <w:r>
        <w:rPr>
          <w:rFonts w:hint="cs"/>
          <w:rtl/>
        </w:rPr>
        <w:t>, ואם כן כיצד הדבר מתבצע ואילו שיקולים מובאים בחשבון</w:t>
      </w:r>
      <w:r>
        <w:rPr>
          <w:rStyle w:val="FootnoteReference2"/>
          <w:rtl/>
        </w:rPr>
        <w:footnoteReference w:id="143"/>
      </w:r>
      <w:r w:rsidRPr="00EE53EB">
        <w:rPr>
          <w:rFonts w:hint="cs"/>
          <w:rtl/>
        </w:rPr>
        <w:t xml:space="preserve">. </w:t>
      </w:r>
      <w:r>
        <w:rPr>
          <w:rFonts w:hint="cs"/>
          <w:rtl/>
        </w:rPr>
        <w:t xml:space="preserve">יצוין כי ההוראה אינה מטילה חובה על מנהלי הקרנות ועל בעלי הרישיונות הגדולים לשקול שיקולי </w:t>
      </w:r>
      <w:r>
        <w:rPr>
          <w:rFonts w:hint="cs"/>
        </w:rPr>
        <w:t>ESG</w:t>
      </w:r>
      <w:r>
        <w:rPr>
          <w:rFonts w:hint="cs"/>
          <w:rtl/>
        </w:rPr>
        <w:t xml:space="preserve">. נוסף על כך הרשות </w:t>
      </w:r>
      <w:r w:rsidRPr="00EE53EB">
        <w:rPr>
          <w:rFonts w:hint="cs"/>
          <w:rtl/>
        </w:rPr>
        <w:t>ב</w:t>
      </w:r>
      <w:r>
        <w:rPr>
          <w:rFonts w:hint="cs"/>
          <w:rtl/>
        </w:rPr>
        <w:t>ו</w:t>
      </w:r>
      <w:r w:rsidRPr="00EE53EB">
        <w:rPr>
          <w:rFonts w:hint="cs"/>
          <w:rtl/>
        </w:rPr>
        <w:t xml:space="preserve">חנת </w:t>
      </w:r>
      <w:r>
        <w:rPr>
          <w:rFonts w:hint="cs"/>
          <w:rtl/>
        </w:rPr>
        <w:t xml:space="preserve">את </w:t>
      </w:r>
      <w:r w:rsidRPr="00EE53EB">
        <w:rPr>
          <w:rFonts w:hint="cs"/>
          <w:rtl/>
        </w:rPr>
        <w:t>האפשרות לעגן בחקיקה תקינה בין</w:t>
      </w:r>
      <w:r>
        <w:rPr>
          <w:rFonts w:hint="cs"/>
          <w:rtl/>
        </w:rPr>
        <w:t>-</w:t>
      </w:r>
      <w:r w:rsidRPr="00EE53EB">
        <w:rPr>
          <w:rFonts w:hint="cs"/>
          <w:rtl/>
        </w:rPr>
        <w:t>לאומית שעתידה להיות מאושרת בשנת 2023</w:t>
      </w:r>
      <w:r>
        <w:rPr>
          <w:rFonts w:hint="cs"/>
          <w:rtl/>
        </w:rPr>
        <w:t xml:space="preserve"> של ה-</w:t>
      </w:r>
      <w:r>
        <w:rPr>
          <w:rFonts w:hint="cs"/>
        </w:rPr>
        <w:t>IFRS</w:t>
      </w:r>
      <w:r>
        <w:rPr>
          <w:rFonts w:hint="cs"/>
          <w:rtl/>
        </w:rPr>
        <w:t xml:space="preserve"> וה-</w:t>
      </w:r>
      <w:r>
        <w:rPr>
          <w:rFonts w:hint="cs"/>
        </w:rPr>
        <w:t>ISSB</w:t>
      </w:r>
      <w:r w:rsidRPr="00EE53EB">
        <w:rPr>
          <w:rFonts w:hint="cs"/>
          <w:rtl/>
        </w:rPr>
        <w:t>.</w:t>
      </w:r>
    </w:p>
    <w:p w:rsidR="00F20E3F" w:rsidP="001005F3" w14:paraId="494EC642" w14:textId="77777777">
      <w:pPr>
        <w:pStyle w:val="7316"/>
        <w:rPr>
          <w:rtl/>
        </w:rPr>
      </w:pPr>
      <w:r w:rsidRPr="0036546B">
        <w:rPr>
          <w:rFonts w:hint="eastAsia"/>
          <w:sz w:val="24"/>
          <w:rtl/>
        </w:rPr>
        <w:t>לפי</w:t>
      </w:r>
      <w:r w:rsidRPr="0036546B">
        <w:rPr>
          <w:sz w:val="24"/>
          <w:rtl/>
        </w:rPr>
        <w:t xml:space="preserve"> המשרד </w:t>
      </w:r>
      <w:r w:rsidRPr="0036546B">
        <w:rPr>
          <w:rFonts w:hint="eastAsia"/>
          <w:sz w:val="24"/>
          <w:rtl/>
        </w:rPr>
        <w:t>להג</w:t>
      </w:r>
      <w:r w:rsidRPr="0036546B">
        <w:rPr>
          <w:sz w:val="24"/>
          <w:rtl/>
        </w:rPr>
        <w:t>"ס</w:t>
      </w:r>
      <w:r w:rsidRPr="0036546B">
        <w:rPr>
          <w:sz w:val="24"/>
          <w:rtl/>
        </w:rPr>
        <w:t xml:space="preserve">, החוזרים על ניהול השקעות בקרב מנהלי תיקים וקרנות נאמנות </w:t>
      </w:r>
      <w:r w:rsidRPr="0085603F">
        <w:rPr>
          <w:sz w:val="24"/>
          <w:rtl/>
        </w:rPr>
        <w:t>בעולם</w:t>
      </w:r>
      <w:r w:rsidRPr="0036546B">
        <w:rPr>
          <w:sz w:val="24"/>
          <w:rtl/>
        </w:rPr>
        <w:t xml:space="preserve"> </w:t>
      </w:r>
      <w:r w:rsidRPr="00E761A5">
        <w:rPr>
          <w:sz w:val="24"/>
          <w:rtl/>
        </w:rPr>
        <w:t>מפורט</w:t>
      </w:r>
      <w:r w:rsidRPr="00E761A5">
        <w:rPr>
          <w:rFonts w:hint="eastAsia"/>
          <w:sz w:val="24"/>
          <w:rtl/>
        </w:rPr>
        <w:t>ים</w:t>
      </w:r>
      <w:r w:rsidRPr="0036546B">
        <w:rPr>
          <w:sz w:val="24"/>
          <w:rtl/>
        </w:rPr>
        <w:t xml:space="preserve"> יותר וכוללים הנחיות לאופן ביצוע הבחינה </w:t>
      </w:r>
      <w:r>
        <w:rPr>
          <w:rFonts w:hint="cs"/>
          <w:sz w:val="24"/>
          <w:rtl/>
        </w:rPr>
        <w:t>לגבי</w:t>
      </w:r>
      <w:r w:rsidRPr="0036546B">
        <w:rPr>
          <w:sz w:val="24"/>
          <w:rtl/>
        </w:rPr>
        <w:t xml:space="preserve"> סיכוני קיימות לתהליכי </w:t>
      </w:r>
      <w:r w:rsidRPr="001005F3">
        <w:rPr>
          <w:rtl/>
        </w:rPr>
        <w:t>השקעות</w:t>
      </w:r>
      <w:r w:rsidRPr="0036546B">
        <w:rPr>
          <w:sz w:val="24"/>
          <w:rtl/>
        </w:rPr>
        <w:t xml:space="preserve">. כמו כן לעניין הדיווח, חובות הדיווח הקיימות </w:t>
      </w:r>
      <w:r w:rsidRPr="0036546B">
        <w:rPr>
          <w:rFonts w:hint="eastAsia"/>
          <w:sz w:val="24"/>
          <w:rtl/>
        </w:rPr>
        <w:t>מצומצמות</w:t>
      </w:r>
      <w:r w:rsidRPr="0036546B">
        <w:rPr>
          <w:sz w:val="24"/>
          <w:rtl/>
        </w:rPr>
        <w:t xml:space="preserve"> </w:t>
      </w:r>
      <w:r w:rsidRPr="0036546B">
        <w:rPr>
          <w:rFonts w:hint="eastAsia"/>
          <w:sz w:val="24"/>
          <w:rtl/>
        </w:rPr>
        <w:t>וחלות</w:t>
      </w:r>
      <w:r w:rsidRPr="0036546B">
        <w:rPr>
          <w:sz w:val="24"/>
          <w:rtl/>
        </w:rPr>
        <w:t xml:space="preserve"> רק על סיכוני סביבה מהותיים לתאגידים </w:t>
      </w:r>
      <w:r w:rsidRPr="0036546B">
        <w:rPr>
          <w:rFonts w:ascii="David" w:hAnsi="David"/>
          <w:sz w:val="24"/>
          <w:rtl/>
        </w:rPr>
        <w:t xml:space="preserve">לפי פרט 28 בתוספת הראשונה לתקנות ניירות ערך (פרטי התשקיף וטיוטת תשקיף </w:t>
      </w:r>
      <w:r>
        <w:rPr>
          <w:rFonts w:ascii="David" w:hAnsi="David" w:hint="cs"/>
          <w:sz w:val="24"/>
          <w:rtl/>
        </w:rPr>
        <w:t>-</w:t>
      </w:r>
      <w:r w:rsidRPr="0036546B">
        <w:rPr>
          <w:rFonts w:ascii="David" w:hAnsi="David"/>
          <w:sz w:val="24"/>
          <w:rtl/>
        </w:rPr>
        <w:t xml:space="preserve"> מבנה וצורה), </w:t>
      </w:r>
      <w:r w:rsidRPr="00E761A5">
        <w:rPr>
          <w:rFonts w:ascii="David" w:hAnsi="David" w:hint="eastAsia"/>
          <w:sz w:val="24"/>
          <w:rtl/>
        </w:rPr>
        <w:t>ה</w:t>
      </w:r>
      <w:r w:rsidRPr="00E761A5">
        <w:rPr>
          <w:rFonts w:ascii="David" w:hAnsi="David"/>
          <w:sz w:val="24"/>
          <w:rtl/>
        </w:rPr>
        <w:t>ת</w:t>
      </w:r>
      <w:r w:rsidRPr="0036546B">
        <w:rPr>
          <w:rFonts w:ascii="David" w:hAnsi="David"/>
          <w:sz w:val="24"/>
          <w:rtl/>
        </w:rPr>
        <w:t xml:space="preserve">שכ"ט-1969, </w:t>
      </w:r>
      <w:r w:rsidRPr="0036546B">
        <w:rPr>
          <w:rFonts w:ascii="David" w:hAnsi="David" w:hint="eastAsia"/>
          <w:sz w:val="24"/>
          <w:rtl/>
        </w:rPr>
        <w:t>זאת</w:t>
      </w:r>
      <w:r w:rsidRPr="0036546B">
        <w:rPr>
          <w:rFonts w:ascii="David" w:hAnsi="David"/>
          <w:sz w:val="24"/>
          <w:rtl/>
        </w:rPr>
        <w:t xml:space="preserve"> </w:t>
      </w:r>
      <w:r>
        <w:rPr>
          <w:rFonts w:ascii="David" w:hAnsi="David" w:hint="cs"/>
          <w:sz w:val="24"/>
          <w:rtl/>
        </w:rPr>
        <w:t>אף</w:t>
      </w:r>
      <w:r w:rsidRPr="0036546B">
        <w:rPr>
          <w:rFonts w:ascii="David" w:hAnsi="David"/>
          <w:sz w:val="24"/>
          <w:rtl/>
        </w:rPr>
        <w:t xml:space="preserve"> </w:t>
      </w:r>
      <w:r w:rsidRPr="0036546B">
        <w:rPr>
          <w:rFonts w:ascii="David" w:hAnsi="David" w:hint="eastAsia"/>
          <w:sz w:val="24"/>
          <w:rtl/>
        </w:rPr>
        <w:t>שבעולם</w:t>
      </w:r>
      <w:r w:rsidRPr="0036546B">
        <w:rPr>
          <w:rFonts w:ascii="David" w:hAnsi="David"/>
          <w:sz w:val="24"/>
          <w:rtl/>
        </w:rPr>
        <w:t xml:space="preserve"> </w:t>
      </w:r>
      <w:r w:rsidRPr="0036546B">
        <w:rPr>
          <w:rFonts w:ascii="David" w:hAnsi="David" w:hint="eastAsia"/>
          <w:sz w:val="24"/>
          <w:rtl/>
        </w:rPr>
        <w:t>קיימות</w:t>
      </w:r>
      <w:r w:rsidRPr="0036546B">
        <w:rPr>
          <w:rFonts w:ascii="David" w:hAnsi="David"/>
          <w:sz w:val="24"/>
          <w:rtl/>
        </w:rPr>
        <w:t xml:space="preserve"> </w:t>
      </w:r>
      <w:r w:rsidRPr="0036546B">
        <w:rPr>
          <w:rFonts w:ascii="David" w:hAnsi="David" w:hint="eastAsia"/>
          <w:sz w:val="24"/>
          <w:rtl/>
        </w:rPr>
        <w:t>חובות</w:t>
      </w:r>
      <w:r w:rsidRPr="0036546B">
        <w:rPr>
          <w:rFonts w:ascii="David" w:hAnsi="David"/>
          <w:sz w:val="24"/>
          <w:rtl/>
        </w:rPr>
        <w:t xml:space="preserve"> </w:t>
      </w:r>
      <w:r w:rsidRPr="0036546B">
        <w:rPr>
          <w:rFonts w:ascii="David" w:hAnsi="David" w:hint="eastAsia"/>
          <w:sz w:val="24"/>
          <w:rtl/>
        </w:rPr>
        <w:t>גילוי</w:t>
      </w:r>
      <w:r w:rsidRPr="0036546B">
        <w:rPr>
          <w:rFonts w:ascii="David" w:hAnsi="David"/>
          <w:sz w:val="24"/>
          <w:rtl/>
        </w:rPr>
        <w:t xml:space="preserve"> </w:t>
      </w:r>
      <w:r w:rsidRPr="0036546B">
        <w:rPr>
          <w:rFonts w:ascii="David" w:hAnsi="David" w:hint="eastAsia"/>
          <w:sz w:val="24"/>
          <w:rtl/>
        </w:rPr>
        <w:t>רחבות</w:t>
      </w:r>
      <w:r w:rsidRPr="0036546B">
        <w:rPr>
          <w:rFonts w:ascii="David" w:hAnsi="David"/>
          <w:sz w:val="24"/>
          <w:rtl/>
        </w:rPr>
        <w:t xml:space="preserve"> </w:t>
      </w:r>
      <w:r w:rsidRPr="0036546B">
        <w:rPr>
          <w:rFonts w:ascii="David" w:hAnsi="David" w:hint="eastAsia"/>
          <w:sz w:val="24"/>
          <w:rtl/>
        </w:rPr>
        <w:t>יותר</w:t>
      </w:r>
      <w:r w:rsidRPr="0036546B">
        <w:rPr>
          <w:rFonts w:ascii="David" w:hAnsi="David"/>
          <w:sz w:val="24"/>
          <w:rtl/>
        </w:rPr>
        <w:t>.</w:t>
      </w:r>
    </w:p>
    <w:p w:rsidR="00F20E3F" w:rsidP="001005F3" w14:paraId="6E18AD76" w14:textId="77777777">
      <w:pPr>
        <w:pStyle w:val="7316"/>
      </w:pPr>
      <w:r>
        <w:rPr>
          <w:rFonts w:hint="cs"/>
          <w:rtl/>
        </w:rPr>
        <w:t xml:space="preserve">בתגובת הרשות לפערים היא ציינה כי בכל הנוגע לניהול סיכוני האקלים, הגופים </w:t>
      </w:r>
      <w:r>
        <w:rPr>
          <w:rtl/>
        </w:rPr>
        <w:t xml:space="preserve">המפוקחים נדרשים </w:t>
      </w:r>
      <w:r>
        <w:rPr>
          <w:rFonts w:hint="cs"/>
          <w:rtl/>
        </w:rPr>
        <w:t xml:space="preserve">רק </w:t>
      </w:r>
      <w:r w:rsidRPr="0036546B">
        <w:rPr>
          <w:rtl/>
        </w:rPr>
        <w:t>לבחון</w:t>
      </w:r>
      <w:r>
        <w:rPr>
          <w:rtl/>
        </w:rPr>
        <w:t xml:space="preserve"> אם עליהם ל</w:t>
      </w:r>
      <w:r>
        <w:rPr>
          <w:rFonts w:hint="cs"/>
          <w:rtl/>
        </w:rPr>
        <w:t>הביא</w:t>
      </w:r>
      <w:r>
        <w:rPr>
          <w:rtl/>
        </w:rPr>
        <w:t xml:space="preserve"> בחשבון שיקולי</w:t>
      </w:r>
      <w:r>
        <w:rPr>
          <w:rFonts w:hint="cs"/>
          <w:rtl/>
        </w:rPr>
        <w:t xml:space="preserve"> </w:t>
      </w:r>
      <w:r w:rsidRPr="001005F3">
        <w:t>ESG</w:t>
      </w:r>
      <w:r w:rsidRPr="001005F3">
        <w:rPr>
          <w:rtl/>
        </w:rPr>
        <w:t xml:space="preserve"> </w:t>
      </w:r>
      <w:r>
        <w:rPr>
          <w:rtl/>
        </w:rPr>
        <w:t xml:space="preserve">בניהול ובתיווך </w:t>
      </w:r>
      <w:r>
        <w:rPr>
          <w:rFonts w:hint="cs"/>
          <w:rtl/>
        </w:rPr>
        <w:t xml:space="preserve">של </w:t>
      </w:r>
      <w:r>
        <w:rPr>
          <w:rtl/>
        </w:rPr>
        <w:t xml:space="preserve">ההשקעות וכיצד לשקף זאת למשקיע </w:t>
      </w:r>
      <w:r>
        <w:rPr>
          <w:rFonts w:hint="cs"/>
          <w:rtl/>
        </w:rPr>
        <w:t>באופן</w:t>
      </w:r>
      <w:r>
        <w:rPr>
          <w:rtl/>
        </w:rPr>
        <w:t xml:space="preserve"> אפקטיבי ויעיל עבורו. </w:t>
      </w:r>
      <w:r>
        <w:rPr>
          <w:rFonts w:hint="cs"/>
          <w:rtl/>
        </w:rPr>
        <w:t xml:space="preserve">הרשות ציינה כי בשלב זה </w:t>
      </w:r>
      <w:r w:rsidRPr="00500AF2">
        <w:rPr>
          <w:rtl/>
        </w:rPr>
        <w:t>לשון ההוראה אינה מחייבת ל</w:t>
      </w:r>
      <w:r>
        <w:rPr>
          <w:rFonts w:hint="cs"/>
          <w:rtl/>
        </w:rPr>
        <w:t>הביא בחשבון</w:t>
      </w:r>
      <w:r w:rsidRPr="00500AF2">
        <w:rPr>
          <w:rtl/>
        </w:rPr>
        <w:t xml:space="preserve"> שיקולים כאמור, אלא בהתאם לעמדת הגורם, לאחר שמיצה תהליך בחינה מעמיק בנושא</w:t>
      </w:r>
      <w:r>
        <w:rPr>
          <w:rFonts w:hint="cs"/>
          <w:rtl/>
        </w:rPr>
        <w:t xml:space="preserve">, וזאת בשל "ראשוניות" הנושא ו"בוסריות הנושא באופן כללי בישראל". </w:t>
      </w:r>
    </w:p>
    <w:p w:rsidR="00F20E3F" w:rsidP="00C44928" w14:paraId="43C37FC1" w14:textId="77777777">
      <w:pPr>
        <w:pStyle w:val="734"/>
        <w:numPr>
          <w:ilvl w:val="0"/>
          <w:numId w:val="89"/>
        </w:numPr>
        <w:rPr>
          <w:rFonts w:ascii="David" w:hAnsi="David"/>
          <w:sz w:val="24"/>
        </w:rPr>
      </w:pPr>
      <w:r>
        <w:rPr>
          <w:rFonts w:hint="cs"/>
          <w:rtl/>
        </w:rPr>
        <w:t xml:space="preserve">לעניין עדכון </w:t>
      </w:r>
      <w:r w:rsidRPr="002E0FD1">
        <w:rPr>
          <w:rFonts w:hint="cs"/>
          <w:b/>
          <w:bCs/>
          <w:rtl/>
        </w:rPr>
        <w:t>דרישות הגילוי</w:t>
      </w:r>
      <w:r>
        <w:rPr>
          <w:rFonts w:hint="cs"/>
          <w:b/>
          <w:bCs/>
          <w:rtl/>
        </w:rPr>
        <w:t xml:space="preserve"> </w:t>
      </w:r>
      <w:r w:rsidRPr="00A5714E">
        <w:rPr>
          <w:rFonts w:hint="cs"/>
          <w:rtl/>
        </w:rPr>
        <w:t>של חברות ציבוריות</w:t>
      </w:r>
      <w:r>
        <w:rPr>
          <w:rFonts w:hint="cs"/>
          <w:rtl/>
        </w:rPr>
        <w:t xml:space="preserve"> והיותן וולונטריות כתבה הרשות כי "אנו לא רואים מקום להבחין בין חברות ציבוריות ופרטיות, במישור של גילוי אודות אחריות תאגידית. ועל כן לפי שעה אנו לא רואים מקום לקבוע כי חברות ציבוריות, כולן או חלקן, נדרשות לפרסם דוחות אחריות תאגידית"; וכי</w:t>
      </w:r>
      <w:r w:rsidRPr="000100D6">
        <w:rPr>
          <w:rFonts w:ascii="David" w:hAnsi="David" w:hint="cs"/>
          <w:sz w:val="24"/>
          <w:rtl/>
        </w:rPr>
        <w:t xml:space="preserve"> </w:t>
      </w:r>
      <w:r>
        <w:rPr>
          <w:rFonts w:ascii="David" w:hAnsi="David" w:hint="cs"/>
          <w:sz w:val="24"/>
          <w:rtl/>
        </w:rPr>
        <w:t>נכון ליולי 2023, רק 39 חברות ציבוריות מתוך 558 חברות ציבוריות פרסמו דוחות אחריות תאגידית באתר ייעודי שהקימה הרשות לעניין זה.</w:t>
      </w:r>
      <w:r w:rsidRPr="00E44353">
        <w:rPr>
          <w:rStyle w:val="EndnoteReference"/>
          <w:rFonts w:ascii="David" w:hAnsi="David"/>
          <w:sz w:val="24"/>
          <w:rtl/>
        </w:rPr>
        <w:t xml:space="preserve"> </w:t>
      </w:r>
    </w:p>
    <w:p w:rsidR="00F20E3F" w:rsidRPr="001005F3" w:rsidP="001005F3" w14:paraId="3E08DA91" w14:textId="77777777">
      <w:pPr>
        <w:pStyle w:val="7392"/>
        <w:rPr>
          <w:rtl/>
        </w:rPr>
      </w:pPr>
      <w:r w:rsidRPr="001005F3">
        <w:rPr>
          <w:rFonts w:hint="cs"/>
          <w:rtl/>
        </w:rPr>
        <w:t xml:space="preserve">רשות ניירות ערך מסרה בתשובתה למשרד מבקר המדינה מאוגוסט 2023 כי לעמדתה </w:t>
      </w:r>
      <w:r w:rsidRPr="001005F3">
        <w:rPr>
          <w:rtl/>
        </w:rPr>
        <w:t xml:space="preserve">הצעדים </w:t>
      </w:r>
      <w:r w:rsidRPr="001005F3">
        <w:rPr>
          <w:rFonts w:hint="cs"/>
          <w:rtl/>
        </w:rPr>
        <w:t>ש</w:t>
      </w:r>
      <w:r w:rsidRPr="001005F3">
        <w:rPr>
          <w:rtl/>
        </w:rPr>
        <w:t>היא נקטה תורמים ומסייעים לקידום אפקטיבי</w:t>
      </w:r>
      <w:r w:rsidRPr="001005F3">
        <w:rPr>
          <w:rFonts w:hint="cs"/>
          <w:rtl/>
        </w:rPr>
        <w:t xml:space="preserve"> </w:t>
      </w:r>
      <w:r w:rsidRPr="001005F3">
        <w:rPr>
          <w:rtl/>
        </w:rPr>
        <w:t>של מדיניות השקעות המביאה בחשבון סיכוני אקלים</w:t>
      </w:r>
      <w:r w:rsidRPr="001005F3">
        <w:rPr>
          <w:rFonts w:hint="cs"/>
          <w:rtl/>
        </w:rPr>
        <w:t>, ו</w:t>
      </w:r>
      <w:r w:rsidRPr="001005F3">
        <w:rPr>
          <w:rtl/>
        </w:rPr>
        <w:t>לשיח הציבורי</w:t>
      </w:r>
      <w:r w:rsidRPr="001005F3">
        <w:rPr>
          <w:rFonts w:hint="cs"/>
          <w:rtl/>
        </w:rPr>
        <w:t xml:space="preserve"> </w:t>
      </w:r>
      <w:r w:rsidRPr="001005F3">
        <w:rPr>
          <w:rtl/>
        </w:rPr>
        <w:t>בנושא</w:t>
      </w:r>
      <w:r w:rsidRPr="001005F3">
        <w:rPr>
          <w:rFonts w:hint="cs"/>
          <w:rtl/>
        </w:rPr>
        <w:t xml:space="preserve">. עוד ציינה הרשות כי המתווה שהיא קידמה הביא לכך ש-48 </w:t>
      </w:r>
      <w:r w:rsidRPr="001005F3">
        <w:rPr>
          <w:rtl/>
        </w:rPr>
        <w:t>חברות מפרסמות דוחות אחריות תאגידי</w:t>
      </w:r>
      <w:r w:rsidRPr="001005F3">
        <w:rPr>
          <w:rFonts w:hint="cs"/>
          <w:rtl/>
        </w:rPr>
        <w:t xml:space="preserve">ת אשר מבוססים על קריטריונים בין-לאומיים כמו </w:t>
      </w:r>
      <w:r w:rsidRPr="001005F3">
        <w:rPr>
          <w:rFonts w:hint="cs"/>
        </w:rPr>
        <w:t>GRI</w:t>
      </w:r>
      <w:r w:rsidRPr="001005F3">
        <w:rPr>
          <w:rFonts w:hint="cs"/>
          <w:rtl/>
        </w:rPr>
        <w:t xml:space="preserve"> ו-</w:t>
      </w:r>
      <w:r w:rsidRPr="001005F3">
        <w:rPr>
          <w:rFonts w:hint="cs"/>
        </w:rPr>
        <w:t>SASB</w:t>
      </w:r>
      <w:r>
        <w:rPr>
          <w:vertAlign w:val="superscript"/>
          <w:rtl/>
        </w:rPr>
        <w:footnoteReference w:id="144"/>
      </w:r>
      <w:r w:rsidRPr="001005F3">
        <w:rPr>
          <w:rFonts w:hint="cs"/>
          <w:rtl/>
        </w:rPr>
        <w:t xml:space="preserve">. </w:t>
      </w:r>
    </w:p>
    <w:p w:rsidR="00F20E3F" w:rsidRPr="001005F3" w:rsidP="001005F3" w14:paraId="74B5C324" w14:textId="77777777">
      <w:pPr>
        <w:pStyle w:val="7392"/>
        <w:rPr>
          <w:rtl/>
        </w:rPr>
      </w:pPr>
      <w:r w:rsidRPr="001005F3">
        <w:rPr>
          <w:rFonts w:hint="cs"/>
          <w:rtl/>
        </w:rPr>
        <w:t xml:space="preserve">עוד כתבה הרשות כי מטרת ההוראה נועדה להניע לראשונה מנהלי קרנות ואת בעלי הרישיון הגדולים לבחון את עמדתם ביחס לשיקולי </w:t>
      </w:r>
      <w:r w:rsidRPr="001005F3">
        <w:rPr>
          <w:rFonts w:hint="cs"/>
        </w:rPr>
        <w:t>ESG</w:t>
      </w:r>
      <w:r w:rsidRPr="001005F3">
        <w:rPr>
          <w:rFonts w:hint="cs"/>
          <w:rtl/>
        </w:rPr>
        <w:t xml:space="preserve">, ולכן </w:t>
      </w:r>
      <w:r w:rsidRPr="001005F3">
        <w:rPr>
          <w:rtl/>
        </w:rPr>
        <w:t>לשון ההוראה אינה מחייבת לקיחת שיקולי</w:t>
      </w:r>
      <w:r w:rsidRPr="001005F3">
        <w:rPr>
          <w:rFonts w:hint="cs"/>
          <w:rtl/>
        </w:rPr>
        <w:t xml:space="preserve"> אקלים אלא מחייבת בחינה של הנושא בפעילותם השוטפת</w:t>
      </w:r>
      <w:r w:rsidRPr="001005F3">
        <w:rPr>
          <w:rtl/>
        </w:rPr>
        <w:t>.</w:t>
      </w:r>
    </w:p>
    <w:p w:rsidR="00F20E3F" w:rsidRPr="001005F3" w:rsidP="001005F3" w14:paraId="7C0C2D71" w14:textId="77777777">
      <w:pPr>
        <w:pStyle w:val="7392"/>
        <w:rPr>
          <w:rtl/>
        </w:rPr>
      </w:pPr>
      <w:r w:rsidRPr="001005F3">
        <w:rPr>
          <w:rFonts w:hint="cs"/>
          <w:rtl/>
        </w:rPr>
        <w:t xml:space="preserve">הרשות ציינה בתשובתה קושי משפטי שעלה בדוח הקודם, בדבר </w:t>
      </w:r>
      <w:r w:rsidRPr="001005F3">
        <w:rPr>
          <w:rtl/>
        </w:rPr>
        <w:t>ה</w:t>
      </w:r>
      <w:r w:rsidRPr="001005F3">
        <w:rPr>
          <w:rFonts w:hint="cs"/>
          <w:rtl/>
        </w:rPr>
        <w:t>י</w:t>
      </w:r>
      <w:r w:rsidRPr="001005F3">
        <w:rPr>
          <w:rtl/>
        </w:rPr>
        <w:t>עדר יכולת</w:t>
      </w:r>
      <w:r w:rsidRPr="001005F3">
        <w:rPr>
          <w:rFonts w:hint="cs"/>
          <w:rtl/>
        </w:rPr>
        <w:t>ה לקבוע כללים (</w:t>
      </w:r>
      <w:r w:rsidRPr="001005F3">
        <w:t>Rule-Making Power</w:t>
      </w:r>
      <w:r w:rsidRPr="001005F3">
        <w:rPr>
          <w:rFonts w:hint="cs"/>
          <w:rtl/>
        </w:rPr>
        <w:t>), זאת "</w:t>
      </w:r>
      <w:r w:rsidRPr="001005F3">
        <w:rPr>
          <w:rtl/>
        </w:rPr>
        <w:t xml:space="preserve">בניגוד למקובל ברשויות ניירות ערך אחרות בעולם, </w:t>
      </w:r>
      <w:r w:rsidRPr="001005F3">
        <w:rPr>
          <w:rFonts w:hint="cs"/>
          <w:rtl/>
        </w:rPr>
        <w:t xml:space="preserve">[ואשר] </w:t>
      </w:r>
      <w:r w:rsidRPr="001005F3">
        <w:rPr>
          <w:rtl/>
        </w:rPr>
        <w:t>מעיב על יכולתה לעצב רגולציה בתחום. כך,</w:t>
      </w:r>
      <w:r w:rsidRPr="001005F3">
        <w:rPr>
          <w:rFonts w:hint="cs"/>
          <w:rtl/>
        </w:rPr>
        <w:t xml:space="preserve"> </w:t>
      </w:r>
      <w:r w:rsidRPr="001005F3">
        <w:rPr>
          <w:rtl/>
        </w:rPr>
        <w:t>גם אם הייתה סבורה הרשות כי יש מקום ליישם מתווה גילוי מנדטורי, חלף זה הוולונטרי, הרי</w:t>
      </w:r>
      <w:r w:rsidRPr="001005F3">
        <w:rPr>
          <w:rFonts w:hint="cs"/>
          <w:rtl/>
        </w:rPr>
        <w:t xml:space="preserve"> </w:t>
      </w:r>
      <w:r w:rsidRPr="001005F3">
        <w:rPr>
          <w:rtl/>
        </w:rPr>
        <w:t>שאין בידיה הסמכות לעשות כן, ויישום מתווה גילוי מנדטורי אפשרי רק בכפוף לתיקון חקיקת</w:t>
      </w:r>
      <w:r w:rsidRPr="001005F3">
        <w:rPr>
          <w:rFonts w:hint="cs"/>
          <w:rtl/>
        </w:rPr>
        <w:t xml:space="preserve"> </w:t>
      </w:r>
      <w:r w:rsidRPr="001005F3">
        <w:rPr>
          <w:rtl/>
        </w:rPr>
        <w:t xml:space="preserve">משנה </w:t>
      </w:r>
      <w:r w:rsidRPr="001005F3">
        <w:rPr>
          <w:rFonts w:hint="cs"/>
          <w:rtl/>
        </w:rPr>
        <w:t>(</w:t>
      </w:r>
      <w:r w:rsidRPr="001005F3">
        <w:rPr>
          <w:rtl/>
        </w:rPr>
        <w:t>תקנות שהותקנו מכוח חוק ניירות ערך</w:t>
      </w:r>
      <w:r w:rsidRPr="001005F3">
        <w:rPr>
          <w:rFonts w:hint="cs"/>
          <w:rtl/>
        </w:rPr>
        <w:t>)</w:t>
      </w:r>
      <w:r w:rsidRPr="001005F3">
        <w:rPr>
          <w:rtl/>
        </w:rPr>
        <w:t xml:space="preserve">, </w:t>
      </w:r>
      <w:r w:rsidRPr="001005F3">
        <w:rPr>
          <w:rtl/>
        </w:rPr>
        <w:t>התשכ"ח</w:t>
      </w:r>
      <w:r w:rsidRPr="001005F3">
        <w:rPr>
          <w:rtl/>
        </w:rPr>
        <w:t>- 1968</w:t>
      </w:r>
      <w:r w:rsidRPr="001005F3">
        <w:rPr>
          <w:rFonts w:hint="cs"/>
          <w:rtl/>
        </w:rPr>
        <w:t>".</w:t>
      </w:r>
    </w:p>
    <w:p w:rsidR="00F20E3F" w:rsidRPr="001E2E5A" w:rsidP="001E2E5A" w14:paraId="7A384182" w14:textId="0CF4E973">
      <w:pPr>
        <w:pStyle w:val="7317"/>
        <w:rPr>
          <w:rtl/>
        </w:rPr>
      </w:pPr>
      <w:r w:rsidRPr="001E2E5A">
        <w:rPr>
          <w:rFonts w:hint="cs"/>
          <w:rtl/>
        </w:rPr>
        <w:t>בדוח הקודם עלה</w:t>
      </w:r>
      <w:r w:rsidRPr="001E2E5A">
        <w:rPr>
          <w:rtl/>
        </w:rPr>
        <w:t xml:space="preserve"> </w:t>
      </w:r>
      <w:r w:rsidRPr="001E2E5A">
        <w:rPr>
          <w:rFonts w:hint="cs"/>
          <w:rtl/>
        </w:rPr>
        <w:t xml:space="preserve">כי המתכונת של </w:t>
      </w:r>
      <w:r w:rsidRPr="001E2E5A">
        <w:rPr>
          <w:rtl/>
        </w:rPr>
        <w:t xml:space="preserve">גילויי </w:t>
      </w:r>
      <w:r w:rsidRPr="001E2E5A">
        <w:t>ESG</w:t>
      </w:r>
      <w:r w:rsidRPr="001E2E5A">
        <w:rPr>
          <w:rtl/>
        </w:rPr>
        <w:t xml:space="preserve"> שפרסמה </w:t>
      </w:r>
      <w:r w:rsidRPr="001E2E5A">
        <w:rPr>
          <w:rFonts w:hint="cs"/>
          <w:rtl/>
        </w:rPr>
        <w:t>ה</w:t>
      </w:r>
      <w:r w:rsidRPr="001E2E5A">
        <w:rPr>
          <w:rtl/>
        </w:rPr>
        <w:t xml:space="preserve">רשות לא מבדלת את האקלים מיתר שיקולי </w:t>
      </w:r>
      <w:r w:rsidRPr="001E2E5A">
        <w:t>ESG</w:t>
      </w:r>
      <w:r w:rsidRPr="001953E4" w:rsidR="001953E4">
        <w:rPr>
          <w:rtl/>
        </w:rPr>
        <w:t xml:space="preserve"> של החברות המפוקחות על ידי הרשות</w:t>
      </w:r>
      <w:r w:rsidR="001953E4">
        <w:rPr>
          <w:rFonts w:hint="cs"/>
          <w:rtl/>
        </w:rPr>
        <w:t>.</w:t>
      </w:r>
      <w:r w:rsidRPr="001E2E5A">
        <w:rPr>
          <w:rtl/>
        </w:rPr>
        <w:t xml:space="preserve"> כמו כן מתכונת וולונטרית של גילוי </w:t>
      </w:r>
      <w:r w:rsidRPr="001E2E5A">
        <w:t>ESG</w:t>
      </w:r>
      <w:r w:rsidRPr="001E2E5A">
        <w:rPr>
          <w:rtl/>
        </w:rPr>
        <w:t xml:space="preserve"> והיכולת</w:t>
      </w:r>
      <w:r w:rsidR="001953E4">
        <w:rPr>
          <w:rFonts w:hint="cs"/>
          <w:rtl/>
        </w:rPr>
        <w:t xml:space="preserve"> שלהן</w:t>
      </w:r>
      <w:r w:rsidRPr="001E2E5A">
        <w:rPr>
          <w:rtl/>
        </w:rPr>
        <w:t xml:space="preserve"> לדווח בפורמטים שונים מובילות לכך ששיקול הדעת בנוגע לקיום הגילוי, המידע שיכלול, </w:t>
      </w:r>
      <w:r w:rsidRPr="001E2E5A">
        <w:rPr>
          <w:rFonts w:hint="cs"/>
          <w:rtl/>
        </w:rPr>
        <w:t>תדירותו</w:t>
      </w:r>
      <w:r w:rsidRPr="001E2E5A">
        <w:rPr>
          <w:rtl/>
        </w:rPr>
        <w:t xml:space="preserve"> </w:t>
      </w:r>
      <w:r w:rsidRPr="001E2E5A">
        <w:rPr>
          <w:rFonts w:hint="cs"/>
          <w:rtl/>
        </w:rPr>
        <w:t>ו</w:t>
      </w:r>
      <w:r w:rsidRPr="001E2E5A">
        <w:rPr>
          <w:rtl/>
        </w:rPr>
        <w:t>מתכונתו יישארו בידי החברות עצמן</w:t>
      </w:r>
      <w:r w:rsidRPr="001E2E5A">
        <w:rPr>
          <w:rFonts w:hint="cs"/>
          <w:rtl/>
        </w:rPr>
        <w:t xml:space="preserve">. ביקורת המעקב העלתה שאין התקדמות ניכרת מאז הדוח הקודם, והמלצת הרשות בדבר בחינת הרלוונטיות של סיכוני </w:t>
      </w:r>
      <w:r w:rsidRPr="001E2E5A">
        <w:rPr>
          <w:rFonts w:hint="cs"/>
        </w:rPr>
        <w:t>ESG</w:t>
      </w:r>
      <w:r w:rsidRPr="001E2E5A">
        <w:rPr>
          <w:rFonts w:hint="cs"/>
          <w:rtl/>
        </w:rPr>
        <w:t xml:space="preserve"> בתהליכי ההשקעות עודנה וולונטרית וכללית באופן שמעניק שיקול דעת נרחב לגופים מפוקחים אם לבצע בחינה זו וכיצד, בלי פירוט מספק וללא סטנדרטיזציה של הנושא וכן ללא בידול נושא האקלים מיתר נושאי ה-</w:t>
      </w:r>
      <w:r w:rsidRPr="001E2E5A">
        <w:rPr>
          <w:rFonts w:hint="cs"/>
        </w:rPr>
        <w:t>ESG</w:t>
      </w:r>
      <w:r w:rsidRPr="001E2E5A">
        <w:rPr>
          <w:rFonts w:hint="cs"/>
          <w:rtl/>
        </w:rPr>
        <w:t xml:space="preserve">. עוד נמצא כי נכון ליולי 2023, כשנתיים לאחר פרסום המלצות הרשות בעניין, רק 48 מתוך 558 (כ-9%) חברות ציבוריות מפרסמות דיווח </w:t>
      </w:r>
      <w:r w:rsidRPr="001E2E5A">
        <w:rPr>
          <w:rFonts w:hint="cs"/>
        </w:rPr>
        <w:t>ESG</w:t>
      </w:r>
      <w:r w:rsidRPr="001E2E5A">
        <w:rPr>
          <w:rFonts w:hint="cs"/>
          <w:rtl/>
        </w:rPr>
        <w:t xml:space="preserve"> באתר הייעודי לעניין - חלקן עשו כן לפני פרסום המלצות הרשות או ללא קשר להן, בין משום שמדובר בבנקים המחויבים לעשות כן ממילא, או משום שמדובר בחברות בין-לאומיות המקיימות דרישות רגולטוריות מחו"ל. מכאן שאפקטיביות האסדרה הוולונטרית מוטלת בספק. </w:t>
      </w:r>
    </w:p>
    <w:p w:rsidR="00F20E3F" w:rsidRPr="001E2E5A" w:rsidP="001E2E5A" w14:paraId="5B360300" w14:textId="77777777">
      <w:pPr>
        <w:pStyle w:val="7317"/>
        <w:rPr>
          <w:rtl/>
        </w:rPr>
      </w:pPr>
      <w:r w:rsidRPr="001E2E5A">
        <w:rPr>
          <w:rFonts w:hint="cs"/>
          <w:rtl/>
        </w:rPr>
        <w:t xml:space="preserve">משרד מבקר המדינה מציין את הוראת רשות ניירות ערך </w:t>
      </w:r>
      <w:r w:rsidRPr="001E2E5A">
        <w:rPr>
          <w:rtl/>
        </w:rPr>
        <w:t>למנהלי קרנות ולבעלי רישיון גדולים</w:t>
      </w:r>
      <w:r w:rsidRPr="001E2E5A">
        <w:rPr>
          <w:rFonts w:hint="cs"/>
          <w:rtl/>
        </w:rPr>
        <w:t xml:space="preserve"> בדבר בחינתם אם לשקול שיקולי </w:t>
      </w:r>
      <w:r w:rsidRPr="001E2E5A">
        <w:rPr>
          <w:rFonts w:hint="cs"/>
        </w:rPr>
        <w:t>ESG</w:t>
      </w:r>
      <w:r w:rsidRPr="001E2E5A">
        <w:rPr>
          <w:rFonts w:hint="cs"/>
          <w:rtl/>
        </w:rPr>
        <w:t xml:space="preserve">, ואולם גם כאן הדבר נותר ברמה הוולונטרית. </w:t>
      </w:r>
    </w:p>
    <w:p w:rsidR="00F20E3F" w:rsidRPr="001E2E5A" w:rsidP="001E2E5A" w14:paraId="421DEAB2" w14:textId="77777777">
      <w:pPr>
        <w:pStyle w:val="7317"/>
        <w:rPr>
          <w:rtl/>
        </w:rPr>
      </w:pPr>
      <w:r w:rsidRPr="001E2E5A">
        <w:rPr>
          <w:rFonts w:hint="cs"/>
          <w:rtl/>
        </w:rPr>
        <w:t>מוצע כי רשות ניירות ערך תבחן אם המלצות גילוי ה-</w:t>
      </w:r>
      <w:r w:rsidRPr="001E2E5A">
        <w:rPr>
          <w:rFonts w:hint="cs"/>
        </w:rPr>
        <w:t>ESG</w:t>
      </w:r>
      <w:r w:rsidRPr="001E2E5A">
        <w:rPr>
          <w:rFonts w:hint="cs"/>
          <w:rtl/>
        </w:rPr>
        <w:t xml:space="preserve"> לחברות ציבוריות וכן ההנחיה לבחון שיקולי </w:t>
      </w:r>
      <w:r w:rsidRPr="001E2E5A">
        <w:rPr>
          <w:rFonts w:hint="cs"/>
        </w:rPr>
        <w:t>ESG</w:t>
      </w:r>
      <w:r w:rsidRPr="001E2E5A">
        <w:rPr>
          <w:rFonts w:hint="cs"/>
          <w:rtl/>
        </w:rPr>
        <w:t xml:space="preserve"> ולדווח על כך </w:t>
      </w:r>
      <w:r w:rsidRPr="001E2E5A">
        <w:rPr>
          <w:rtl/>
        </w:rPr>
        <w:t xml:space="preserve">למנהלי קרנות ולבעלי רישיון גדולים </w:t>
      </w:r>
      <w:r w:rsidRPr="001E2E5A">
        <w:rPr>
          <w:rFonts w:hint="cs"/>
          <w:rtl/>
        </w:rPr>
        <w:t xml:space="preserve">מספקות לצורך קידום אפקטיבי של מדיניות השקעות המביאה בחשבון סיכוני אקלים, בחינה של הדרכים שיאפשרו מעבר לחובת דיווח (במקום באופן וולונטרי), </w:t>
      </w:r>
      <w:r w:rsidRPr="001E2E5A">
        <w:rPr>
          <w:rtl/>
        </w:rPr>
        <w:t>ו</w:t>
      </w:r>
      <w:r w:rsidRPr="001E2E5A">
        <w:rPr>
          <w:rFonts w:hint="cs"/>
          <w:rtl/>
        </w:rPr>
        <w:t xml:space="preserve">תבחן </w:t>
      </w:r>
      <w:r w:rsidRPr="001E2E5A">
        <w:rPr>
          <w:rtl/>
        </w:rPr>
        <w:t>באיזה אופן ניתן לקבוע למפוקחים שלה סטנדרטים לעניין זה</w:t>
      </w:r>
      <w:r w:rsidRPr="001E2E5A">
        <w:rPr>
          <w:rFonts w:hint="cs"/>
          <w:rtl/>
        </w:rPr>
        <w:t xml:space="preserve"> - העומדים בשורה אחת עם הפרקטיקה הנוהגת בעניינים אלו במדינות אחרות ובהתבסס על התקינה הבין-לאומית החדשה בעניין. לאור פרסום </w:t>
      </w:r>
      <w:r w:rsidRPr="001E2E5A">
        <w:rPr>
          <w:rtl/>
        </w:rPr>
        <w:t>הסטנדרטים לדיווח בנושא קיימות ואקלים של ה-</w:t>
      </w:r>
      <w:r w:rsidRPr="001E2E5A">
        <w:t>IFRS</w:t>
      </w:r>
      <w:r w:rsidRPr="001E2E5A">
        <w:rPr>
          <w:rFonts w:hint="cs"/>
          <w:rtl/>
        </w:rPr>
        <w:t xml:space="preserve"> ביוני 2023, מומלץ כי הרשות תפעל להטמעתם בקרב הגופים שבאחריותה</w:t>
      </w:r>
      <w:r>
        <w:rPr>
          <w:rStyle w:val="FootnoteReference2"/>
          <w:rtl/>
        </w:rPr>
        <w:footnoteReference w:id="145"/>
      </w:r>
      <w:r w:rsidRPr="001E2E5A">
        <w:rPr>
          <w:rFonts w:hint="cs"/>
          <w:rtl/>
        </w:rPr>
        <w:t xml:space="preserve">. </w:t>
      </w:r>
    </w:p>
    <w:p w:rsidR="00F20E3F" w:rsidRPr="001E2E5A" w:rsidP="001E2E5A" w14:paraId="10C18463" w14:textId="77777777">
      <w:pPr>
        <w:pStyle w:val="719"/>
        <w:rPr>
          <w:rtl/>
        </w:rPr>
      </w:pPr>
      <w:r w:rsidRPr="001E2E5A">
        <w:rPr>
          <w:rFonts w:hint="cs"/>
          <w:rtl/>
        </w:rPr>
        <w:t xml:space="preserve">לעניין חובות הגילוי מסרה רשות ניירות ערך בתשובתה כי יש חסרונות לצד היתרונות, ויש לבחון גם את השפעות הטלת חובת גילוי שלא באופן וולונטרי. הרשות כתבה בעניין זה כי </w:t>
      </w:r>
      <w:r w:rsidRPr="001E2E5A">
        <w:rPr>
          <w:rtl/>
        </w:rPr>
        <w:t>המחלקה לביקורת והערכה ברשות נמצאת בעיצומה של</w:t>
      </w:r>
      <w:r w:rsidRPr="001E2E5A">
        <w:rPr>
          <w:rFonts w:hint="cs"/>
          <w:rtl/>
        </w:rPr>
        <w:t xml:space="preserve"> </w:t>
      </w:r>
      <w:r w:rsidRPr="001E2E5A">
        <w:rPr>
          <w:rtl/>
        </w:rPr>
        <w:t xml:space="preserve">ביקורת רוחב בנושא "סיכוני סביבה בתאגיד מדווח היבטי הערכה, גילוי וטיפול" במדגם רחב של חברות ציבוריות </w:t>
      </w:r>
      <w:r w:rsidRPr="001E2E5A">
        <w:rPr>
          <w:rFonts w:hint="cs"/>
          <w:rtl/>
        </w:rPr>
        <w:t xml:space="preserve">שצפויה להסתיים עד תום ינואר 2024. ממצאי בדיקה יאפשרו לרשות ללמוד </w:t>
      </w:r>
      <w:r w:rsidRPr="001E2E5A">
        <w:rPr>
          <w:rtl/>
        </w:rPr>
        <w:t>על תהליך הגילוי והדיווח של החברות הציבוריות בכל הקשור לסיכוני</w:t>
      </w:r>
      <w:r w:rsidRPr="001E2E5A">
        <w:rPr>
          <w:rFonts w:hint="cs"/>
          <w:rtl/>
        </w:rPr>
        <w:t xml:space="preserve"> </w:t>
      </w:r>
      <w:r w:rsidRPr="001E2E5A">
        <w:rPr>
          <w:rtl/>
        </w:rPr>
        <w:t xml:space="preserve">סביבה וכן על מידת יישום הדין בהקשרים אלו, </w:t>
      </w:r>
      <w:r w:rsidRPr="001E2E5A">
        <w:rPr>
          <w:rFonts w:hint="cs"/>
          <w:rtl/>
        </w:rPr>
        <w:t>וכן</w:t>
      </w:r>
      <w:r w:rsidRPr="001E2E5A">
        <w:rPr>
          <w:rtl/>
        </w:rPr>
        <w:t xml:space="preserve"> על השאלה אם יש צורך בעדכון כלשהו של דרישת הגילוי על סיכונים סביבתיים</w:t>
      </w:r>
      <w:r w:rsidRPr="001E2E5A">
        <w:rPr>
          <w:rFonts w:hint="cs"/>
          <w:rtl/>
        </w:rPr>
        <w:t xml:space="preserve">. עוד ציינה הרשות כי יש לבחון את </w:t>
      </w:r>
      <w:r w:rsidRPr="001E2E5A">
        <w:rPr>
          <w:rFonts w:hint="cs"/>
          <w:rtl/>
        </w:rPr>
        <w:t>הסוגיה</w:t>
      </w:r>
      <w:r w:rsidRPr="001E2E5A">
        <w:rPr>
          <w:rFonts w:hint="cs"/>
          <w:rtl/>
        </w:rPr>
        <w:t xml:space="preserve"> בצורה כוללת שתביא בחשבון את הפערים הקיימים בחקיקה הסביבתית. </w:t>
      </w:r>
    </w:p>
    <w:p w:rsidR="00FB13B2" w:rsidRPr="00363CE5" w:rsidP="00FB13B2" w14:paraId="7DE1DF40" w14:textId="4C8F555A">
      <w:pPr>
        <w:pStyle w:val="0-"/>
        <w:rPr>
          <w:rtl/>
        </w:rPr>
      </w:pPr>
      <w:r w:rsidRPr="00363CE5">
        <w:rPr>
          <w:rFonts w:hint="cs"/>
          <w:rtl/>
        </w:rPr>
        <w:t>מידת תיקון הליקוי</w:t>
      </w:r>
    </w:p>
    <w:p w:rsidR="00FB13B2" w:rsidRPr="00363CE5" w:rsidP="00FB13B2" w14:paraId="5D3E968E" w14:textId="77777777">
      <w:pPr>
        <w:spacing w:before="240" w:after="360"/>
        <w:jc w:val="center"/>
        <w:rPr>
          <w:rtl/>
        </w:rPr>
      </w:pPr>
      <w:r>
        <w:rPr>
          <w:noProof/>
          <w:rtl/>
          <w:lang w:val="he-IL"/>
        </w:rPr>
        <w:drawing>
          <wp:inline distT="0" distB="0" distL="0" distR="0">
            <wp:extent cx="3962400" cy="794631"/>
            <wp:effectExtent l="0" t="0" r="0" b="0"/>
            <wp:docPr id="85574675" name="תמונה 85574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05550" name="תמונה 160439327"/>
                    <pic:cNvPicPr/>
                  </pic:nvPicPr>
                  <pic:blipFill>
                    <a:blip xmlns:r="http://schemas.openxmlformats.org/officeDocument/2006/relationships" r:embed="rId57">
                      <a:extLst>
                        <a:ext xmlns:a="http://schemas.openxmlformats.org/drawingml/2006/main" uri="{28A0092B-C50C-407E-A947-70E740481C1C}">
                          <a14:useLocalDpi xmlns:a14="http://schemas.microsoft.com/office/drawing/2010/main" val="0"/>
                        </a:ext>
                      </a:extLst>
                    </a:blip>
                    <a:stretch>
                      <a:fillRect/>
                    </a:stretch>
                  </pic:blipFill>
                  <pic:spPr>
                    <a:xfrm>
                      <a:off x="0" y="0"/>
                      <a:ext cx="4069328" cy="816075"/>
                    </a:xfrm>
                    <a:prstGeom prst="rect">
                      <a:avLst/>
                    </a:prstGeom>
                  </pic:spPr>
                </pic:pic>
              </a:graphicData>
            </a:graphic>
          </wp:inline>
        </w:drawing>
      </w:r>
    </w:p>
    <w:p w:rsidR="00F20E3F" w:rsidRPr="00A91180" w:rsidP="007B7A97" w14:paraId="5E45F541" w14:textId="38529147">
      <w:pPr>
        <w:pStyle w:val="73414"/>
        <w:rPr>
          <w:rtl/>
        </w:rPr>
      </w:pPr>
      <w:r w:rsidRPr="009B21D9">
        <w:rPr>
          <w:rtl/>
        </w:rPr>
        <w:t>רשות שוק ההון</w:t>
      </w:r>
      <w:r w:rsidRPr="001636F8">
        <w:rPr>
          <w:rtl/>
        </w:rPr>
        <w:t xml:space="preserve"> </w:t>
      </w:r>
      <w:r w:rsidRPr="009B21D9">
        <w:rPr>
          <w:rtl/>
        </w:rPr>
        <w:t>ו</w:t>
      </w:r>
      <w:r>
        <w:rPr>
          <w:rFonts w:hint="cs"/>
          <w:rtl/>
        </w:rPr>
        <w:t>היערכותה ל</w:t>
      </w:r>
      <w:r w:rsidRPr="009B21D9">
        <w:rPr>
          <w:rtl/>
        </w:rPr>
        <w:t>סיכוני אקלים</w:t>
      </w:r>
    </w:p>
    <w:p w:rsidR="00F20E3F" w:rsidRPr="00426037" w:rsidP="004A5124" w14:paraId="444BD7A3" w14:textId="77777777">
      <w:pPr>
        <w:pStyle w:val="73120"/>
        <w:rPr>
          <w:rtl/>
        </w:rPr>
      </w:pPr>
      <w:r w:rsidRPr="00426037">
        <w:rPr>
          <w:rtl/>
        </w:rPr>
        <w:t>הדוח הקודם</w:t>
      </w:r>
    </w:p>
    <w:p w:rsidR="00F20E3F" w:rsidRPr="00426037" w:rsidP="00426037" w14:paraId="2C9C6AE6" w14:textId="77777777">
      <w:pPr>
        <w:pStyle w:val="7392"/>
        <w:rPr>
          <w:rtl/>
        </w:rPr>
      </w:pPr>
      <w:r w:rsidRPr="00426037">
        <w:rPr>
          <w:rStyle w:val="7"/>
          <w:rFonts w:eastAsiaTheme="minorHAnsi" w:hint="eastAsia"/>
          <w:b/>
          <w:color w:val="0073C3"/>
          <w:spacing w:val="0"/>
          <w:rtl/>
        </w:rPr>
        <w:t>הליקוי</w:t>
      </w:r>
      <w:r w:rsidRPr="00426037">
        <w:rPr>
          <w:rStyle w:val="7"/>
          <w:rFonts w:eastAsiaTheme="minorHAnsi"/>
          <w:b/>
          <w:color w:val="0073C3"/>
          <w:spacing w:val="0"/>
          <w:rtl/>
        </w:rPr>
        <w:t>:</w:t>
      </w:r>
      <w:r w:rsidRPr="00426037">
        <w:rPr>
          <w:rFonts w:hint="cs"/>
          <w:color w:val="0073C3"/>
          <w:rtl/>
        </w:rPr>
        <w:t xml:space="preserve"> </w:t>
      </w:r>
      <w:r w:rsidRPr="00426037">
        <w:rPr>
          <w:rtl/>
        </w:rPr>
        <w:t>הנחיות רשות שוק ההון</w:t>
      </w:r>
      <w:r w:rsidRPr="00426037">
        <w:rPr>
          <w:rFonts w:hint="cs"/>
          <w:rtl/>
        </w:rPr>
        <w:t xml:space="preserve"> </w:t>
      </w:r>
      <w:r w:rsidRPr="00426037">
        <w:rPr>
          <w:rtl/>
        </w:rPr>
        <w:t>מ</w:t>
      </w:r>
      <w:r w:rsidRPr="00426037">
        <w:rPr>
          <w:rFonts w:hint="cs"/>
          <w:rtl/>
        </w:rPr>
        <w:t xml:space="preserve">שנת </w:t>
      </w:r>
      <w:r w:rsidRPr="00426037">
        <w:rPr>
          <w:rtl/>
        </w:rPr>
        <w:t xml:space="preserve">2007 לא </w:t>
      </w:r>
      <w:r w:rsidRPr="00426037">
        <w:rPr>
          <w:rFonts w:hint="cs"/>
          <w:rtl/>
        </w:rPr>
        <w:t>עסקו</w:t>
      </w:r>
      <w:r w:rsidRPr="00426037">
        <w:rPr>
          <w:rtl/>
        </w:rPr>
        <w:t xml:space="preserve"> </w:t>
      </w:r>
      <w:r w:rsidRPr="00426037">
        <w:rPr>
          <w:rFonts w:hint="cs"/>
          <w:rtl/>
        </w:rPr>
        <w:t>ב</w:t>
      </w:r>
      <w:r w:rsidRPr="00426037">
        <w:rPr>
          <w:rtl/>
        </w:rPr>
        <w:t>היבטי אקלים ולא כללו הנחיות ל</w:t>
      </w:r>
      <w:r w:rsidRPr="00426037">
        <w:rPr>
          <w:rFonts w:hint="cs"/>
          <w:rtl/>
        </w:rPr>
        <w:t xml:space="preserve">גבי </w:t>
      </w:r>
      <w:r w:rsidRPr="00426037">
        <w:rPr>
          <w:rtl/>
        </w:rPr>
        <w:t xml:space="preserve">מתכונת הדיווח בדבר היבטי </w:t>
      </w:r>
      <w:r w:rsidRPr="00426037">
        <w:t>ESG</w:t>
      </w:r>
      <w:r w:rsidRPr="00426037">
        <w:rPr>
          <w:rtl/>
        </w:rPr>
        <w:t xml:space="preserve"> שיש לפרסם ו</w:t>
      </w:r>
      <w:r w:rsidRPr="00426037">
        <w:rPr>
          <w:rFonts w:hint="cs"/>
          <w:rtl/>
        </w:rPr>
        <w:t xml:space="preserve">לגבי השאלה </w:t>
      </w:r>
      <w:r w:rsidRPr="00426037">
        <w:rPr>
          <w:rtl/>
        </w:rPr>
        <w:t>אם לכלול היבטי אקלים</w:t>
      </w:r>
      <w:r w:rsidRPr="00426037">
        <w:rPr>
          <w:rFonts w:hint="cs"/>
          <w:rtl/>
        </w:rPr>
        <w:t xml:space="preserve"> על בסיס </w:t>
      </w:r>
      <w:r w:rsidRPr="00426037">
        <w:rPr>
          <w:rtl/>
        </w:rPr>
        <w:t xml:space="preserve">מתכונת אחידה לדיווח. כמו כן עלה כי רשות שוק ההון לא ביצעה ביקורות ייעודיות לעניין הנחיות אלו ולא עסקה בהיבטי סביבה. </w:t>
      </w:r>
    </w:p>
    <w:p w:rsidR="00F20E3F" w:rsidRPr="00426037" w:rsidP="00426037" w14:paraId="07BDB580" w14:textId="77777777">
      <w:pPr>
        <w:pStyle w:val="7392"/>
        <w:rPr>
          <w:rtl/>
        </w:rPr>
      </w:pPr>
      <w:r w:rsidRPr="00426037">
        <w:rPr>
          <w:rStyle w:val="7"/>
          <w:rFonts w:eastAsiaTheme="minorHAnsi" w:hint="eastAsia"/>
          <w:b/>
          <w:color w:val="0073C3"/>
          <w:spacing w:val="0"/>
          <w:rtl/>
        </w:rPr>
        <w:t>ההמלצה</w:t>
      </w:r>
      <w:r w:rsidRPr="00426037">
        <w:rPr>
          <w:rStyle w:val="7"/>
          <w:rFonts w:eastAsiaTheme="minorHAnsi"/>
          <w:b/>
          <w:color w:val="0073C3"/>
          <w:spacing w:val="0"/>
          <w:rtl/>
        </w:rPr>
        <w:t>:</w:t>
      </w:r>
      <w:r w:rsidRPr="00426037">
        <w:rPr>
          <w:b/>
          <w:color w:val="0073C3"/>
          <w:rtl/>
        </w:rPr>
        <w:t xml:space="preserve"> </w:t>
      </w:r>
      <w:r w:rsidRPr="00426037">
        <w:rPr>
          <w:rFonts w:hint="cs"/>
          <w:rtl/>
        </w:rPr>
        <w:t>ה</w:t>
      </w:r>
      <w:r w:rsidRPr="00426037">
        <w:rPr>
          <w:rtl/>
        </w:rPr>
        <w:t>ומלץ כי רשות שוק ההון תשלים הוצאת חוזר מאוחד בדרך שתכלול התייחסות לסיכונים הפיננסיים הנגרמים משינויי האקלים (סיכונים פיזיים - בעיקר לענף הביטוח, וסיכוני מעבר - בעיקר לנכסים והשקעות). במסגרת זו מומלץ כי רשות שוק ההון תשקול מתן הנחיות וגיבוש כלי המדיניות הנוגעים לשיקולי ה-</w:t>
      </w:r>
      <w:r w:rsidRPr="00426037">
        <w:t>ESG</w:t>
      </w:r>
      <w:r w:rsidRPr="00426037">
        <w:rPr>
          <w:rtl/>
        </w:rPr>
        <w:t xml:space="preserve"> באופן דיפרנציאלי ההולם את חומרת הסיכון - כך ששינויי </w:t>
      </w:r>
      <w:r w:rsidRPr="00426037">
        <w:rPr>
          <w:rFonts w:hint="cs"/>
          <w:rtl/>
        </w:rPr>
        <w:t>ה</w:t>
      </w:r>
      <w:r w:rsidRPr="00426037">
        <w:rPr>
          <w:rtl/>
        </w:rPr>
        <w:t>אקלים, המקבלים בעולם מעמד מיוחד בשל חומרת הסיכון</w:t>
      </w:r>
      <w:r w:rsidRPr="00426037">
        <w:rPr>
          <w:rFonts w:hint="cs"/>
          <w:rtl/>
        </w:rPr>
        <w:t xml:space="preserve"> הטמון בהם</w:t>
      </w:r>
      <w:r w:rsidRPr="00426037">
        <w:rPr>
          <w:rtl/>
        </w:rPr>
        <w:t xml:space="preserve">, יקבלו </w:t>
      </w:r>
      <w:r w:rsidRPr="00426037">
        <w:rPr>
          <w:rtl/>
        </w:rPr>
        <w:t>מהרשות מענה ההולם א</w:t>
      </w:r>
      <w:r w:rsidRPr="00426037">
        <w:rPr>
          <w:rFonts w:hint="cs"/>
          <w:rtl/>
        </w:rPr>
        <w:t>ו</w:t>
      </w:r>
      <w:r w:rsidRPr="00426037">
        <w:rPr>
          <w:rtl/>
        </w:rPr>
        <w:t>ת</w:t>
      </w:r>
      <w:r w:rsidRPr="00426037">
        <w:rPr>
          <w:rFonts w:hint="cs"/>
          <w:rtl/>
        </w:rPr>
        <w:t>ו</w:t>
      </w:r>
      <w:r w:rsidRPr="00426037">
        <w:rPr>
          <w:rtl/>
        </w:rPr>
        <w:t xml:space="preserve">. עוד </w:t>
      </w:r>
      <w:r w:rsidRPr="00426037">
        <w:rPr>
          <w:rFonts w:hint="cs"/>
          <w:rtl/>
        </w:rPr>
        <w:t>ה</w:t>
      </w:r>
      <w:r w:rsidRPr="00426037">
        <w:rPr>
          <w:rtl/>
        </w:rPr>
        <w:t xml:space="preserve">ומלץ להיוועץ עם משרד המשפטים בעניין הטמעת שיקולי </w:t>
      </w:r>
      <w:r w:rsidRPr="00426037">
        <w:t>ESG</w:t>
      </w:r>
      <w:r w:rsidRPr="00426037">
        <w:rPr>
          <w:rtl/>
        </w:rPr>
        <w:t xml:space="preserve"> במדיניות ההשקעות למול סוגיית חובת הנאמנות של משקיעים מוסדיים ולשלב בהנחיות דרישת ידע ומומחיות מהמקובל בעולם בתחום זה.</w:t>
      </w:r>
    </w:p>
    <w:p w:rsidR="00F20E3F" w:rsidRPr="004A5124" w:rsidP="004A5124" w14:paraId="608D0DCC" w14:textId="77777777">
      <w:pPr>
        <w:pStyle w:val="73120"/>
        <w:rPr>
          <w:rtl/>
        </w:rPr>
      </w:pPr>
      <w:r w:rsidRPr="004A5124">
        <w:rPr>
          <w:rFonts w:hint="cs"/>
          <w:rtl/>
        </w:rPr>
        <w:t xml:space="preserve">ביקורת המעקב </w:t>
      </w:r>
    </w:p>
    <w:p w:rsidR="00F20E3F" w:rsidRPr="00426037" w:rsidP="00426037" w14:paraId="1E5743AC" w14:textId="77777777">
      <w:pPr>
        <w:pStyle w:val="7392"/>
      </w:pPr>
      <w:r w:rsidRPr="00426037">
        <w:rPr>
          <w:rtl/>
        </w:rPr>
        <w:t>רשות</w:t>
      </w:r>
      <w:r w:rsidRPr="00426037">
        <w:rPr>
          <w:rFonts w:hint="cs"/>
          <w:rtl/>
        </w:rPr>
        <w:t xml:space="preserve"> שוק ההון</w:t>
      </w:r>
      <w:r w:rsidRPr="00426037">
        <w:rPr>
          <w:rtl/>
        </w:rPr>
        <w:t xml:space="preserve"> </w:t>
      </w:r>
      <w:r w:rsidRPr="00426037">
        <w:rPr>
          <w:rFonts w:hint="cs"/>
          <w:rtl/>
        </w:rPr>
        <w:t>השיבה על</w:t>
      </w:r>
      <w:r w:rsidRPr="00426037">
        <w:rPr>
          <w:rtl/>
        </w:rPr>
        <w:t xml:space="preserve"> השאלון </w:t>
      </w:r>
      <w:r w:rsidRPr="00426037">
        <w:rPr>
          <w:rFonts w:hint="cs"/>
          <w:rtl/>
        </w:rPr>
        <w:t>לגבי</w:t>
      </w:r>
      <w:r w:rsidRPr="00426037">
        <w:rPr>
          <w:rtl/>
        </w:rPr>
        <w:t xml:space="preserve"> </w:t>
      </w:r>
      <w:r w:rsidRPr="00426037">
        <w:rPr>
          <w:rFonts w:hint="cs"/>
          <w:rtl/>
        </w:rPr>
        <w:t>ה</w:t>
      </w:r>
      <w:r w:rsidRPr="00426037">
        <w:rPr>
          <w:rtl/>
        </w:rPr>
        <w:t xml:space="preserve">פעולות שקידמה בנושא היערכותה לסיכוני </w:t>
      </w:r>
      <w:r w:rsidRPr="00426037">
        <w:rPr>
          <w:rFonts w:hint="cs"/>
          <w:rtl/>
        </w:rPr>
        <w:t>ה</w:t>
      </w:r>
      <w:r w:rsidRPr="00426037">
        <w:rPr>
          <w:rtl/>
        </w:rPr>
        <w:t>אקלים</w:t>
      </w:r>
      <w:r w:rsidRPr="00426037">
        <w:rPr>
          <w:rFonts w:hint="cs"/>
          <w:rtl/>
        </w:rPr>
        <w:t>, כדלקמן</w:t>
      </w:r>
      <w:r w:rsidRPr="00426037">
        <w:rPr>
          <w:rtl/>
        </w:rPr>
        <w:t>:</w:t>
      </w:r>
    </w:p>
    <w:tbl>
      <w:tblPr>
        <w:tblStyle w:val="TableGrid"/>
        <w:bidiVisual/>
        <w:tblW w:w="5000" w:type="pct"/>
        <w:tblBorders>
          <w:top w:val="none" w:sz="0" w:space="0" w:color="auto"/>
          <w:bottom w:val="none" w:sz="0" w:space="0" w:color="auto"/>
          <w:insideH w:val="none" w:sz="0" w:space="0" w:color="auto"/>
        </w:tblBorders>
        <w:shd w:val="clear" w:color="auto" w:fill="F0F8F9"/>
        <w:tblLook w:val="04A0"/>
      </w:tblPr>
      <w:tblGrid>
        <w:gridCol w:w="836"/>
        <w:gridCol w:w="6524"/>
      </w:tblGrid>
      <w:tr w14:paraId="3E15DE80" w14:textId="77777777" w:rsidTr="003464A9">
        <w:tblPrEx>
          <w:tblW w:w="5000" w:type="pct"/>
          <w:tblBorders>
            <w:top w:val="none" w:sz="0" w:space="0" w:color="auto"/>
            <w:bottom w:val="none" w:sz="0" w:space="0" w:color="auto"/>
            <w:insideH w:val="none" w:sz="0" w:space="0" w:color="auto"/>
          </w:tblBorders>
          <w:shd w:val="clear" w:color="auto" w:fill="F0F8F9"/>
          <w:tblLook w:val="04A0"/>
        </w:tblPrEx>
        <w:trPr>
          <w:trHeight w:val="180"/>
        </w:trPr>
        <w:tc>
          <w:tcPr>
            <w:tcW w:w="568" w:type="pct"/>
            <w:shd w:val="clear" w:color="auto" w:fill="BDCFD8"/>
          </w:tcPr>
          <w:p w:rsidR="001E2E5A" w:rsidRPr="00B24417" w:rsidP="00711A1D" w14:paraId="1125C20F" w14:textId="77777777">
            <w:pPr>
              <w:pStyle w:val="00"/>
              <w:rPr>
                <w:rtl/>
              </w:rPr>
            </w:pPr>
          </w:p>
        </w:tc>
        <w:tc>
          <w:tcPr>
            <w:tcW w:w="4432" w:type="pct"/>
            <w:shd w:val="clear" w:color="auto" w:fill="BDCFD8"/>
          </w:tcPr>
          <w:p w:rsidR="001E2E5A" w:rsidRPr="00FD7EE3" w:rsidP="00711A1D" w14:paraId="70927816" w14:textId="77777777">
            <w:pPr>
              <w:pStyle w:val="73R"/>
              <w:rPr>
                <w:b/>
                <w:bCs/>
                <w:rtl/>
              </w:rPr>
            </w:pPr>
            <w:r w:rsidRPr="00FD7EE3">
              <w:rPr>
                <w:rFonts w:hint="cs"/>
                <w:b/>
                <w:bCs/>
                <w:rtl/>
              </w:rPr>
              <w:t xml:space="preserve">השאלות </w:t>
            </w:r>
          </w:p>
        </w:tc>
      </w:tr>
      <w:tr w14:paraId="79D019AD" w14:textId="77777777" w:rsidTr="003464A9">
        <w:tblPrEx>
          <w:tblW w:w="5000" w:type="pct"/>
          <w:shd w:val="clear" w:color="auto" w:fill="F0F8F9"/>
          <w:tblLook w:val="04A0"/>
        </w:tblPrEx>
        <w:trPr>
          <w:trHeight w:val="152"/>
        </w:trPr>
        <w:tc>
          <w:tcPr>
            <w:tcW w:w="568" w:type="pct"/>
            <w:shd w:val="clear" w:color="auto" w:fill="C8DCE4"/>
          </w:tcPr>
          <w:p w:rsidR="001E2E5A" w:rsidRPr="00FD7EE3" w:rsidP="00711A1D" w14:paraId="6805ADBD" w14:textId="77777777">
            <w:pPr>
              <w:pStyle w:val="73R"/>
              <w:rPr>
                <w:b/>
                <w:bCs/>
                <w:rtl/>
              </w:rPr>
            </w:pPr>
          </w:p>
        </w:tc>
        <w:tc>
          <w:tcPr>
            <w:tcW w:w="4432" w:type="pct"/>
            <w:shd w:val="clear" w:color="auto" w:fill="C8DCE4"/>
            <w:vAlign w:val="center"/>
          </w:tcPr>
          <w:p w:rsidR="001E2E5A" w:rsidRPr="00FD7EE3" w:rsidP="00711A1D" w14:paraId="3CE71250" w14:textId="014823B3">
            <w:pPr>
              <w:pStyle w:val="73R"/>
              <w:rPr>
                <w:b/>
                <w:bCs/>
                <w:rtl/>
              </w:rPr>
            </w:pPr>
            <w:r w:rsidRPr="00983FA4">
              <w:rPr>
                <w:b/>
                <w:bCs/>
                <w:rtl/>
              </w:rPr>
              <w:t>ניתוח של ההשפעות והסיכונים של שינויי האקלים על תחומי אחריות הרגולטור, על יציבות המערכת הפיננסית ועל פעילות המפוקחים</w:t>
            </w:r>
            <w:r w:rsidRPr="00983FA4">
              <w:rPr>
                <w:rFonts w:hint="cs"/>
                <w:b/>
                <w:bCs/>
                <w:rtl/>
              </w:rPr>
              <w:t xml:space="preserve"> שבאחריותו</w:t>
            </w:r>
            <w:r w:rsidRPr="00FD7EE3">
              <w:rPr>
                <w:rFonts w:hint="cs"/>
                <w:b/>
                <w:bCs/>
                <w:rtl/>
              </w:rPr>
              <w:t xml:space="preserve">: </w:t>
            </w:r>
          </w:p>
          <w:p w:rsidR="001E2E5A" w:rsidRPr="00FD7EE3" w:rsidP="00711A1D" w14:paraId="07B65B10" w14:textId="77777777">
            <w:pPr>
              <w:pStyle w:val="73R"/>
              <w:rPr>
                <w:b/>
                <w:bCs/>
                <w:color w:val="1E285C"/>
                <w:rtl/>
              </w:rPr>
            </w:pPr>
            <w:r w:rsidRPr="00FD7EE3">
              <w:rPr>
                <w:rFonts w:hint="cs"/>
                <w:b/>
                <w:bCs/>
                <w:color w:val="1E285C"/>
                <w:rtl/>
              </w:rPr>
              <w:t>פירוט פעולות שדווח שנעשו:</w:t>
            </w:r>
          </w:p>
        </w:tc>
      </w:tr>
      <w:tr w14:paraId="0A5AF2F7" w14:textId="77777777" w:rsidTr="003464A9">
        <w:tblPrEx>
          <w:tblW w:w="5000" w:type="pct"/>
          <w:shd w:val="clear" w:color="auto" w:fill="F0F8F9"/>
          <w:tblLook w:val="04A0"/>
        </w:tblPrEx>
        <w:trPr>
          <w:trHeight w:val="314"/>
        </w:trPr>
        <w:tc>
          <w:tcPr>
            <w:tcW w:w="568" w:type="pct"/>
            <w:vMerge w:val="restart"/>
            <w:shd w:val="clear" w:color="auto" w:fill="F0F8F9"/>
          </w:tcPr>
          <w:p w:rsidR="003464A9" w:rsidRPr="00145AB3" w:rsidP="003464A9" w14:paraId="3F75E9C6" w14:textId="77777777">
            <w:pPr>
              <w:pStyle w:val="73R"/>
              <w:rPr>
                <w:rFonts w:ascii="David" w:hAnsi="David"/>
                <w:b/>
                <w:bCs/>
                <w:rtl/>
              </w:rPr>
            </w:pPr>
            <w:r w:rsidRPr="00145AB3">
              <w:rPr>
                <w:rFonts w:ascii="David" w:hAnsi="David" w:hint="cs"/>
                <w:b/>
                <w:bCs/>
                <w:rtl/>
              </w:rPr>
              <w:t>שאלון</w:t>
            </w:r>
          </w:p>
          <w:p w:rsidR="003464A9" w:rsidRPr="00145AB3" w:rsidP="003464A9" w14:paraId="2996285F" w14:textId="77777777">
            <w:pPr>
              <w:pStyle w:val="719"/>
              <w:spacing w:after="0" w:line="240" w:lineRule="auto"/>
              <w:jc w:val="center"/>
              <w:rPr>
                <w:rFonts w:ascii="David" w:hAnsi="David" w:eastAsiaTheme="minorEastAsia"/>
                <w:color w:val="auto"/>
                <w:sz w:val="16"/>
                <w:szCs w:val="16"/>
                <w:rtl/>
              </w:rPr>
            </w:pPr>
            <w:r w:rsidRPr="00145AB3">
              <w:rPr>
                <w:rFonts w:ascii="David" w:hAnsi="David" w:eastAsiaTheme="minorEastAsia"/>
                <w:noProof/>
                <w:color w:val="auto"/>
                <w:sz w:val="16"/>
                <w:szCs w:val="16"/>
                <w:rtl/>
              </w:rPr>
              <w:drawing>
                <wp:inline distT="0" distB="0" distL="0" distR="0">
                  <wp:extent cx="391784" cy="457082"/>
                  <wp:effectExtent l="0" t="0" r="2540" b="635"/>
                  <wp:docPr id="2061017639" name="גרפיקה 2061017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600961" name="גרפיקה 2061017639"/>
                          <pic:cNvPicPr/>
                        </pic:nvPicPr>
                        <pic:blipFill>
                          <a:blip xmlns:r="http://schemas.openxmlformats.org/officeDocument/2006/relationships" r:embed="rId58" cstate="print">
                            <a:extLst>
                              <a:ext xmlns:a="http://schemas.openxmlformats.org/drawingml/2006/main" uri="{BEBA8EAE-BF5A-486C-A8C5-ECC9F3942E4B}">
                                <a14:imgProps xmlns:a14="http://schemas.microsoft.com/office/drawing/2010/main">
                                  <a14:imgLayer xmlns:r="http://schemas.openxmlformats.org/officeDocument/2006/relationships" r:embed="rId59">
                                    <a14:imgEffect>
                                      <a14:saturation sat="0"/>
                                    </a14:imgEffect>
                                  </a14:imgLayer>
                                </a14:imgProps>
                              </a:ext>
                              <a:ext xmlns:a="http://schemas.openxmlformats.org/drawingml/2006/main" uri="{28A0092B-C50C-407E-A947-70E740481C1C}">
                                <a14:useLocalDpi xmlns:a14="http://schemas.microsoft.com/office/drawing/2010/main" val="0"/>
                              </a:ext>
                            </a:extLst>
                          </a:blip>
                          <a:stretch>
                            <a:fillRect/>
                          </a:stretch>
                        </pic:blipFill>
                        <pic:spPr>
                          <a:xfrm>
                            <a:off x="0" y="0"/>
                            <a:ext cx="391784" cy="457082"/>
                          </a:xfrm>
                          <a:prstGeom prst="rect">
                            <a:avLst/>
                          </a:prstGeom>
                        </pic:spPr>
                      </pic:pic>
                    </a:graphicData>
                  </a:graphic>
                </wp:inline>
              </w:drawing>
            </w:r>
          </w:p>
          <w:p w:rsidR="003464A9" w:rsidRPr="00FD7EE3" w:rsidP="003464A9" w14:paraId="00979D62" w14:textId="77777777">
            <w:pPr>
              <w:pStyle w:val="73R"/>
              <w:rPr>
                <w:rtl/>
              </w:rPr>
            </w:pPr>
          </w:p>
        </w:tc>
        <w:tc>
          <w:tcPr>
            <w:tcW w:w="4432" w:type="pct"/>
            <w:shd w:val="clear" w:color="auto" w:fill="DFECEF"/>
            <w:vAlign w:val="center"/>
          </w:tcPr>
          <w:p w:rsidR="003464A9" w:rsidRPr="00FD7EE3" w:rsidP="003464A9" w14:paraId="537D560C" w14:textId="4AAA85E2">
            <w:pPr>
              <w:pStyle w:val="73R"/>
              <w:rPr>
                <w:rtl/>
              </w:rPr>
            </w:pPr>
            <w:r w:rsidRPr="00983FA4">
              <w:rPr>
                <w:rFonts w:hint="cs"/>
                <w:rtl/>
              </w:rPr>
              <w:t xml:space="preserve">מעקב </w:t>
            </w:r>
            <w:r w:rsidRPr="00983FA4">
              <w:rPr>
                <w:rtl/>
              </w:rPr>
              <w:t>אחר הנעשה אצל רגולטורים מקבילים בעולם</w:t>
            </w:r>
          </w:p>
        </w:tc>
      </w:tr>
      <w:tr w14:paraId="781389CF" w14:textId="77777777" w:rsidTr="003464A9">
        <w:tblPrEx>
          <w:tblW w:w="5000" w:type="pct"/>
          <w:shd w:val="clear" w:color="auto" w:fill="F0F8F9"/>
          <w:tblLook w:val="04A0"/>
        </w:tblPrEx>
        <w:trPr>
          <w:trHeight w:val="314"/>
        </w:trPr>
        <w:tc>
          <w:tcPr>
            <w:tcW w:w="568" w:type="pct"/>
            <w:vMerge/>
            <w:shd w:val="clear" w:color="auto" w:fill="F0F8F9"/>
          </w:tcPr>
          <w:p w:rsidR="003464A9" w:rsidRPr="00FD7EE3" w:rsidP="003464A9" w14:paraId="5E279C2F" w14:textId="77777777">
            <w:pPr>
              <w:pStyle w:val="73R"/>
              <w:rPr>
                <w:rtl/>
              </w:rPr>
            </w:pPr>
          </w:p>
        </w:tc>
        <w:tc>
          <w:tcPr>
            <w:tcW w:w="4432" w:type="pct"/>
            <w:shd w:val="clear" w:color="auto" w:fill="F0F8F9"/>
            <w:vAlign w:val="center"/>
          </w:tcPr>
          <w:p w:rsidR="003464A9" w:rsidRPr="00FD7EE3" w:rsidP="003464A9" w14:paraId="309FA898" w14:textId="271C719B">
            <w:pPr>
              <w:pStyle w:val="73R"/>
              <w:rPr>
                <w:rtl/>
              </w:rPr>
            </w:pPr>
            <w:r w:rsidRPr="00983FA4">
              <w:rPr>
                <w:rFonts w:hint="cs"/>
                <w:rtl/>
              </w:rPr>
              <w:t xml:space="preserve">מעקב </w:t>
            </w:r>
            <w:r w:rsidRPr="00983FA4">
              <w:rPr>
                <w:rtl/>
              </w:rPr>
              <w:t xml:space="preserve">אחר </w:t>
            </w:r>
            <w:r w:rsidRPr="00983FA4">
              <w:t>best practice</w:t>
            </w:r>
            <w:r w:rsidRPr="00983FA4">
              <w:rPr>
                <w:rtl/>
              </w:rPr>
              <w:t xml:space="preserve"> </w:t>
            </w:r>
            <w:r w:rsidRPr="00983FA4">
              <w:rPr>
                <w:rFonts w:hint="cs"/>
                <w:rtl/>
              </w:rPr>
              <w:t>ו</w:t>
            </w:r>
            <w:r w:rsidRPr="00983FA4">
              <w:rPr>
                <w:rtl/>
              </w:rPr>
              <w:t>מחקרים מקצועיים בארגונים רלוונטיים</w:t>
            </w:r>
          </w:p>
        </w:tc>
      </w:tr>
      <w:tr w14:paraId="36B47C36" w14:textId="77777777" w:rsidTr="003464A9">
        <w:tblPrEx>
          <w:tblW w:w="5000" w:type="pct"/>
          <w:shd w:val="clear" w:color="auto" w:fill="F0F8F9"/>
          <w:tblLook w:val="04A0"/>
        </w:tblPrEx>
        <w:trPr>
          <w:trHeight w:val="314"/>
        </w:trPr>
        <w:tc>
          <w:tcPr>
            <w:tcW w:w="568" w:type="pct"/>
            <w:vMerge/>
            <w:shd w:val="clear" w:color="auto" w:fill="F0F8F9"/>
          </w:tcPr>
          <w:p w:rsidR="003464A9" w:rsidRPr="00FD7EE3" w:rsidP="003464A9" w14:paraId="209ACC0D" w14:textId="77777777">
            <w:pPr>
              <w:pStyle w:val="73R"/>
              <w:rPr>
                <w:rtl/>
              </w:rPr>
            </w:pPr>
          </w:p>
        </w:tc>
        <w:tc>
          <w:tcPr>
            <w:tcW w:w="4432" w:type="pct"/>
            <w:shd w:val="clear" w:color="auto" w:fill="DFECEF"/>
            <w:vAlign w:val="center"/>
          </w:tcPr>
          <w:p w:rsidR="003464A9" w:rsidRPr="00FD7EE3" w:rsidP="003464A9" w14:paraId="6D92E051" w14:textId="5557C6F1">
            <w:pPr>
              <w:pStyle w:val="73R"/>
              <w:rPr>
                <w:rtl/>
              </w:rPr>
            </w:pPr>
            <w:r w:rsidRPr="00983FA4">
              <w:rPr>
                <w:rFonts w:hint="cs"/>
                <w:rtl/>
              </w:rPr>
              <w:t>קיום</w:t>
            </w:r>
            <w:r w:rsidRPr="00983FA4">
              <w:rPr>
                <w:rtl/>
              </w:rPr>
              <w:t xml:space="preserve"> דיונים פנימיים בנושא</w:t>
            </w:r>
          </w:p>
        </w:tc>
      </w:tr>
      <w:tr w14:paraId="31B991AC" w14:textId="77777777" w:rsidTr="003464A9">
        <w:tblPrEx>
          <w:tblW w:w="5000" w:type="pct"/>
          <w:shd w:val="clear" w:color="auto" w:fill="F0F8F9"/>
          <w:tblLook w:val="04A0"/>
        </w:tblPrEx>
        <w:trPr>
          <w:trHeight w:val="314"/>
        </w:trPr>
        <w:tc>
          <w:tcPr>
            <w:tcW w:w="568" w:type="pct"/>
            <w:vMerge/>
            <w:shd w:val="clear" w:color="auto" w:fill="F0F8F9"/>
          </w:tcPr>
          <w:p w:rsidR="003464A9" w:rsidRPr="00FD7EE3" w:rsidP="003464A9" w14:paraId="450DF5F7" w14:textId="77777777">
            <w:pPr>
              <w:pStyle w:val="73R"/>
              <w:rPr>
                <w:rtl/>
              </w:rPr>
            </w:pPr>
          </w:p>
        </w:tc>
        <w:tc>
          <w:tcPr>
            <w:tcW w:w="4432" w:type="pct"/>
            <w:shd w:val="clear" w:color="auto" w:fill="F0F8F9"/>
            <w:vAlign w:val="center"/>
          </w:tcPr>
          <w:p w:rsidR="003464A9" w:rsidRPr="00FD7EE3" w:rsidP="003464A9" w14:paraId="43A1D01C" w14:textId="4BB8E734">
            <w:pPr>
              <w:pStyle w:val="73R"/>
              <w:rPr>
                <w:rtl/>
              </w:rPr>
            </w:pPr>
            <w:r w:rsidRPr="00983FA4">
              <w:rPr>
                <w:rtl/>
              </w:rPr>
              <w:t>הוחל גיבוש מסמך השפעות וסיכוני אקלים -</w:t>
            </w:r>
            <w:r w:rsidRPr="00983FA4">
              <w:rPr>
                <w:rFonts w:hint="cs"/>
                <w:rtl/>
              </w:rPr>
              <w:t xml:space="preserve"> </w:t>
            </w:r>
            <w:r w:rsidRPr="00983FA4">
              <w:rPr>
                <w:rtl/>
              </w:rPr>
              <w:t>מערכתי</w:t>
            </w:r>
          </w:p>
        </w:tc>
      </w:tr>
      <w:tr w14:paraId="440563AD" w14:textId="77777777" w:rsidTr="003464A9">
        <w:tblPrEx>
          <w:tblW w:w="5000" w:type="pct"/>
          <w:shd w:val="clear" w:color="auto" w:fill="F0F8F9"/>
          <w:tblLook w:val="04A0"/>
        </w:tblPrEx>
        <w:trPr>
          <w:trHeight w:val="314"/>
        </w:trPr>
        <w:tc>
          <w:tcPr>
            <w:tcW w:w="568" w:type="pct"/>
            <w:vMerge/>
            <w:shd w:val="clear" w:color="auto" w:fill="F0F8F9"/>
          </w:tcPr>
          <w:p w:rsidR="003464A9" w:rsidRPr="00FD7EE3" w:rsidP="003464A9" w14:paraId="3716429C" w14:textId="77777777">
            <w:pPr>
              <w:pStyle w:val="73R"/>
              <w:rPr>
                <w:rtl/>
              </w:rPr>
            </w:pPr>
          </w:p>
        </w:tc>
        <w:tc>
          <w:tcPr>
            <w:tcW w:w="4432" w:type="pct"/>
            <w:shd w:val="clear" w:color="auto" w:fill="DFECEF"/>
            <w:vAlign w:val="center"/>
          </w:tcPr>
          <w:p w:rsidR="003464A9" w:rsidRPr="00FD7EE3" w:rsidP="003464A9" w14:paraId="6C062D51" w14:textId="53007BDD">
            <w:pPr>
              <w:pStyle w:val="73R"/>
              <w:rPr>
                <w:rtl/>
              </w:rPr>
            </w:pPr>
            <w:r w:rsidRPr="00983FA4">
              <w:rPr>
                <w:rtl/>
              </w:rPr>
              <w:t>הוחל גיבוש מסמך השפעות וסיכוני אקלים -</w:t>
            </w:r>
            <w:r w:rsidRPr="00983FA4">
              <w:rPr>
                <w:rFonts w:hint="cs"/>
                <w:rtl/>
              </w:rPr>
              <w:t xml:space="preserve"> </w:t>
            </w:r>
            <w:r w:rsidRPr="00983FA4">
              <w:rPr>
                <w:rtl/>
              </w:rPr>
              <w:t>ברמת המפוקח</w:t>
            </w:r>
          </w:p>
        </w:tc>
      </w:tr>
    </w:tbl>
    <w:p w:rsidR="001E2E5A" w:rsidRPr="001E2E5A" w:rsidP="001E2E5A" w14:paraId="1DCDC961" w14:textId="77777777">
      <w:pPr>
        <w:rPr>
          <w:rtl/>
        </w:rPr>
      </w:pPr>
    </w:p>
    <w:tbl>
      <w:tblPr>
        <w:tblStyle w:val="TableGrid"/>
        <w:bidiVisual/>
        <w:tblW w:w="5000" w:type="pct"/>
        <w:tblBorders>
          <w:top w:val="none" w:sz="0" w:space="0" w:color="auto"/>
          <w:bottom w:val="none" w:sz="0" w:space="0" w:color="auto"/>
          <w:insideH w:val="none" w:sz="0" w:space="0" w:color="auto"/>
        </w:tblBorders>
        <w:shd w:val="clear" w:color="auto" w:fill="F0F8F9"/>
        <w:tblLook w:val="04A0"/>
      </w:tblPr>
      <w:tblGrid>
        <w:gridCol w:w="836"/>
        <w:gridCol w:w="6524"/>
      </w:tblGrid>
      <w:tr w14:paraId="41F44FBF" w14:textId="77777777" w:rsidTr="003464A9">
        <w:tblPrEx>
          <w:tblW w:w="5000" w:type="pct"/>
          <w:tblBorders>
            <w:top w:val="none" w:sz="0" w:space="0" w:color="auto"/>
            <w:bottom w:val="none" w:sz="0" w:space="0" w:color="auto"/>
            <w:insideH w:val="none" w:sz="0" w:space="0" w:color="auto"/>
          </w:tblBorders>
          <w:shd w:val="clear" w:color="auto" w:fill="F0F8F9"/>
          <w:tblLook w:val="04A0"/>
        </w:tblPrEx>
        <w:trPr>
          <w:trHeight w:val="180"/>
        </w:trPr>
        <w:tc>
          <w:tcPr>
            <w:tcW w:w="568" w:type="pct"/>
            <w:shd w:val="clear" w:color="auto" w:fill="BDCFD8"/>
          </w:tcPr>
          <w:p w:rsidR="001E2E5A" w:rsidRPr="00EB7173" w:rsidP="00711A1D" w14:paraId="7AB3466E" w14:textId="77777777">
            <w:pPr>
              <w:pStyle w:val="719"/>
              <w:spacing w:after="0" w:line="360" w:lineRule="auto"/>
              <w:ind w:left="794" w:hanging="794"/>
              <w:jc w:val="center"/>
              <w:rPr>
                <w:rFonts w:cs="David"/>
                <w:bCs/>
                <w:color w:val="00305F"/>
                <w:sz w:val="22"/>
                <w:szCs w:val="22"/>
                <w:rtl/>
              </w:rPr>
            </w:pPr>
          </w:p>
        </w:tc>
        <w:tc>
          <w:tcPr>
            <w:tcW w:w="4432" w:type="pct"/>
            <w:shd w:val="clear" w:color="auto" w:fill="BDCFD8"/>
          </w:tcPr>
          <w:p w:rsidR="001E2E5A" w:rsidRPr="00FD7EE3" w:rsidP="00711A1D" w14:paraId="4AA1F301" w14:textId="77777777">
            <w:pPr>
              <w:pStyle w:val="73R"/>
              <w:rPr>
                <w:b/>
                <w:bCs/>
                <w:rtl/>
              </w:rPr>
            </w:pPr>
            <w:r w:rsidRPr="00FD7EE3">
              <w:rPr>
                <w:rFonts w:hint="cs"/>
                <w:b/>
                <w:bCs/>
                <w:rtl/>
              </w:rPr>
              <w:t>השאלות</w:t>
            </w:r>
          </w:p>
        </w:tc>
      </w:tr>
      <w:tr w14:paraId="15884438" w14:textId="77777777" w:rsidTr="003464A9">
        <w:tblPrEx>
          <w:tblW w:w="5000" w:type="pct"/>
          <w:shd w:val="clear" w:color="auto" w:fill="F0F8F9"/>
          <w:tblLook w:val="04A0"/>
        </w:tblPrEx>
        <w:trPr>
          <w:trHeight w:val="152"/>
        </w:trPr>
        <w:tc>
          <w:tcPr>
            <w:tcW w:w="568" w:type="pct"/>
            <w:shd w:val="clear" w:color="auto" w:fill="C8DCE4"/>
          </w:tcPr>
          <w:p w:rsidR="001E2E5A" w:rsidP="00711A1D" w14:paraId="54A418D2" w14:textId="77777777">
            <w:pPr>
              <w:pStyle w:val="719"/>
              <w:spacing w:after="0" w:line="360" w:lineRule="auto"/>
              <w:ind w:left="24" w:hanging="24"/>
              <w:rPr>
                <w:rFonts w:cs="David"/>
                <w:b/>
                <w:bCs/>
                <w:sz w:val="22"/>
                <w:szCs w:val="22"/>
                <w:rtl/>
              </w:rPr>
            </w:pPr>
          </w:p>
        </w:tc>
        <w:tc>
          <w:tcPr>
            <w:tcW w:w="4432" w:type="pct"/>
            <w:shd w:val="clear" w:color="auto" w:fill="C8DCE4"/>
            <w:vAlign w:val="center"/>
          </w:tcPr>
          <w:p w:rsidR="001E2E5A" w:rsidRPr="00FD7EE3" w:rsidP="00711A1D" w14:paraId="3659003D" w14:textId="32A83314">
            <w:pPr>
              <w:pStyle w:val="73R"/>
              <w:rPr>
                <w:b/>
                <w:bCs/>
                <w:rtl/>
              </w:rPr>
            </w:pPr>
            <w:r w:rsidRPr="00983FA4">
              <w:rPr>
                <w:rFonts w:hint="cs"/>
                <w:b/>
                <w:bCs/>
                <w:rtl/>
              </w:rPr>
              <w:t>הטמעת</w:t>
            </w:r>
            <w:r w:rsidRPr="00983FA4">
              <w:rPr>
                <w:b/>
                <w:bCs/>
                <w:rtl/>
              </w:rPr>
              <w:t xml:space="preserve"> תהליכי דיווח ובקרה והנחיות לגופים </w:t>
            </w:r>
            <w:r w:rsidRPr="00983FA4">
              <w:rPr>
                <w:rFonts w:hint="cs"/>
                <w:b/>
                <w:bCs/>
                <w:rtl/>
              </w:rPr>
              <w:t>שבפיקוחו</w:t>
            </w:r>
            <w:r w:rsidRPr="00983FA4">
              <w:rPr>
                <w:b/>
                <w:bCs/>
                <w:rtl/>
              </w:rPr>
              <w:t xml:space="preserve">, הנוגעים לניהול סיכונים פיננסיים שמקורם בשינויי </w:t>
            </w:r>
            <w:r w:rsidRPr="00983FA4">
              <w:rPr>
                <w:rFonts w:hint="cs"/>
                <w:b/>
                <w:bCs/>
                <w:rtl/>
              </w:rPr>
              <w:t>ה</w:t>
            </w:r>
            <w:r w:rsidRPr="00983FA4">
              <w:rPr>
                <w:b/>
                <w:bCs/>
                <w:rtl/>
              </w:rPr>
              <w:t>אקלים</w:t>
            </w:r>
            <w:r w:rsidRPr="00FD7EE3">
              <w:rPr>
                <w:rFonts w:hint="cs"/>
                <w:b/>
                <w:bCs/>
                <w:rtl/>
              </w:rPr>
              <w:t xml:space="preserve">: </w:t>
            </w:r>
          </w:p>
          <w:p w:rsidR="001E2E5A" w:rsidRPr="00FD7EE3" w:rsidP="00711A1D" w14:paraId="0F6AF6BC" w14:textId="77777777">
            <w:pPr>
              <w:pStyle w:val="73R"/>
              <w:rPr>
                <w:b/>
                <w:bCs/>
                <w:rtl/>
              </w:rPr>
            </w:pPr>
            <w:r w:rsidRPr="003464A9">
              <w:rPr>
                <w:rFonts w:hint="cs"/>
                <w:b/>
                <w:bCs/>
                <w:color w:val="002060"/>
                <w:rtl/>
              </w:rPr>
              <w:t>פירוט פעולות שדווח שנעשו:</w:t>
            </w:r>
          </w:p>
        </w:tc>
      </w:tr>
      <w:tr w14:paraId="6B31C114" w14:textId="77777777" w:rsidTr="003464A9">
        <w:tblPrEx>
          <w:tblW w:w="5000" w:type="pct"/>
          <w:shd w:val="clear" w:color="auto" w:fill="F0F8F9"/>
          <w:tblLook w:val="04A0"/>
        </w:tblPrEx>
        <w:trPr>
          <w:trHeight w:val="314"/>
        </w:trPr>
        <w:tc>
          <w:tcPr>
            <w:tcW w:w="568" w:type="pct"/>
            <w:vMerge w:val="restart"/>
            <w:shd w:val="clear" w:color="auto" w:fill="F0F8F9"/>
          </w:tcPr>
          <w:p w:rsidR="003464A9" w:rsidP="003464A9" w14:paraId="27ADDB7B" w14:textId="77777777">
            <w:pPr>
              <w:pStyle w:val="73R"/>
              <w:rPr>
                <w:rFonts w:ascii="David" w:hAnsi="David"/>
                <w:b/>
                <w:bCs/>
              </w:rPr>
            </w:pPr>
            <w:r w:rsidRPr="00145AB3">
              <w:rPr>
                <w:rFonts w:ascii="David" w:hAnsi="David" w:hint="cs"/>
                <w:b/>
                <w:bCs/>
                <w:rtl/>
              </w:rPr>
              <w:t>שאלון</w:t>
            </w:r>
          </w:p>
          <w:p w:rsidR="003464A9" w:rsidRPr="00FD7EE3" w:rsidP="003464A9" w14:paraId="53C9CDEE" w14:textId="77777777">
            <w:pPr>
              <w:pStyle w:val="719"/>
              <w:spacing w:after="0" w:line="240" w:lineRule="auto"/>
              <w:jc w:val="center"/>
              <w:rPr>
                <w:rFonts w:ascii="David" w:hAnsi="David" w:eastAsiaTheme="minorEastAsia"/>
                <w:color w:val="auto"/>
                <w:sz w:val="16"/>
                <w:szCs w:val="16"/>
                <w:rtl/>
              </w:rPr>
            </w:pPr>
            <w:r w:rsidRPr="00145AB3">
              <w:rPr>
                <w:rFonts w:ascii="David" w:hAnsi="David" w:eastAsiaTheme="minorEastAsia"/>
                <w:noProof/>
                <w:color w:val="auto"/>
                <w:sz w:val="16"/>
                <w:szCs w:val="16"/>
                <w:rtl/>
              </w:rPr>
              <w:drawing>
                <wp:inline distT="0" distB="0" distL="0" distR="0">
                  <wp:extent cx="391784" cy="457082"/>
                  <wp:effectExtent l="0" t="0" r="2540" b="635"/>
                  <wp:docPr id="790019507" name="גרפיקה 790019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022158" name="גרפיקה 790019507"/>
                          <pic:cNvPicPr/>
                        </pic:nvPicPr>
                        <pic:blipFill>
                          <a:blip xmlns:r="http://schemas.openxmlformats.org/officeDocument/2006/relationships" r:embed="rId58" cstate="print">
                            <a:extLst>
                              <a:ext xmlns:a="http://schemas.openxmlformats.org/drawingml/2006/main" uri="{BEBA8EAE-BF5A-486C-A8C5-ECC9F3942E4B}">
                                <a14:imgProps xmlns:a14="http://schemas.microsoft.com/office/drawing/2010/main">
                                  <a14:imgLayer xmlns:r="http://schemas.openxmlformats.org/officeDocument/2006/relationships" r:embed="rId62">
                                    <a14:imgEffect>
                                      <a14:saturation sat="0"/>
                                    </a14:imgEffect>
                                  </a14:imgLayer>
                                </a14:imgProps>
                              </a:ext>
                              <a:ext xmlns:a="http://schemas.openxmlformats.org/drawingml/2006/main" uri="{28A0092B-C50C-407E-A947-70E740481C1C}">
                                <a14:useLocalDpi xmlns:a14="http://schemas.microsoft.com/office/drawing/2010/main" val="0"/>
                              </a:ext>
                            </a:extLst>
                          </a:blip>
                          <a:stretch>
                            <a:fillRect/>
                          </a:stretch>
                        </pic:blipFill>
                        <pic:spPr>
                          <a:xfrm>
                            <a:off x="0" y="0"/>
                            <a:ext cx="391784" cy="457082"/>
                          </a:xfrm>
                          <a:prstGeom prst="rect">
                            <a:avLst/>
                          </a:prstGeom>
                        </pic:spPr>
                      </pic:pic>
                    </a:graphicData>
                  </a:graphic>
                </wp:inline>
              </w:drawing>
            </w:r>
          </w:p>
        </w:tc>
        <w:tc>
          <w:tcPr>
            <w:tcW w:w="4432" w:type="pct"/>
            <w:shd w:val="clear" w:color="auto" w:fill="F0F8F9"/>
            <w:vAlign w:val="center"/>
          </w:tcPr>
          <w:p w:rsidR="003464A9" w:rsidRPr="00891C86" w:rsidP="003464A9" w14:paraId="7FEE11E7" w14:textId="3BD10303">
            <w:pPr>
              <w:pStyle w:val="73R"/>
              <w:rPr>
                <w:rtl/>
              </w:rPr>
            </w:pPr>
            <w:r w:rsidRPr="00983FA4">
              <w:rPr>
                <w:rtl/>
              </w:rPr>
              <w:t>פורסמו הנחיות מחייבות לדיווח לציבור</w:t>
            </w:r>
          </w:p>
        </w:tc>
      </w:tr>
      <w:tr w14:paraId="67BAB9DE" w14:textId="77777777" w:rsidTr="003464A9">
        <w:tblPrEx>
          <w:tblW w:w="5000" w:type="pct"/>
          <w:shd w:val="clear" w:color="auto" w:fill="F0F8F9"/>
          <w:tblLook w:val="04A0"/>
        </w:tblPrEx>
        <w:trPr>
          <w:trHeight w:val="314"/>
        </w:trPr>
        <w:tc>
          <w:tcPr>
            <w:tcW w:w="568" w:type="pct"/>
            <w:vMerge/>
            <w:shd w:val="clear" w:color="auto" w:fill="F0F8F9"/>
          </w:tcPr>
          <w:p w:rsidR="003464A9" w:rsidRPr="008412EC" w:rsidP="003464A9" w14:paraId="6EC90756" w14:textId="77777777">
            <w:pPr>
              <w:pStyle w:val="719"/>
              <w:spacing w:after="0" w:line="360" w:lineRule="auto"/>
              <w:ind w:left="794" w:hanging="794"/>
              <w:rPr>
                <w:rFonts w:cs="David"/>
                <w:color w:val="00305F"/>
                <w:sz w:val="22"/>
                <w:szCs w:val="22"/>
                <w:rtl/>
              </w:rPr>
            </w:pPr>
          </w:p>
        </w:tc>
        <w:tc>
          <w:tcPr>
            <w:tcW w:w="4432" w:type="pct"/>
            <w:shd w:val="clear" w:color="auto" w:fill="DFECEF"/>
            <w:vAlign w:val="center"/>
          </w:tcPr>
          <w:p w:rsidR="003464A9" w:rsidRPr="00EB7173" w:rsidP="003464A9" w14:paraId="312B5DD0" w14:textId="69FEA5E2">
            <w:pPr>
              <w:pStyle w:val="73R"/>
              <w:rPr>
                <w:b/>
                <w:rtl/>
              </w:rPr>
            </w:pPr>
            <w:r w:rsidRPr="00983FA4">
              <w:rPr>
                <w:rtl/>
              </w:rPr>
              <w:t>פורסמו הנחיות דיווח לרגולטור</w:t>
            </w:r>
          </w:p>
        </w:tc>
      </w:tr>
      <w:tr w14:paraId="394AE40E" w14:textId="77777777" w:rsidTr="003464A9">
        <w:tblPrEx>
          <w:tblW w:w="5000" w:type="pct"/>
          <w:shd w:val="clear" w:color="auto" w:fill="F0F8F9"/>
          <w:tblLook w:val="04A0"/>
        </w:tblPrEx>
        <w:trPr>
          <w:trHeight w:val="314"/>
        </w:trPr>
        <w:tc>
          <w:tcPr>
            <w:tcW w:w="568" w:type="pct"/>
            <w:vMerge/>
            <w:shd w:val="clear" w:color="auto" w:fill="F0F8F9"/>
          </w:tcPr>
          <w:p w:rsidR="003464A9" w:rsidRPr="008412EC" w:rsidP="003464A9" w14:paraId="01797A87" w14:textId="77777777">
            <w:pPr>
              <w:pStyle w:val="719"/>
              <w:spacing w:after="0" w:line="360" w:lineRule="auto"/>
              <w:ind w:left="794" w:hanging="794"/>
              <w:rPr>
                <w:rFonts w:cs="David"/>
                <w:color w:val="00305F"/>
                <w:sz w:val="22"/>
                <w:szCs w:val="22"/>
                <w:rtl/>
              </w:rPr>
            </w:pPr>
          </w:p>
        </w:tc>
        <w:tc>
          <w:tcPr>
            <w:tcW w:w="4432" w:type="pct"/>
            <w:shd w:val="clear" w:color="auto" w:fill="F0F8F9"/>
            <w:vAlign w:val="center"/>
          </w:tcPr>
          <w:p w:rsidR="003464A9" w:rsidP="003464A9" w14:paraId="2C5E50B4" w14:textId="4152B1D9">
            <w:pPr>
              <w:pStyle w:val="73R"/>
              <w:rPr>
                <w:b/>
                <w:rtl/>
              </w:rPr>
            </w:pPr>
            <w:r w:rsidRPr="00983FA4">
              <w:rPr>
                <w:rFonts w:hint="cs"/>
                <w:rtl/>
              </w:rPr>
              <w:t>פורסמו</w:t>
            </w:r>
            <w:r w:rsidRPr="00983FA4">
              <w:rPr>
                <w:rtl/>
              </w:rPr>
              <w:t xml:space="preserve"> הנחיות מעבר לדיווח שמטרתן </w:t>
            </w:r>
            <w:r w:rsidRPr="00983FA4">
              <w:rPr>
                <w:rFonts w:hint="cs"/>
                <w:rtl/>
              </w:rPr>
              <w:t>ניהול</w:t>
            </w:r>
            <w:r w:rsidRPr="00983FA4">
              <w:rPr>
                <w:rtl/>
              </w:rPr>
              <w:t xml:space="preserve"> חשיפת מפוקחים לסיכוני אקלים</w:t>
            </w:r>
          </w:p>
        </w:tc>
      </w:tr>
    </w:tbl>
    <w:p w:rsidR="00F20E3F" w:rsidRPr="00426037" w:rsidP="001E2E5A" w14:paraId="746CE949" w14:textId="77777777">
      <w:pPr>
        <w:pStyle w:val="7392"/>
        <w:spacing w:before="240"/>
        <w:rPr>
          <w:rtl/>
        </w:rPr>
      </w:pPr>
      <w:r w:rsidRPr="00426037">
        <w:rPr>
          <w:rFonts w:hint="cs"/>
          <w:rtl/>
        </w:rPr>
        <w:t>ממצאי השאלון מעידים כי הרשות החלה בפעולות מסוימות כלפי המפוקחים שלה בנוגע לשינויי האקלים. להלן פירוט של עיקרי הפעולות שקודמו על ידי רשות שוק ההון ועלו בביקורת המעקב:</w:t>
      </w:r>
    </w:p>
    <w:p w:rsidR="00F20E3F" w:rsidP="00287CB1" w14:paraId="113E8012" w14:textId="77777777">
      <w:pPr>
        <w:pStyle w:val="734"/>
        <w:numPr>
          <w:ilvl w:val="0"/>
          <w:numId w:val="29"/>
        </w:numPr>
      </w:pPr>
      <w:r w:rsidRPr="00AA3356">
        <w:rPr>
          <w:rFonts w:hint="cs"/>
          <w:rtl/>
        </w:rPr>
        <w:t xml:space="preserve">לעניין </w:t>
      </w:r>
      <w:r w:rsidRPr="0036546B">
        <w:rPr>
          <w:rFonts w:hint="eastAsia"/>
          <w:b/>
          <w:bCs/>
          <w:rtl/>
        </w:rPr>
        <w:t>ניהול</w:t>
      </w:r>
      <w:r w:rsidRPr="0036546B">
        <w:rPr>
          <w:b/>
          <w:bCs/>
          <w:rtl/>
        </w:rPr>
        <w:t xml:space="preserve"> </w:t>
      </w:r>
      <w:r w:rsidRPr="0036546B">
        <w:rPr>
          <w:rFonts w:hint="eastAsia"/>
          <w:b/>
          <w:bCs/>
          <w:rtl/>
        </w:rPr>
        <w:t>סיכונים</w:t>
      </w:r>
      <w:r>
        <w:rPr>
          <w:rFonts w:hint="cs"/>
          <w:rtl/>
        </w:rPr>
        <w:t>,</w:t>
      </w:r>
      <w:r w:rsidRPr="00AA3356">
        <w:rPr>
          <w:rFonts w:hint="cs"/>
          <w:rtl/>
        </w:rPr>
        <w:t xml:space="preserve"> </w:t>
      </w:r>
      <w:r>
        <w:rPr>
          <w:rFonts w:hint="cs"/>
          <w:rtl/>
        </w:rPr>
        <w:t xml:space="preserve">במכתב שהפיצה רשות שוק ההון </w:t>
      </w:r>
      <w:r w:rsidRPr="00AA3356">
        <w:rPr>
          <w:rFonts w:hint="cs"/>
          <w:rtl/>
        </w:rPr>
        <w:t>בינואר 2022</w:t>
      </w:r>
      <w:r>
        <w:rPr>
          <w:rFonts w:hint="cs"/>
          <w:rtl/>
        </w:rPr>
        <w:t xml:space="preserve"> בקרב חברות הביטוח בנושא</w:t>
      </w:r>
      <w:r w:rsidRPr="00AA3356">
        <w:rPr>
          <w:rFonts w:hint="cs"/>
          <w:rtl/>
        </w:rPr>
        <w:t xml:space="preserve"> </w:t>
      </w:r>
      <w:r w:rsidRPr="00AA3356">
        <w:rPr>
          <w:rtl/>
        </w:rPr>
        <w:t>עקרונות ליישום הערכה עצמית של הסיכונים וכושר הפירעון של חברות ביטוח</w:t>
      </w:r>
      <w:r>
        <w:rPr>
          <w:rFonts w:hint="cs"/>
          <w:rtl/>
        </w:rPr>
        <w:t xml:space="preserve"> </w:t>
      </w:r>
      <w:r>
        <w:t>(ORSA)</w:t>
      </w:r>
      <w:r>
        <w:rPr>
          <w:rFonts w:hint="cs"/>
          <w:rtl/>
        </w:rPr>
        <w:t xml:space="preserve">, </w:t>
      </w:r>
      <w:r w:rsidRPr="00AA3356">
        <w:rPr>
          <w:rFonts w:hint="cs"/>
          <w:rtl/>
        </w:rPr>
        <w:t xml:space="preserve">נקבעה הנחיה </w:t>
      </w:r>
      <w:r>
        <w:rPr>
          <w:rFonts w:hint="cs"/>
          <w:rtl/>
        </w:rPr>
        <w:t xml:space="preserve">ולפיה </w:t>
      </w:r>
      <w:r w:rsidRPr="00AA3356">
        <w:rPr>
          <w:rFonts w:hint="cs"/>
          <w:rtl/>
        </w:rPr>
        <w:t xml:space="preserve">על חברות הביטוח לכלול </w:t>
      </w:r>
      <w:r w:rsidRPr="00AA3356">
        <w:rPr>
          <w:rtl/>
        </w:rPr>
        <w:t>מסגרת לזיהוי והערכה של סיכונים מתפתחים אשר עלולים להשפיע על פעילות</w:t>
      </w:r>
      <w:r w:rsidRPr="00AA3356">
        <w:rPr>
          <w:rFonts w:hint="cs"/>
          <w:rtl/>
        </w:rPr>
        <w:t>ן</w:t>
      </w:r>
      <w:r w:rsidRPr="00AA3356">
        <w:rPr>
          <w:rtl/>
        </w:rPr>
        <w:t xml:space="preserve"> בטווח הא</w:t>
      </w:r>
      <w:r w:rsidRPr="00AA3356">
        <w:rPr>
          <w:rFonts w:hint="cs"/>
          <w:rtl/>
        </w:rPr>
        <w:t>רוך</w:t>
      </w:r>
      <w:r>
        <w:rPr>
          <w:rFonts w:hint="cs"/>
          <w:rtl/>
        </w:rPr>
        <w:t>,</w:t>
      </w:r>
      <w:r w:rsidRPr="00AA3356">
        <w:rPr>
          <w:rFonts w:hint="cs"/>
          <w:rtl/>
        </w:rPr>
        <w:t xml:space="preserve"> ובפרט סיכוני קיימות </w:t>
      </w:r>
      <w:r>
        <w:rPr>
          <w:rFonts w:hint="cs"/>
          <w:rtl/>
        </w:rPr>
        <w:t>אם</w:t>
      </w:r>
      <w:r w:rsidRPr="00AA3356">
        <w:rPr>
          <w:rFonts w:hint="cs"/>
          <w:rtl/>
        </w:rPr>
        <w:t xml:space="preserve"> יש להם השפעה מהותית</w:t>
      </w:r>
      <w:r>
        <w:rPr>
          <w:rStyle w:val="FootnoteReference2"/>
          <w:rtl/>
        </w:rPr>
        <w:footnoteReference w:id="146"/>
      </w:r>
      <w:r w:rsidRPr="00AA3356">
        <w:rPr>
          <w:rFonts w:hint="cs"/>
          <w:rtl/>
        </w:rPr>
        <w:t xml:space="preserve">. </w:t>
      </w:r>
      <w:r>
        <w:rPr>
          <w:rFonts w:hint="cs"/>
          <w:rtl/>
        </w:rPr>
        <w:t xml:space="preserve">לעניין </w:t>
      </w:r>
      <w:r w:rsidRPr="0036546B">
        <w:rPr>
          <w:rFonts w:hint="eastAsia"/>
          <w:b/>
          <w:bCs/>
          <w:rtl/>
        </w:rPr>
        <w:t>ניהול</w:t>
      </w:r>
      <w:r w:rsidRPr="0036546B">
        <w:rPr>
          <w:b/>
          <w:bCs/>
          <w:rtl/>
        </w:rPr>
        <w:t xml:space="preserve"> </w:t>
      </w:r>
      <w:r w:rsidRPr="0036546B">
        <w:rPr>
          <w:rFonts w:hint="eastAsia"/>
          <w:b/>
          <w:bCs/>
          <w:rtl/>
        </w:rPr>
        <w:t>השקעות</w:t>
      </w:r>
      <w:r>
        <w:rPr>
          <w:rFonts w:hint="cs"/>
          <w:rtl/>
        </w:rPr>
        <w:t xml:space="preserve"> הועלה כי רשות שוק ההון פרסמה בנובמבר 2021 הוראת חוזר מתוקנת שכוללת הנחיות להטמעת שיקולי קיימות בניהול ההשקעות. </w:t>
      </w:r>
      <w:r w:rsidRPr="00AA3356">
        <w:rPr>
          <w:rFonts w:hint="cs"/>
          <w:rtl/>
        </w:rPr>
        <w:t xml:space="preserve">לעניין </w:t>
      </w:r>
      <w:r w:rsidRPr="0036546B">
        <w:rPr>
          <w:rFonts w:hint="eastAsia"/>
          <w:b/>
          <w:bCs/>
          <w:rtl/>
        </w:rPr>
        <w:t>חובות</w:t>
      </w:r>
      <w:r w:rsidRPr="0036546B">
        <w:rPr>
          <w:b/>
          <w:bCs/>
          <w:rtl/>
        </w:rPr>
        <w:t xml:space="preserve"> </w:t>
      </w:r>
      <w:r w:rsidRPr="0036546B">
        <w:rPr>
          <w:rFonts w:hint="eastAsia"/>
          <w:b/>
          <w:bCs/>
          <w:rtl/>
        </w:rPr>
        <w:t>הגילוי</w:t>
      </w:r>
      <w:r w:rsidRPr="00AA3356">
        <w:rPr>
          <w:rFonts w:hint="cs"/>
          <w:rtl/>
        </w:rPr>
        <w:t xml:space="preserve"> נקבעה</w:t>
      </w:r>
      <w:r>
        <w:rPr>
          <w:rFonts w:hint="cs"/>
          <w:rtl/>
        </w:rPr>
        <w:t xml:space="preserve"> ב</w:t>
      </w:r>
      <w:r w:rsidRPr="00AA3356">
        <w:rPr>
          <w:rFonts w:hint="cs"/>
          <w:rtl/>
        </w:rPr>
        <w:t xml:space="preserve">נובמבר 2021 </w:t>
      </w:r>
      <w:r>
        <w:rPr>
          <w:rFonts w:hint="cs"/>
          <w:rtl/>
        </w:rPr>
        <w:t xml:space="preserve">חובת גילוי בנוגע לשיקולי אקלים וקיימות במדיניות ההשקעה. </w:t>
      </w:r>
    </w:p>
    <w:p w:rsidR="00F20E3F" w:rsidP="00287CB1" w14:paraId="25C3F168" w14:textId="77777777">
      <w:pPr>
        <w:pStyle w:val="734"/>
        <w:numPr>
          <w:ilvl w:val="0"/>
          <w:numId w:val="29"/>
        </w:numPr>
      </w:pPr>
      <w:r>
        <w:rPr>
          <w:rFonts w:hint="cs"/>
          <w:rtl/>
        </w:rPr>
        <w:t>רשות שוק ההון מסרה למשרד מבקר המדינה כי היא קיימה בחינות של מדיניות השקעה בקרב הגופים המוסדיים, ונמצא כי כל הגופים המוסדיים שנבחנו פעלו בהתאם להנחיות המעודכנות שלה, וכשני שלישים מחברות הביטוח התייחסו בכתב לסיכוני קיימות בניהול הסיכונים הכולל, דבר אשר מלמד על הטמעה מהירה של הדרישות בהנחיות הרשות</w:t>
      </w:r>
      <w:r>
        <w:rPr>
          <w:rStyle w:val="FootnoteReference2"/>
          <w:rtl/>
        </w:rPr>
        <w:footnoteReference w:id="147"/>
      </w:r>
      <w:r>
        <w:rPr>
          <w:rFonts w:hint="cs"/>
          <w:rtl/>
        </w:rPr>
        <w:t xml:space="preserve">. עם זאת לפי דוח מבקר המדינה משנת 2023 </w:t>
      </w:r>
      <w:r w:rsidRPr="00773D41">
        <w:rPr>
          <w:rFonts w:hint="cs"/>
          <w:rtl/>
        </w:rPr>
        <w:t>בנושא הפיקוח של רשות שוק ההון על הגופים המוסדיים</w:t>
      </w:r>
      <w:r>
        <w:rPr>
          <w:rStyle w:val="FootnoteReference2"/>
          <w:rtl/>
        </w:rPr>
        <w:footnoteReference w:id="148"/>
      </w:r>
      <w:r w:rsidRPr="00773D41">
        <w:rPr>
          <w:rFonts w:hint="cs"/>
          <w:rtl/>
        </w:rPr>
        <w:t>,</w:t>
      </w:r>
      <w:r w:rsidRPr="00425711">
        <w:rPr>
          <w:rtl/>
        </w:rPr>
        <w:t xml:space="preserve"> בספטמבר 2022 </w:t>
      </w:r>
      <w:r>
        <w:rPr>
          <w:rFonts w:hint="cs"/>
          <w:rtl/>
        </w:rPr>
        <w:t>ביצעה</w:t>
      </w:r>
      <w:r w:rsidRPr="00425711">
        <w:rPr>
          <w:rtl/>
        </w:rPr>
        <w:t xml:space="preserve"> הרשות סקירה של מדיניות השק</w:t>
      </w:r>
      <w:r>
        <w:rPr>
          <w:rFonts w:hint="cs"/>
          <w:rtl/>
        </w:rPr>
        <w:t>עות</w:t>
      </w:r>
      <w:r w:rsidRPr="00425711">
        <w:rPr>
          <w:rtl/>
        </w:rPr>
        <w:t xml:space="preserve"> </w:t>
      </w:r>
      <w:r>
        <w:rPr>
          <w:rFonts w:hint="cs"/>
        </w:rPr>
        <w:t>ESG</w:t>
      </w:r>
      <w:r>
        <w:rPr>
          <w:rFonts w:hint="cs"/>
          <w:rtl/>
        </w:rPr>
        <w:t xml:space="preserve"> </w:t>
      </w:r>
      <w:r w:rsidRPr="00425711">
        <w:rPr>
          <w:rtl/>
        </w:rPr>
        <w:t xml:space="preserve">בקרב מדגם של 11 גופים מוסדיים מובילים והתמקדה בסקירת הדיווחים הפומביים. </w:t>
      </w:r>
      <w:r>
        <w:rPr>
          <w:rFonts w:hint="cs"/>
          <w:rtl/>
        </w:rPr>
        <w:t xml:space="preserve">על בסיס ממצאי הרשות בסקירתה לגבי יישום הוראות הגילוי לעניין שיקולי </w:t>
      </w:r>
      <w:r>
        <w:rPr>
          <w:rFonts w:hint="cs"/>
        </w:rPr>
        <w:t>ESG</w:t>
      </w:r>
      <w:r>
        <w:rPr>
          <w:rFonts w:hint="cs"/>
          <w:rtl/>
        </w:rPr>
        <w:t xml:space="preserve">, דוח מבקר המדינה </w:t>
      </w:r>
      <w:r w:rsidRPr="00BB0886">
        <w:rPr>
          <w:rFonts w:hint="eastAsia"/>
          <w:rtl/>
        </w:rPr>
        <w:t>האמור</w:t>
      </w:r>
      <w:r>
        <w:rPr>
          <w:rFonts w:hint="cs"/>
          <w:rtl/>
        </w:rPr>
        <w:t xml:space="preserve"> הציג את </w:t>
      </w:r>
      <w:r w:rsidRPr="00425711">
        <w:rPr>
          <w:rtl/>
        </w:rPr>
        <w:t xml:space="preserve">ממצאי רשות </w:t>
      </w:r>
      <w:r>
        <w:rPr>
          <w:rFonts w:hint="cs"/>
          <w:rtl/>
        </w:rPr>
        <w:t xml:space="preserve">שוק ההון אשר </w:t>
      </w:r>
      <w:r w:rsidRPr="00425711">
        <w:rPr>
          <w:rtl/>
        </w:rPr>
        <w:t>העידו על שונות גדולה בין הגופים ביישום החוזר, ובפרט ב</w:t>
      </w:r>
      <w:r>
        <w:rPr>
          <w:rFonts w:hint="cs"/>
          <w:rtl/>
        </w:rPr>
        <w:t>נוגע ל</w:t>
      </w:r>
      <w:r w:rsidRPr="00425711">
        <w:rPr>
          <w:rtl/>
        </w:rPr>
        <w:t>דגשים שיושמו מתוך סעיפיו</w:t>
      </w:r>
      <w:r>
        <w:rPr>
          <w:rFonts w:hint="cs"/>
          <w:rtl/>
        </w:rPr>
        <w:t xml:space="preserve">: </w:t>
      </w:r>
      <w:r w:rsidRPr="00425711">
        <w:rPr>
          <w:rtl/>
        </w:rPr>
        <w:t xml:space="preserve">רוב הגופים (55%) </w:t>
      </w:r>
      <w:r>
        <w:rPr>
          <w:rFonts w:hint="cs"/>
          <w:rtl/>
        </w:rPr>
        <w:t xml:space="preserve">אינם </w:t>
      </w:r>
      <w:r w:rsidRPr="00425711">
        <w:rPr>
          <w:rtl/>
        </w:rPr>
        <w:t xml:space="preserve">מפרסמים שיקולי </w:t>
      </w:r>
      <w:r w:rsidRPr="00425711">
        <w:t>ESG</w:t>
      </w:r>
      <w:r w:rsidRPr="00425711">
        <w:rPr>
          <w:rtl/>
        </w:rPr>
        <w:t xml:space="preserve"> במלואם</w:t>
      </w:r>
      <w:r>
        <w:rPr>
          <w:rFonts w:hint="cs"/>
          <w:rtl/>
        </w:rPr>
        <w:t>,</w:t>
      </w:r>
      <w:r w:rsidRPr="00425711">
        <w:rPr>
          <w:rtl/>
        </w:rPr>
        <w:t xml:space="preserve"> ו</w:t>
      </w:r>
      <w:r>
        <w:rPr>
          <w:rFonts w:hint="cs"/>
          <w:rtl/>
        </w:rPr>
        <w:t>אינם</w:t>
      </w:r>
      <w:r w:rsidRPr="00425711">
        <w:rPr>
          <w:rtl/>
        </w:rPr>
        <w:t xml:space="preserve"> מפרטים, בהתאם לדרישות החוזר, כיצד אלה מיושמים במדיניות ההשקעה, בבחינת ההשקעות ובאופן ניהולן</w:t>
      </w:r>
      <w:r>
        <w:rPr>
          <w:rFonts w:hint="cs"/>
          <w:rtl/>
        </w:rPr>
        <w:t>;</w:t>
      </w:r>
      <w:r w:rsidRPr="00425711">
        <w:rPr>
          <w:rtl/>
        </w:rPr>
        <w:t xml:space="preserve"> ברוב הגופים (55%) אין התייחסות לשיקולי אקלים בבחינת השקעות החשופות לסיכוני אקלים שעלולים להשפיע באופן מהותי על שוויין</w:t>
      </w:r>
      <w:r>
        <w:rPr>
          <w:rFonts w:hint="cs"/>
          <w:rtl/>
        </w:rPr>
        <w:t>;</w:t>
      </w:r>
      <w:r w:rsidRPr="00425711">
        <w:rPr>
          <w:rtl/>
        </w:rPr>
        <w:t xml:space="preserve"> רוב הגופים (73%) דיווחו כי לא יימנעו מהשקעה בתחומים מסוימים בשל שיקולי </w:t>
      </w:r>
      <w:r w:rsidRPr="00425711">
        <w:t>ESG</w:t>
      </w:r>
      <w:r w:rsidRPr="00425711">
        <w:rPr>
          <w:rtl/>
        </w:rPr>
        <w:t xml:space="preserve">, וכי אלה נכללים בין כלל השיקולים המובאים בחשבון </w:t>
      </w:r>
      <w:r>
        <w:rPr>
          <w:rFonts w:hint="cs"/>
          <w:rtl/>
        </w:rPr>
        <w:t>קודם</w:t>
      </w:r>
      <w:r w:rsidRPr="00425711">
        <w:rPr>
          <w:rtl/>
        </w:rPr>
        <w:t xml:space="preserve"> ההשקעה</w:t>
      </w:r>
      <w:r>
        <w:rPr>
          <w:rFonts w:hint="cs"/>
          <w:rtl/>
        </w:rPr>
        <w:t>;</w:t>
      </w:r>
      <w:r w:rsidRPr="00425711">
        <w:rPr>
          <w:rtl/>
        </w:rPr>
        <w:t xml:space="preserve"> ברוב הגופים (55%) אין התייחסות מיוחדת להשקעה בדירוג </w:t>
      </w:r>
      <w:r w:rsidRPr="00425711">
        <w:t>ESG</w:t>
      </w:r>
      <w:r w:rsidRPr="00425711">
        <w:rPr>
          <w:rtl/>
        </w:rPr>
        <w:t xml:space="preserve"> נמוך, ובכלל זה אישור מדרג סמכויות או בחינה של נקודות החולשה שהובילו לדירוג הנמוך</w:t>
      </w:r>
      <w:r>
        <w:rPr>
          <w:rFonts w:hint="cs"/>
          <w:rtl/>
        </w:rPr>
        <w:t>;</w:t>
      </w:r>
      <w:r w:rsidRPr="00425711">
        <w:rPr>
          <w:rtl/>
        </w:rPr>
        <w:t xml:space="preserve"> </w:t>
      </w:r>
      <w:r>
        <w:rPr>
          <w:rFonts w:hint="cs"/>
          <w:rtl/>
        </w:rPr>
        <w:t>ו-</w:t>
      </w:r>
      <w:r w:rsidRPr="00425711">
        <w:rPr>
          <w:rtl/>
        </w:rPr>
        <w:t>91% מהגופים התקשרו עם יועצים חיצוניים</w:t>
      </w:r>
      <w:r>
        <w:rPr>
          <w:rFonts w:hint="cs"/>
          <w:rtl/>
        </w:rPr>
        <w:t>.</w:t>
      </w:r>
    </w:p>
    <w:p w:rsidR="00F20E3F" w:rsidRPr="00402E73" w:rsidP="00426037" w14:paraId="6910E577" w14:textId="77777777">
      <w:pPr>
        <w:pStyle w:val="7316"/>
        <w:rPr>
          <w:rtl/>
        </w:rPr>
      </w:pPr>
      <w:r>
        <w:rPr>
          <w:rFonts w:hint="cs"/>
          <w:rtl/>
        </w:rPr>
        <w:t xml:space="preserve">רשות שוק ההון הבהירה בתשובתה כי בסקירה שהיא קיימה על מדיניות השקעות </w:t>
      </w:r>
      <w:r>
        <w:rPr>
          <w:rFonts w:hint="cs"/>
        </w:rPr>
        <w:t>ESG</w:t>
      </w:r>
      <w:r>
        <w:rPr>
          <w:rFonts w:hint="cs"/>
          <w:rtl/>
        </w:rPr>
        <w:t xml:space="preserve"> מספטמבר 2022, אשר אוזכרה לעיל, היא בחנה היבטים שונים של פרסומים של הגופים המוסדיים הנוגעים ל-</w:t>
      </w:r>
      <w:r>
        <w:rPr>
          <w:rFonts w:hint="cs"/>
        </w:rPr>
        <w:t>ESG</w:t>
      </w:r>
      <w:r>
        <w:rPr>
          <w:rFonts w:hint="cs"/>
          <w:rtl/>
        </w:rPr>
        <w:t xml:space="preserve"> ולא מצאה ממצאים חריגים ביחס להנחיות החוזר; לשיטתה, הגופים המוסדיים שנבדקו "אכן מקיימים את הנחיות הרשות ומפרסמים מדיניות </w:t>
      </w:r>
      <w:r>
        <w:rPr>
          <w:rFonts w:hint="cs"/>
        </w:rPr>
        <w:t>ESG</w:t>
      </w:r>
      <w:r>
        <w:rPr>
          <w:rFonts w:hint="cs"/>
          <w:rtl/>
        </w:rPr>
        <w:t xml:space="preserve"> באתר האינטרנט שלהם".</w:t>
      </w:r>
    </w:p>
    <w:p w:rsidR="00F20E3F" w:rsidRPr="00426037" w:rsidP="00426037" w14:paraId="483FF965" w14:textId="77777777">
      <w:pPr>
        <w:pStyle w:val="7316"/>
        <w:rPr>
          <w:rtl/>
        </w:rPr>
      </w:pPr>
      <w:r w:rsidRPr="00426037">
        <w:rPr>
          <w:rFonts w:hint="cs"/>
          <w:rtl/>
        </w:rPr>
        <w:t xml:space="preserve">ביוני 2021 קידמה רשות שוק ההון </w:t>
      </w:r>
      <w:r w:rsidRPr="00426037">
        <w:rPr>
          <w:rFonts w:hint="cs"/>
          <w:b/>
          <w:bCs/>
          <w:rtl/>
        </w:rPr>
        <w:t>הקלות להשקעות</w:t>
      </w:r>
      <w:r w:rsidRPr="00426037">
        <w:rPr>
          <w:rFonts w:hint="cs"/>
          <w:rtl/>
        </w:rPr>
        <w:t xml:space="preserve"> שמתבטאות באפשרות להגדיל החזקות בפרויקטים של תשתיות שמטרתם שיפור יכולת ההתמודדות עם השפעות שינויי האקלים והפחתתן.</w:t>
      </w:r>
    </w:p>
    <w:p w:rsidR="00F20E3F" w:rsidRPr="00426037" w:rsidP="00426037" w14:paraId="594F787F" w14:textId="77777777">
      <w:pPr>
        <w:pStyle w:val="7316"/>
        <w:rPr>
          <w:rtl/>
        </w:rPr>
      </w:pPr>
      <w:r w:rsidRPr="00426037">
        <w:rPr>
          <w:rFonts w:hint="cs"/>
          <w:rtl/>
        </w:rPr>
        <w:t xml:space="preserve">לפי </w:t>
      </w:r>
      <w:r w:rsidRPr="00426037">
        <w:rPr>
          <w:rtl/>
        </w:rPr>
        <w:t>רשות שוק ההון</w:t>
      </w:r>
      <w:r w:rsidRPr="00426037">
        <w:rPr>
          <w:rFonts w:hint="cs"/>
          <w:rtl/>
        </w:rPr>
        <w:t>,</w:t>
      </w:r>
      <w:r w:rsidRPr="00426037">
        <w:rPr>
          <w:rtl/>
        </w:rPr>
        <w:t xml:space="preserve"> הנחיות</w:t>
      </w:r>
      <w:r w:rsidRPr="00426037">
        <w:rPr>
          <w:rFonts w:hint="cs"/>
          <w:rtl/>
        </w:rPr>
        <w:t>יה</w:t>
      </w:r>
      <w:r w:rsidRPr="00426037">
        <w:rPr>
          <w:rtl/>
        </w:rPr>
        <w:t xml:space="preserve"> בנוגע ל</w:t>
      </w:r>
      <w:r w:rsidRPr="00426037">
        <w:rPr>
          <w:rFonts w:hint="cs"/>
          <w:rtl/>
        </w:rPr>
        <w:t>גילוי ול</w:t>
      </w:r>
      <w:r w:rsidRPr="00426037">
        <w:rPr>
          <w:rtl/>
        </w:rPr>
        <w:t xml:space="preserve">ניהול </w:t>
      </w:r>
      <w:r w:rsidRPr="00426037">
        <w:rPr>
          <w:rFonts w:hint="cs"/>
          <w:rtl/>
        </w:rPr>
        <w:t xml:space="preserve">של </w:t>
      </w:r>
      <w:r w:rsidRPr="00426037">
        <w:rPr>
          <w:rtl/>
        </w:rPr>
        <w:t xml:space="preserve">סיכוני אקלים פורסמו לאחר עבודת מטה מקיפה </w:t>
      </w:r>
      <w:r w:rsidRPr="00426037">
        <w:rPr>
          <w:rFonts w:hint="cs"/>
          <w:rtl/>
        </w:rPr>
        <w:t>ש</w:t>
      </w:r>
      <w:r w:rsidRPr="00426037">
        <w:rPr>
          <w:rtl/>
        </w:rPr>
        <w:t xml:space="preserve">כללה סקירה של הנחיות בעולם והשוואה למצב הקיים בישראל, לרבות </w:t>
      </w:r>
      <w:r w:rsidRPr="00426037">
        <w:rPr>
          <w:rtl/>
        </w:rPr>
        <w:t>לעניין הקשר בין רגולציה בתחום הריאלי לרגולציה בתחום הפיננסי. במסגרת עבודת המטה התקיים דיון בהערות לטיוטה של ההנחיות, אשר</w:t>
      </w:r>
      <w:r w:rsidRPr="00426037">
        <w:rPr>
          <w:rFonts w:hint="cs"/>
          <w:rtl/>
        </w:rPr>
        <w:t xml:space="preserve"> </w:t>
      </w:r>
      <w:r w:rsidRPr="00426037">
        <w:rPr>
          <w:rtl/>
        </w:rPr>
        <w:t xml:space="preserve">פורסמה מבעוד מועד. בין היתר, התקבלו ונדונו הערות </w:t>
      </w:r>
      <w:r w:rsidRPr="00426037">
        <w:rPr>
          <w:rFonts w:hint="cs"/>
          <w:rtl/>
        </w:rPr>
        <w:t xml:space="preserve">המשרד </w:t>
      </w:r>
      <w:r w:rsidRPr="00426037">
        <w:rPr>
          <w:rFonts w:hint="cs"/>
          <w:rtl/>
        </w:rPr>
        <w:t>להג"ס</w:t>
      </w:r>
      <w:r w:rsidRPr="00426037">
        <w:rPr>
          <w:rFonts w:hint="cs"/>
          <w:rtl/>
        </w:rPr>
        <w:t xml:space="preserve">, ולפיהן ההוראות הקיימות למנהלי השקעות בנוגע לאופן ניהול סיכוני האקלים הן מפורטות יותר בעולם </w:t>
      </w:r>
      <w:r w:rsidRPr="00426037">
        <w:rPr>
          <w:rFonts w:hint="cs"/>
          <w:rtl/>
        </w:rPr>
        <w:t>מבישראל</w:t>
      </w:r>
      <w:r w:rsidRPr="00426037">
        <w:rPr>
          <w:rFonts w:hint="cs"/>
          <w:rtl/>
        </w:rPr>
        <w:t xml:space="preserve">; כמו כן בעולם מקובל גם להנחות את הגופים המוסדיים להוסיף לחובות הגילוי אינדיקטורים ברורים לגבי שיעור החשיפה לפעילויות ונכסים שנחשבים בעלי סיכון (לצורך מניעת </w:t>
      </w:r>
      <w:r w:rsidRPr="00426037">
        <w:t>green washing</w:t>
      </w:r>
      <w:r w:rsidRPr="00426037">
        <w:rPr>
          <w:rFonts w:hint="cs"/>
          <w:rtl/>
        </w:rPr>
        <w:t>), תוך אימוץ "גישת המהותיות הכפולה" הנהוגה באיחוד האירופי המנתחת לא רק את הסיכון הסביבתי לנהנה מהפעילות הכלכלית (החברה), אלא גם את הסיכון שהפעילות יוצרת לסביבה עצמה.</w:t>
      </w:r>
      <w:r w:rsidRPr="00426037">
        <w:rPr>
          <w:rStyle w:val="EndnoteReference"/>
          <w:vertAlign w:val="baseline"/>
          <w:rtl/>
        </w:rPr>
        <w:t xml:space="preserve"> </w:t>
      </w:r>
      <w:r w:rsidRPr="00426037">
        <w:rPr>
          <w:rFonts w:hint="cs"/>
          <w:rtl/>
        </w:rPr>
        <w:t xml:space="preserve">עוד סבור המשרד </w:t>
      </w:r>
      <w:r w:rsidRPr="00426037">
        <w:rPr>
          <w:rFonts w:hint="cs"/>
          <w:rtl/>
        </w:rPr>
        <w:t>להג"ס</w:t>
      </w:r>
      <w:r w:rsidRPr="00426037">
        <w:rPr>
          <w:rFonts w:hint="cs"/>
          <w:rtl/>
        </w:rPr>
        <w:t xml:space="preserve"> כי נכון יהיה שרשות שוק ההון תנחה את ביצועם של מבחני קיצון פנימיים על בסיס תרחישי ייחוס של שינויי האקלים, בפרט בענף הביטוח, ככלי משלים לניהול סיכוני סביבה.</w:t>
      </w:r>
    </w:p>
    <w:p w:rsidR="00F20E3F" w:rsidRPr="00426037" w:rsidP="00287CB1" w14:paraId="58CE940D" w14:textId="77777777">
      <w:pPr>
        <w:pStyle w:val="734"/>
        <w:numPr>
          <w:ilvl w:val="0"/>
          <w:numId w:val="29"/>
        </w:numPr>
        <w:rPr>
          <w:rtl/>
        </w:rPr>
      </w:pPr>
      <w:r w:rsidRPr="00426037">
        <w:rPr>
          <w:rFonts w:hint="cs"/>
          <w:rtl/>
        </w:rPr>
        <w:t>לפי</w:t>
      </w:r>
      <w:r w:rsidRPr="00426037">
        <w:rPr>
          <w:rtl/>
        </w:rPr>
        <w:t xml:space="preserve"> רשות שוק ההון</w:t>
      </w:r>
      <w:r w:rsidRPr="00426037">
        <w:rPr>
          <w:rFonts w:hint="cs"/>
          <w:rtl/>
        </w:rPr>
        <w:t>, במדינות אחרות ה</w:t>
      </w:r>
      <w:r w:rsidRPr="00426037">
        <w:rPr>
          <w:rtl/>
        </w:rPr>
        <w:t xml:space="preserve">נושא של </w:t>
      </w:r>
      <w:r w:rsidRPr="00426037">
        <w:rPr>
          <w:rFonts w:hint="cs"/>
          <w:rtl/>
        </w:rPr>
        <w:t>פיתוח מודלים ומתודולוגיות לזיהוי, הערכה וניהול סיכוני אקלים וסביבה נמצא ברובו בשלבים מוקדמים יחסית,</w:t>
      </w:r>
      <w:r w:rsidRPr="00426037">
        <w:rPr>
          <w:rtl/>
        </w:rPr>
        <w:t xml:space="preserve"> ולכן </w:t>
      </w:r>
      <w:r w:rsidRPr="00426037">
        <w:rPr>
          <w:rFonts w:hint="cs"/>
          <w:rtl/>
        </w:rPr>
        <w:t xml:space="preserve">החלה </w:t>
      </w:r>
      <w:r w:rsidRPr="00426037">
        <w:rPr>
          <w:rFonts w:hint="eastAsia"/>
          <w:rtl/>
        </w:rPr>
        <w:t>של</w:t>
      </w:r>
      <w:r w:rsidRPr="00426037">
        <w:rPr>
          <w:rFonts w:hint="cs"/>
          <w:rtl/>
        </w:rPr>
        <w:t xml:space="preserve"> ש</w:t>
      </w:r>
      <w:r w:rsidRPr="00426037">
        <w:rPr>
          <w:rtl/>
        </w:rPr>
        <w:t xml:space="preserve">יטה אחידה </w:t>
      </w:r>
      <w:r w:rsidRPr="00426037">
        <w:rPr>
          <w:rFonts w:hint="cs"/>
          <w:rtl/>
        </w:rPr>
        <w:t xml:space="preserve">בישראל </w:t>
      </w:r>
      <w:r w:rsidRPr="00426037">
        <w:rPr>
          <w:rtl/>
        </w:rPr>
        <w:t xml:space="preserve">בשלב המוקדם יחסית של התפתחות הידע והשיטות בניהול הסיכונים </w:t>
      </w:r>
      <w:r w:rsidRPr="00426037">
        <w:rPr>
          <w:rFonts w:hint="cs"/>
          <w:rtl/>
        </w:rPr>
        <w:t xml:space="preserve">לגבי האופן שבו יש לבצע </w:t>
      </w:r>
      <w:r w:rsidRPr="00426037">
        <w:rPr>
          <w:rtl/>
        </w:rPr>
        <w:t>את המודלים והמתודולוגיות</w:t>
      </w:r>
      <w:r w:rsidRPr="00426037">
        <w:rPr>
          <w:rFonts w:hint="cs"/>
          <w:rtl/>
        </w:rPr>
        <w:t xml:space="preserve"> </w:t>
      </w:r>
      <w:r w:rsidRPr="00426037">
        <w:rPr>
          <w:rtl/>
        </w:rPr>
        <w:t>- עלולה להוביל לטעות מתודולוגית</w:t>
      </w:r>
      <w:r w:rsidRPr="00426037">
        <w:rPr>
          <w:rFonts w:hint="cs"/>
          <w:rtl/>
        </w:rPr>
        <w:t>.</w:t>
      </w:r>
      <w:r w:rsidRPr="00426037">
        <w:rPr>
          <w:rtl/>
        </w:rPr>
        <w:t xml:space="preserve"> </w:t>
      </w:r>
      <w:r w:rsidRPr="00426037">
        <w:rPr>
          <w:rFonts w:hint="cs"/>
          <w:rtl/>
        </w:rPr>
        <w:t xml:space="preserve">על כן, לדעת רשות שוק ההון, יש </w:t>
      </w:r>
      <w:r w:rsidRPr="00404135">
        <w:rPr>
          <w:rFonts w:hint="cs"/>
          <w:rtl/>
        </w:rPr>
        <w:t>לאפשר</w:t>
      </w:r>
      <w:r w:rsidRPr="00426037">
        <w:rPr>
          <w:rFonts w:hint="cs"/>
          <w:rtl/>
        </w:rPr>
        <w:t xml:space="preserve"> התאמה של המתודולוגיות לניהול סיכונים ולמאפיינים השונים בהתנהלות העסקית של כל גוף מוסדי ולהתפתחויות מחקריות וטכנולוגיות. מסיבה זו</w:t>
      </w:r>
      <w:r w:rsidRPr="00426037">
        <w:rPr>
          <w:rtl/>
        </w:rPr>
        <w:t xml:space="preserve"> גם דרישות הדיו</w:t>
      </w:r>
      <w:r w:rsidRPr="00426037">
        <w:rPr>
          <w:rFonts w:hint="cs"/>
          <w:rtl/>
        </w:rPr>
        <w:t>וח אינן כוללות מדדים אחידים ואינן מחייבות דיווח כמותי, אבל מאפשרות אותו. הרשות ציינה גם כי הגופים המוסדיים מיישמים את הנחיותי</w:t>
      </w:r>
      <w:r w:rsidRPr="00426037">
        <w:rPr>
          <w:rFonts w:hint="eastAsia"/>
          <w:rtl/>
        </w:rPr>
        <w:t>ה</w:t>
      </w:r>
      <w:r w:rsidRPr="00426037">
        <w:rPr>
          <w:rFonts w:hint="cs"/>
          <w:rtl/>
        </w:rPr>
        <w:t xml:space="preserve"> בעניין ופועלים יותר מהדרישה המזערית להרחבת הידע המקצועי בנושא סיכונים אלה. </w:t>
      </w:r>
    </w:p>
    <w:p w:rsidR="00F20E3F" w:rsidRPr="00511B9D" w:rsidP="00511B9D" w14:paraId="0812907E" w14:textId="77777777">
      <w:pPr>
        <w:pStyle w:val="716"/>
        <w:rPr>
          <w:rtl/>
        </w:rPr>
      </w:pPr>
      <w:r w:rsidRPr="00511B9D">
        <w:rPr>
          <w:rFonts w:hint="cs"/>
          <w:rtl/>
        </w:rPr>
        <w:t xml:space="preserve">בדוח הקודם נמצא כי הנחיות רשות שוק ההון </w:t>
      </w:r>
      <w:r w:rsidRPr="00511B9D">
        <w:rPr>
          <w:rtl/>
        </w:rPr>
        <w:t xml:space="preserve">לא </w:t>
      </w:r>
      <w:r w:rsidRPr="00511B9D">
        <w:rPr>
          <w:rFonts w:hint="cs"/>
          <w:rtl/>
        </w:rPr>
        <w:t>עסקו</w:t>
      </w:r>
      <w:r w:rsidRPr="00511B9D">
        <w:rPr>
          <w:rtl/>
        </w:rPr>
        <w:t xml:space="preserve"> </w:t>
      </w:r>
      <w:r w:rsidRPr="00511B9D">
        <w:rPr>
          <w:rFonts w:hint="cs"/>
          <w:rtl/>
        </w:rPr>
        <w:t>ב</w:t>
      </w:r>
      <w:r w:rsidRPr="00511B9D">
        <w:rPr>
          <w:rtl/>
        </w:rPr>
        <w:t>היבטי אקלים ולא כללו הנחיות ל</w:t>
      </w:r>
      <w:r w:rsidRPr="00511B9D">
        <w:rPr>
          <w:rFonts w:hint="cs"/>
          <w:rtl/>
        </w:rPr>
        <w:t xml:space="preserve">גבי </w:t>
      </w:r>
      <w:r w:rsidRPr="00511B9D">
        <w:rPr>
          <w:rtl/>
        </w:rPr>
        <w:t xml:space="preserve">מתכונת הדיווח בדבר היבטי </w:t>
      </w:r>
      <w:r w:rsidRPr="00511B9D">
        <w:t>ESG</w:t>
      </w:r>
      <w:r w:rsidRPr="00511B9D">
        <w:rPr>
          <w:rtl/>
        </w:rPr>
        <w:t xml:space="preserve"> שיש לפרסם ו</w:t>
      </w:r>
      <w:r w:rsidRPr="00511B9D">
        <w:rPr>
          <w:rFonts w:hint="cs"/>
          <w:rtl/>
        </w:rPr>
        <w:t xml:space="preserve">לגבי השאלה </w:t>
      </w:r>
      <w:r w:rsidRPr="00511B9D">
        <w:rPr>
          <w:rtl/>
        </w:rPr>
        <w:t>אם לכלול</w:t>
      </w:r>
      <w:r w:rsidRPr="00511B9D">
        <w:rPr>
          <w:rFonts w:hint="cs"/>
          <w:rtl/>
        </w:rPr>
        <w:t xml:space="preserve"> בהם</w:t>
      </w:r>
      <w:r w:rsidRPr="00511B9D">
        <w:rPr>
          <w:rtl/>
        </w:rPr>
        <w:t xml:space="preserve"> היבטי אקלים</w:t>
      </w:r>
      <w:r w:rsidRPr="00511B9D">
        <w:rPr>
          <w:rFonts w:hint="cs"/>
          <w:rtl/>
        </w:rPr>
        <w:t>,</w:t>
      </w:r>
      <w:r w:rsidRPr="00511B9D">
        <w:rPr>
          <w:rtl/>
        </w:rPr>
        <w:t xml:space="preserve"> </w:t>
      </w:r>
      <w:r w:rsidRPr="00511B9D">
        <w:rPr>
          <w:rFonts w:hint="cs"/>
          <w:rtl/>
        </w:rPr>
        <w:t xml:space="preserve">והומלץ לשקול פעולות להטמעת הסיכונים הכרוכים בשינויי האקלים במסגרת חובות הגילוי שחלים על גופים מוסדיים בישראל. ביקורת המעקב העלתה שחלה התקדמות בנושא זה, והרשות פרסמה כמה הנחיות בתחומי ניהול הסיכונים, ההשקעות וחובות הגילוי וביצעה סקירה של הטמעת הנחיותיה בגופים מפוקחים, אשר העלתה שונות רבה באופן ובמידה של הטמעת שיקולי </w:t>
      </w:r>
      <w:r w:rsidRPr="00511B9D">
        <w:rPr>
          <w:rFonts w:hint="cs"/>
        </w:rPr>
        <w:t>ESG</w:t>
      </w:r>
      <w:r w:rsidRPr="00511B9D">
        <w:rPr>
          <w:rFonts w:hint="cs"/>
          <w:rtl/>
        </w:rPr>
        <w:t xml:space="preserve">, באופן שמצריכה את הרשות להמשיך ולפעול בעניין ולקדם הטמעה של סיכונים אלו בגופים הפיננסיים שבדקה בפרט בנושא האקלים. אף על פי כן עמדת הרשות היא כי בשלב זה אין מקום לקביעת שיטה אחידה לניהול סיכוני אקלים וסביבה. עוד נמצא בביקורת המעקב כי חובות הגילוי נותרו כלליות וחסרות מרכיבי גילוי כמותי לגבי סך ההשקעות בחברות </w:t>
      </w:r>
      <w:r w:rsidRPr="00511B9D">
        <w:rPr>
          <w:rFonts w:hint="cs"/>
          <w:rtl/>
        </w:rPr>
        <w:t>פוסיליות</w:t>
      </w:r>
      <w:r w:rsidRPr="00511B9D">
        <w:rPr>
          <w:rFonts w:hint="cs"/>
          <w:rtl/>
        </w:rPr>
        <w:t>, ואין הגדרות ברורות לדיווח על היבטי סביבה; וכי הרשות אינה מקדמת בשלב זה מבחני קיצון בהקשר של סיכוני האקלים, בין היתר בשל העובדה שטרם אומץ בישראל תרחיש אקלים לאומי אחוד.</w:t>
      </w:r>
    </w:p>
    <w:p w:rsidR="00F20E3F" w:rsidRPr="00511B9D" w:rsidP="00511B9D" w14:paraId="4B3DD61D" w14:textId="77777777">
      <w:pPr>
        <w:pStyle w:val="716"/>
        <w:rPr>
          <w:rtl/>
        </w:rPr>
      </w:pPr>
      <w:r w:rsidRPr="00511B9D">
        <w:rPr>
          <w:rFonts w:hint="cs"/>
          <w:rtl/>
        </w:rPr>
        <w:t>לצורך הגברת הטמעת סיכוני האקלים ומתן אפשרות למשקיעים לבחון את החשיפות לסיכונים סביבתיים הקיימים בגופים מוסדיים, מוצע כי רשות שוק ההון תשקול להנחות את הגופים המוסדיים להוסיף לחובות הגילוי אינדיקטורים כמקובל למשל בחקיקת הגילוי של האיחוד האירופי ולכלול בהן גילוי של שיעור החשיפה לפעילויות ולנכסים מסוכנים מבחינת הסיכונים הפיננסיים, ובהתאם לכללי הדיווח הבין-לאומיים הצפויים להתפרסם ול</w:t>
      </w:r>
      <w:r w:rsidRPr="00511B9D">
        <w:rPr>
          <w:rtl/>
        </w:rPr>
        <w:t>סטנדרטים לדיווח בנושא קיימות ואקלים של ה-</w:t>
      </w:r>
      <w:r w:rsidRPr="00511B9D">
        <w:t>IFRS</w:t>
      </w:r>
      <w:r w:rsidRPr="00511B9D">
        <w:rPr>
          <w:rFonts w:hint="cs"/>
          <w:rtl/>
        </w:rPr>
        <w:t xml:space="preserve"> שכבר פורסמו ביוני 2023</w:t>
      </w:r>
      <w:r>
        <w:rPr>
          <w:rStyle w:val="FootnoteReference2"/>
          <w:rtl/>
        </w:rPr>
        <w:footnoteReference w:id="149"/>
      </w:r>
      <w:r w:rsidRPr="00511B9D">
        <w:rPr>
          <w:rFonts w:hint="cs"/>
          <w:rtl/>
        </w:rPr>
        <w:t xml:space="preserve">. עוד מוצע כי רשות שוק ההון תבחן את החשיפה של הגופים המוסדיים לסיכוני סביבה ואת מידת הכיסוי </w:t>
      </w:r>
      <w:r w:rsidRPr="00511B9D">
        <w:rPr>
          <w:rFonts w:hint="cs"/>
          <w:rtl/>
        </w:rPr>
        <w:t>הביטוחי</w:t>
      </w:r>
      <w:r w:rsidRPr="00511B9D">
        <w:rPr>
          <w:rFonts w:hint="cs"/>
          <w:rtl/>
        </w:rPr>
        <w:t xml:space="preserve"> הקיים ותקדם ביצוע של מבחני קיצון אקלימיים בקרב הגופים המפוקחים.</w:t>
      </w:r>
    </w:p>
    <w:p w:rsidR="00511B9D" w:rsidRPr="00363CE5" w:rsidP="00511B9D" w14:paraId="033E9D12" w14:textId="77777777">
      <w:pPr>
        <w:pStyle w:val="0-"/>
        <w:rPr>
          <w:rtl/>
        </w:rPr>
      </w:pPr>
      <w:r w:rsidRPr="00363CE5">
        <w:rPr>
          <w:rFonts w:hint="cs"/>
          <w:rtl/>
        </w:rPr>
        <w:t>מידת תיקון הליקוי</w:t>
      </w:r>
    </w:p>
    <w:p w:rsidR="00511B9D" w:rsidRPr="00363CE5" w:rsidP="00511B9D" w14:paraId="141C7D67" w14:textId="77777777">
      <w:pPr>
        <w:spacing w:before="240" w:after="360"/>
        <w:jc w:val="center"/>
        <w:rPr>
          <w:rtl/>
        </w:rPr>
      </w:pPr>
      <w:r>
        <w:rPr>
          <w:noProof/>
          <w:rtl/>
          <w:lang w:val="he-IL"/>
        </w:rPr>
        <w:drawing>
          <wp:inline distT="0" distB="0" distL="0" distR="0">
            <wp:extent cx="3962400" cy="794631"/>
            <wp:effectExtent l="0" t="0" r="0" b="0"/>
            <wp:docPr id="699412347" name="תמונה 699412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009406" name="תמונה 160439327"/>
                    <pic:cNvPicPr/>
                  </pic:nvPicPr>
                  <pic:blipFill>
                    <a:blip xmlns:r="http://schemas.openxmlformats.org/officeDocument/2006/relationships" r:embed="rId57">
                      <a:extLst>
                        <a:ext xmlns:a="http://schemas.openxmlformats.org/drawingml/2006/main" uri="{28A0092B-C50C-407E-A947-70E740481C1C}">
                          <a14:useLocalDpi xmlns:a14="http://schemas.microsoft.com/office/drawing/2010/main" val="0"/>
                        </a:ext>
                      </a:extLst>
                    </a:blip>
                    <a:stretch>
                      <a:fillRect/>
                    </a:stretch>
                  </pic:blipFill>
                  <pic:spPr>
                    <a:xfrm>
                      <a:off x="0" y="0"/>
                      <a:ext cx="4069328" cy="816075"/>
                    </a:xfrm>
                    <a:prstGeom prst="rect">
                      <a:avLst/>
                    </a:prstGeom>
                  </pic:spPr>
                </pic:pic>
              </a:graphicData>
            </a:graphic>
          </wp:inline>
        </w:drawing>
      </w:r>
    </w:p>
    <w:p w:rsidR="00511B9D" w:rsidP="00511B9D" w14:paraId="23E8E8AC" w14:textId="77777777">
      <w:pPr>
        <w:pStyle w:val="00"/>
        <w:bidi w:val="0"/>
        <w:rPr>
          <w:rtl/>
        </w:rPr>
      </w:pPr>
    </w:p>
    <w:p w:rsidR="00F20E3F" w:rsidRPr="00E826FF" w:rsidP="00F20E3F" w14:paraId="7990611B" w14:textId="77777777">
      <w:pPr>
        <w:spacing w:line="269" w:lineRule="auto"/>
        <w:jc w:val="center"/>
        <w:rPr>
          <w:rFonts w:ascii="Arial" w:hAnsi="Arial" w:cs="Arial"/>
          <w:sz w:val="36"/>
          <w:rtl/>
        </w:rPr>
      </w:pPr>
      <w:r>
        <w:rPr>
          <w:rFonts w:ascii="Segoe UI Symbol" w:hAnsi="Segoe UI Symbol" w:cs="Segoe UI Symbol" w:hint="cs"/>
          <w:sz w:val="36"/>
          <w:rtl/>
        </w:rPr>
        <w:t>✰</w:t>
      </w:r>
    </w:p>
    <w:p w:rsidR="00F20E3F" w:rsidRPr="007B1C70" w:rsidP="00F20E3F" w14:paraId="32EA49D6" w14:textId="77777777">
      <w:pPr>
        <w:spacing w:line="269" w:lineRule="auto"/>
        <w:rPr>
          <w:rtl/>
        </w:rPr>
      </w:pPr>
    </w:p>
    <w:p w:rsidR="00F20E3F" w:rsidP="00511B9D" w14:paraId="611F687D" w14:textId="77777777">
      <w:pPr>
        <w:pStyle w:val="716"/>
        <w:rPr>
          <w:rtl/>
        </w:rPr>
      </w:pPr>
      <w:r w:rsidRPr="00E90B3E">
        <w:rPr>
          <w:rFonts w:hint="cs"/>
          <w:rtl/>
        </w:rPr>
        <w:t>מהאמור בפרק זה</w:t>
      </w:r>
      <w:r>
        <w:rPr>
          <w:rFonts w:hint="cs"/>
          <w:rtl/>
        </w:rPr>
        <w:t xml:space="preserve"> עולה</w:t>
      </w:r>
      <w:r w:rsidRPr="00E90B3E">
        <w:rPr>
          <w:rFonts w:hint="cs"/>
          <w:rtl/>
        </w:rPr>
        <w:t xml:space="preserve"> כי </w:t>
      </w:r>
      <w:r>
        <w:rPr>
          <w:rFonts w:hint="cs"/>
          <w:rtl/>
        </w:rPr>
        <w:t xml:space="preserve">בישראל </w:t>
      </w:r>
      <w:r w:rsidRPr="00E90B3E">
        <w:rPr>
          <w:rFonts w:hint="cs"/>
          <w:rtl/>
        </w:rPr>
        <w:t xml:space="preserve">חלה התקדמות </w:t>
      </w:r>
      <w:r>
        <w:rPr>
          <w:rFonts w:hint="cs"/>
          <w:rtl/>
        </w:rPr>
        <w:t xml:space="preserve">מסוימת, ולא אחידה, בקרב </w:t>
      </w:r>
      <w:r w:rsidRPr="00E90B3E">
        <w:rPr>
          <w:rFonts w:hint="cs"/>
          <w:rtl/>
        </w:rPr>
        <w:t>הרגולטורים הפיננס</w:t>
      </w:r>
      <w:r>
        <w:rPr>
          <w:rFonts w:hint="cs"/>
          <w:rtl/>
        </w:rPr>
        <w:t>י</w:t>
      </w:r>
      <w:r w:rsidRPr="00E90B3E">
        <w:rPr>
          <w:rFonts w:hint="cs"/>
          <w:rtl/>
        </w:rPr>
        <w:t>י</w:t>
      </w:r>
      <w:r>
        <w:rPr>
          <w:rFonts w:hint="cs"/>
          <w:rtl/>
        </w:rPr>
        <w:t>ם</w:t>
      </w:r>
      <w:r w:rsidRPr="00E90B3E">
        <w:rPr>
          <w:rFonts w:hint="cs"/>
          <w:rtl/>
        </w:rPr>
        <w:t xml:space="preserve"> - </w:t>
      </w:r>
      <w:r>
        <w:rPr>
          <w:rFonts w:hint="cs"/>
          <w:rtl/>
        </w:rPr>
        <w:t>הפיקוח</w:t>
      </w:r>
      <w:r w:rsidRPr="00E90B3E">
        <w:rPr>
          <w:rFonts w:hint="cs"/>
          <w:rtl/>
        </w:rPr>
        <w:t xml:space="preserve"> על הבנקים, רשות שוק ההון ורשות ניירות ערך, בכל הקשור להטמעת שיקולים וסיכונים אקלימיים בפעולתם ובפעולת הגופים המפוקחים. </w:t>
      </w:r>
      <w:r>
        <w:rPr>
          <w:rFonts w:hint="cs"/>
          <w:rtl/>
        </w:rPr>
        <w:t>עוד עלה כי למרות ההתקדמות בנושאים מסוימים, עדיין היבטי חובות הגילוי מתבצעים ללא סטנדרטיזציה אחידה בקרב הגופים המפוקחים שלהם, כפי שנהוג בכמה ממדינות ה-</w:t>
      </w:r>
      <w:r>
        <w:rPr>
          <w:rFonts w:hint="cs"/>
        </w:rPr>
        <w:t>OE</w:t>
      </w:r>
      <w:r>
        <w:t>CD</w:t>
      </w:r>
      <w:r>
        <w:rPr>
          <w:rFonts w:hint="cs"/>
          <w:rtl/>
        </w:rPr>
        <w:t xml:space="preserve">, וטרם הוחל בביצוע מבחני קיצון שהם מרכיב משמעותי בהבטחת יציבות המערכת הפיננסית. כמו כן עולה כי היעדרו של תרחיש אקלים לאומי אחוד ומוסכם מקשה על הגופים הפיננסיים להיערך באופן מיטבי לסיכוני האקלים. </w:t>
      </w:r>
    </w:p>
    <w:p w:rsidR="00F20E3F" w:rsidP="00511B9D" w14:paraId="0CF863C5" w14:textId="77777777">
      <w:pPr>
        <w:pStyle w:val="716"/>
        <w:rPr>
          <w:rtl/>
        </w:rPr>
      </w:pPr>
      <w:r>
        <w:rPr>
          <w:rFonts w:hint="cs"/>
          <w:rtl/>
        </w:rPr>
        <w:t xml:space="preserve">יש לציין כי הפעולה של הגופים הרגולטוריים הפיננסיים בישראל עדיין מאופיינת בהיערכות לסיכונים (סיכונים פיזיים וסיכוני מעבר) ששינויי האקלים יוצרים כלפי פעילות הגופים הפיננסיים שעליהם הם מפקחים, אולם ללא התייחסות מספקת להשפעות של פעילותם של גופים אלה לסביבה ולאקלים. </w:t>
      </w:r>
    </w:p>
    <w:p w:rsidR="00F20E3F" w:rsidP="00511B9D" w14:paraId="301846AC" w14:textId="77777777">
      <w:pPr>
        <w:pStyle w:val="716"/>
        <w:rPr>
          <w:rtl/>
        </w:rPr>
      </w:pPr>
      <w:r>
        <w:rPr>
          <w:rFonts w:hint="cs"/>
          <w:rtl/>
        </w:rPr>
        <w:t xml:space="preserve">מוצע אפוא כי הרגולטורים הפיננסיים, לצד פעילותם להיערכות לסיכונים (סיכונים פיזיים וסיכוני מעבר) של הגופים הפיננסיים שעליהם הם מפקחים, יתייחסו גם להשפעות של פעילותם של גופים אלה לסביבה ולאקלים, לרבות בשיתופי פעולה בין הגופים עצמם ומול משרד המשפטים. </w:t>
      </w:r>
    </w:p>
    <w:p w:rsidR="00F20E3F" w:rsidP="00F20E3F" w14:paraId="2E5C009D" w14:textId="77777777">
      <w:pPr>
        <w:spacing w:line="269" w:lineRule="auto"/>
        <w:rPr>
          <w:b/>
          <w:bCs/>
          <w:rtl/>
        </w:rPr>
      </w:pPr>
    </w:p>
    <w:p w:rsidR="00F20E3F" w:rsidP="00F20E3F" w14:paraId="1A904F7E" w14:textId="77777777">
      <w:pPr>
        <w:bidi w:val="0"/>
        <w:spacing w:line="269" w:lineRule="auto"/>
        <w:rPr>
          <w:b/>
          <w:bCs/>
          <w:szCs w:val="20"/>
          <w:rtl/>
        </w:rPr>
      </w:pPr>
      <w:r>
        <w:rPr>
          <w:b/>
          <w:bCs/>
          <w:szCs w:val="20"/>
          <w:rtl/>
        </w:rPr>
        <w:br w:type="page"/>
      </w:r>
    </w:p>
    <w:bookmarkEnd w:id="4"/>
    <w:bookmarkEnd w:id="5"/>
    <w:p w:rsidR="0013637D" w:rsidRPr="0013637D" w:rsidP="00F600A6" w14:paraId="22491B8D" w14:textId="0432AC7C">
      <w:pPr>
        <w:pStyle w:val="7328"/>
        <w:rPr>
          <w:rtl/>
        </w:rPr>
      </w:pPr>
      <w:r>
        <w:rPr>
          <w:noProof/>
          <w:rtl/>
          <w:lang w:val="he-IL"/>
        </w:rPr>
        <mc:AlternateContent>
          <mc:Choice Requires="wps">
            <w:drawing>
              <wp:anchor distT="0" distB="0" distL="114300" distR="114300" simplePos="0" relativeHeight="251725824" behindDoc="0" locked="0" layoutInCell="1" allowOverlap="1">
                <wp:simplePos x="0" y="0"/>
                <wp:positionH relativeFrom="column">
                  <wp:posOffset>2752334</wp:posOffset>
                </wp:positionH>
                <wp:positionV relativeFrom="paragraph">
                  <wp:posOffset>7072724</wp:posOffset>
                </wp:positionV>
                <wp:extent cx="2470825" cy="807396"/>
                <wp:effectExtent l="0" t="0" r="18415" b="18415"/>
                <wp:wrapNone/>
                <wp:docPr id="1406678385" name="מלבן 2"/>
                <wp:cNvGraphicFramePr/>
                <a:graphic xmlns:a="http://schemas.openxmlformats.org/drawingml/2006/main">
                  <a:graphicData uri="http://schemas.microsoft.com/office/word/2010/wordprocessingShape">
                    <wps:wsp xmlns:wps="http://schemas.microsoft.com/office/word/2010/wordprocessingShape">
                      <wps:cNvSpPr/>
                      <wps:spPr>
                        <a:xfrm>
                          <a:off x="0" y="0"/>
                          <a:ext cx="2470825" cy="807396"/>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anchor>
            </w:drawing>
          </mc:Choice>
          <mc:Fallback>
            <w:pict>
              <v:rect id="מלבן 2" o:spid="_x0000_s1045" style="width:194.55pt;height:63.55pt;margin-top:556.9pt;margin-left:216.7pt;mso-width-percent:0;mso-width-relative:margin;mso-wrap-distance-bottom:0;mso-wrap-distance-left:9pt;mso-wrap-distance-right:9pt;mso-wrap-distance-top:0;mso-wrap-style:square;position:absolute;visibility:visible;v-text-anchor:middle;z-index:251726848" fillcolor="white" strokecolor="white" strokeweight="1.25pt"/>
            </w:pict>
          </mc:Fallback>
        </mc:AlternateContent>
      </w:r>
      <w:r>
        <w:rPr>
          <w:noProof/>
          <w:rtl/>
          <w:lang w:val="he-IL"/>
        </w:rPr>
        <mc:AlternateContent>
          <mc:Choice Requires="wps">
            <w:drawing>
              <wp:anchor distT="0" distB="0" distL="114300" distR="114300" simplePos="0" relativeHeight="251723776" behindDoc="0" locked="0" layoutInCell="1" allowOverlap="1">
                <wp:simplePos x="0" y="0"/>
                <wp:positionH relativeFrom="column">
                  <wp:posOffset>-1440180</wp:posOffset>
                </wp:positionH>
                <wp:positionV relativeFrom="paragraph">
                  <wp:posOffset>-699230</wp:posOffset>
                </wp:positionV>
                <wp:extent cx="6274340" cy="807396"/>
                <wp:effectExtent l="0" t="0" r="12700" b="18415"/>
                <wp:wrapNone/>
                <wp:docPr id="31247015" name="מלבן 2"/>
                <wp:cNvGraphicFramePr/>
                <a:graphic xmlns:a="http://schemas.openxmlformats.org/drawingml/2006/main">
                  <a:graphicData uri="http://schemas.microsoft.com/office/word/2010/wordprocessingShape">
                    <wps:wsp xmlns:wps="http://schemas.microsoft.com/office/word/2010/wordprocessingShape">
                      <wps:cNvSpPr/>
                      <wps:spPr>
                        <a:xfrm>
                          <a:off x="0" y="0"/>
                          <a:ext cx="6274340" cy="807396"/>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1" fromWordArt="0" anchor="ctr" anchorCtr="0" forceAA="0" compatLnSpc="1">
                        <a:prstTxWarp prst="textNoShape">
                          <a:avLst/>
                        </a:prstTxWarp>
                      </wps:bodyPr>
                    </wps:wsp>
                  </a:graphicData>
                </a:graphic>
              </wp:anchor>
            </w:drawing>
          </mc:Choice>
          <mc:Fallback>
            <w:pict>
              <v:rect id="מלבן 2" o:spid="_x0000_s1046" style="width:494.05pt;height:63.55pt;margin-top:-55.05pt;margin-left:-113.4pt;mso-wrap-distance-bottom:0;mso-wrap-distance-left:9pt;mso-wrap-distance-right:9pt;mso-wrap-distance-top:0;mso-wrap-style:square;position:absolute;visibility:visible;v-text-anchor:middle;z-index:251724800" fillcolor="white" strokecolor="white" strokeweight="1.25pt"/>
            </w:pict>
          </mc:Fallback>
        </mc:AlternateContent>
      </w:r>
    </w:p>
    <w:sectPr w:rsidSect="007D062A">
      <w:headerReference w:type="default" r:id="rId63"/>
      <w:pgSz w:w="11906" w:h="16838" w:code="9"/>
      <w:pgMar w:top="3062" w:right="2268" w:bottom="2552" w:left="2268" w:header="1134" w:footer="1361"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David">
    <w:panose1 w:val="020E0502060401010101"/>
    <w:charset w:val="B1"/>
    <w:family w:val="swiss"/>
    <w:pitch w:val="variable"/>
    <w:sig w:usb0="00000803" w:usb1="00000000" w:usb2="00000000" w:usb3="00000000" w:csb0="00000021" w:csb1="00000000"/>
  </w:font>
  <w:font w:name="Tahoma">
    <w:panose1 w:val="020B0604030504040204"/>
    <w:charset w:val="00"/>
    <w:family w:val="swiss"/>
    <w:pitch w:val="variable"/>
    <w:sig w:usb0="E1002EFF" w:usb1="C000605B" w:usb2="00000029" w:usb3="00000000" w:csb0="000101FF" w:csb1="00000000"/>
  </w:font>
  <w:font w:name="TypoUpright BT">
    <w:panose1 w:val="020B0604020202020204"/>
    <w:charset w:val="00"/>
    <w:family w:val="script"/>
    <w:pitch w:val="variable"/>
    <w:sig w:usb0="00000087" w:usb1="00000000" w:usb2="00000000" w:usb3="00000000" w:csb0="0000001B" w:csb1="00000000"/>
  </w:font>
  <w:font w:name="Tw Cen MT">
    <w:panose1 w:val="020B0602020104020603"/>
    <w:charset w:val="00"/>
    <w:family w:val="swiss"/>
    <w:pitch w:val="variable"/>
    <w:sig w:usb0="00000003" w:usb1="00000000" w:usb2="00000000" w:usb3="00000000" w:csb0="00000003" w:csb1="00000000"/>
  </w:font>
  <w:font w:name="Tw Cen MT Condensed">
    <w:panose1 w:val="020B0606020104020203"/>
    <w:charset w:val="00"/>
    <w:family w:val="swiss"/>
    <w:pitch w:val="variable"/>
    <w:sig w:usb0="00000003" w:usb1="00000000" w:usb2="00000000" w:usb3="00000000" w:csb0="00000003" w:csb1="00000000"/>
  </w:font>
  <w:font w:name="Levenim MT">
    <w:panose1 w:val="02010502060101010101"/>
    <w:charset w:val="B1"/>
    <w:family w:val="auto"/>
    <w:pitch w:val="variable"/>
    <w:sig w:usb0="00000803" w:usb1="00000000" w:usb2="00000000" w:usb3="00000000" w:csb0="00000021" w:csb1="00000000"/>
  </w:font>
  <w:font w:name="Almoni ML Regular AAA">
    <w:altName w:val="Almoni ML Regular AAA"/>
    <w:panose1 w:val="00000500000000000000"/>
    <w:charset w:val="B1"/>
    <w:family w:val="auto"/>
    <w:pitch w:val="variable"/>
    <w:sig w:usb0="00000A07" w:usb1="40000000" w:usb2="00000000" w:usb3="00000000" w:csb0="000000B7" w:csb1="00000000"/>
  </w:font>
  <w:font w:name="Lucida Sans Unicode">
    <w:panose1 w:val="020B0602030504020204"/>
    <w:charset w:val="00"/>
    <w:family w:val="swiss"/>
    <w:pitch w:val="variable"/>
    <w:sig w:usb0="80000AFF" w:usb1="0000396B" w:usb2="00000000" w:usb3="00000000" w:csb0="000000BF" w:csb1="00000000"/>
  </w:font>
  <w:font w:name="Arial Bold">
    <w:altName w:val="Arial"/>
    <w:panose1 w:val="020B0604020202020204"/>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FrankRuehl">
    <w:panose1 w:val="020E0503060101010101"/>
    <w:charset w:val="B1"/>
    <w:family w:val="swiss"/>
    <w:pitch w:val="variable"/>
    <w:sig w:usb0="00000803" w:usb1="00000000" w:usb2="00000000" w:usb3="00000000" w:csb0="00000021" w:csb1="00000000"/>
  </w:font>
  <w:font w:name="Gotham Narrow Light">
    <w:altName w:val="Tahoma"/>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3A156C" w14:paraId="00E867B0"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73EE0" w:rsidP="00AC37C7" w14:paraId="0C89F632" w14:textId="07717369">
    <w:pPr>
      <w:pStyle w:val="Footer"/>
      <w:spacing w:after="120" w:line="312" w:lineRule="auto"/>
      <w:ind w:right="-737"/>
      <w:jc w:val="right"/>
      <w:rPr>
        <w:rFonts w:ascii="Tahoma" w:hAnsi="Tahoma" w:cs="Tahoma"/>
        <w:sz w:val="18"/>
        <w:szCs w:val="18"/>
        <w:rtl/>
      </w:rPr>
    </w:pPr>
    <w:r w:rsidRPr="00F94EB4">
      <w:rPr>
        <w:rFonts w:ascii="Tahoma" w:hAnsi="Tahoma" w:cs="Tahoma"/>
        <w:sz w:val="18"/>
        <w:szCs w:val="18"/>
      </w:rPr>
      <w:t xml:space="preserve">| </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Pr>
        <w:rFonts w:ascii="Tahoma" w:hAnsi="Tahoma" w:cs="Tahoma"/>
        <w:sz w:val="18"/>
        <w:szCs w:val="18"/>
        <w:rtl/>
      </w:rPr>
      <w:t>3</w:t>
    </w:r>
    <w:r w:rsidRPr="00F94EB4">
      <w:rPr>
        <w:rFonts w:ascii="Tahoma" w:hAnsi="Tahoma" w:cs="Tahoma"/>
        <w:sz w:val="18"/>
        <w:szCs w:val="18"/>
        <w:rtl/>
      </w:rPr>
      <w:fldChar w:fldCharType="end"/>
    </w:r>
    <w:r w:rsidRPr="00F94EB4">
      <w:rPr>
        <w:rFonts w:ascii="Tahoma" w:hAnsi="Tahoma" w:cs="Tahoma"/>
        <w:sz w:val="18"/>
        <w:szCs w:val="18"/>
        <w:rtl/>
      </w:rPr>
      <w:t xml:space="preserve"> </w:t>
    </w:r>
    <w:r>
      <w:rPr>
        <w:rFonts w:ascii="Tahoma" w:hAnsi="Tahoma" w:cs="Tahoma" w:hint="cs"/>
        <w:sz w:val="18"/>
        <w:szCs w:val="18"/>
        <w:rtl/>
      </w:rPr>
      <w:t xml:space="preserve"> |</w:t>
    </w:r>
  </w:p>
  <w:p w:rsidR="00AC37C7" w:rsidRPr="00AC37C7" w:rsidP="00AC37C7" w14:paraId="26654934" w14:textId="77777777">
    <w:pPr>
      <w:pStyle w:val="Footer"/>
      <w:spacing w:after="120" w:line="312" w:lineRule="auto"/>
      <w:ind w:right="-737"/>
      <w:jc w:val="right"/>
      <w:rPr>
        <w:rFonts w:ascii="Tahoma" w:hAnsi="Tahoma" w:cs="Tahoma"/>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3A156C" w14:paraId="6A060A46" w14:textId="7777777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E71DD" w:rsidP="004E71DD" w14:paraId="64C3D7BF" w14:textId="77777777">
    <w:pPr>
      <w:pStyle w:val="Footer"/>
      <w:spacing w:after="120" w:line="312" w:lineRule="auto"/>
      <w:ind w:left="-510"/>
      <w:jc w:val="left"/>
      <w:rPr>
        <w:rFonts w:ascii="Tahoma" w:hAnsi="Tahoma" w:cs="Tahoma"/>
        <w:sz w:val="18"/>
        <w:szCs w:val="18"/>
        <w:rtl/>
      </w:rPr>
    </w:pPr>
  </w:p>
  <w:p w:rsidR="004E71DD" w:rsidP="004E71DD" w14:paraId="4838AE27" w14:textId="77777777">
    <w:pPr>
      <w:pStyle w:val="Footer"/>
      <w:tabs>
        <w:tab w:val="left" w:pos="488"/>
        <w:tab w:val="left" w:pos="522"/>
        <w:tab w:val="clear" w:pos="4153"/>
        <w:tab w:val="clear" w:pos="8306"/>
      </w:tabs>
      <w:spacing w:after="120" w:line="312" w:lineRule="auto"/>
      <w:ind w:left="-737"/>
      <w:jc w:val="left"/>
      <w:rPr>
        <w:rFonts w:ascii="Tahoma" w:hAnsi="Tahoma" w:cs="Tahoma"/>
        <w:color w:val="004E6C"/>
        <w:sz w:val="18"/>
        <w:szCs w:val="18"/>
        <w:rtl/>
      </w:rPr>
    </w:pPr>
    <w:r w:rsidRPr="00F94EB4">
      <w:rPr>
        <w:rFonts w:ascii="Tahoma" w:hAnsi="Tahoma" w:cs="Tahoma"/>
        <w:sz w:val="18"/>
        <w:szCs w:val="18"/>
      </w:rPr>
      <w:t>|</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Pr>
        <w:rFonts w:ascii="Tahoma" w:hAnsi="Tahoma" w:cs="Tahoma"/>
        <w:sz w:val="18"/>
        <w:szCs w:val="18"/>
        <w:rtl/>
      </w:rPr>
      <w:t>10</w:t>
    </w:r>
    <w:r w:rsidRPr="00F94EB4">
      <w:rPr>
        <w:rFonts w:ascii="Tahoma" w:hAnsi="Tahoma" w:cs="Tahoma"/>
        <w:sz w:val="18"/>
        <w:szCs w:val="18"/>
        <w:rtl/>
      </w:rPr>
      <w:fldChar w:fldCharType="end"/>
    </w:r>
    <w:r>
      <w:rPr>
        <w:rFonts w:ascii="Tahoma" w:hAnsi="Tahoma" w:cs="Tahoma" w:hint="cs"/>
        <w:sz w:val="18"/>
        <w:szCs w:val="18"/>
        <w:rtl/>
      </w:rPr>
      <w:t xml:space="preserve">   </w:t>
    </w:r>
    <w:r w:rsidRPr="0013302E">
      <w:rPr>
        <w:rFonts w:ascii="Tahoma" w:hAnsi="Tahoma" w:cs="Tahoma"/>
        <w:sz w:val="18"/>
        <w:szCs w:val="18"/>
      </w:rPr>
      <w:t>|</w:t>
    </w:r>
    <w:r>
      <w:rPr>
        <w:rFonts w:ascii="Tahoma" w:hAnsi="Tahoma" w:cs="Tahoma" w:hint="cs"/>
        <w:color w:val="004E6C"/>
        <w:sz w:val="18"/>
        <w:szCs w:val="18"/>
        <w:rtl/>
      </w:rPr>
      <w:t xml:space="preserve">     </w:t>
    </w:r>
    <w:r>
      <w:rPr>
        <w:rFonts w:ascii="Tahoma" w:hAnsi="Tahoma" w:cs="Tahoma"/>
        <w:color w:val="004E6C"/>
        <w:sz w:val="18"/>
        <w:szCs w:val="18"/>
        <w:rtl/>
      </w:rPr>
      <w:tab/>
    </w:r>
    <w:r>
      <w:rPr>
        <w:rFonts w:ascii="Tahoma" w:hAnsi="Tahoma" w:cs="Tahoma"/>
        <w:color w:val="004E6C"/>
        <w:sz w:val="18"/>
        <w:szCs w:val="18"/>
        <w:rtl/>
      </w:rPr>
      <w:tab/>
    </w:r>
  </w:p>
  <w:p w:rsidR="008B694B" w:rsidRPr="004E71DD" w:rsidP="004E71DD" w14:paraId="71472E75" w14:textId="77777777">
    <w:pPr>
      <w:pStyle w:val="Footer"/>
      <w:rPr>
        <w:szCs w:val="20"/>
        <w:rt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footnote w:type="separator" w:id="0">
    <w:p w:rsidR="007D062A" w:rsidP="00E7235E" w14:paraId="3892ECFA" w14:textId="77777777">
      <w:pPr>
        <w:spacing w:line="240" w:lineRule="auto"/>
      </w:pPr>
      <w:r>
        <w:separator/>
      </w:r>
    </w:p>
  </w:footnote>
  <w:footnote w:type="continuationSeparator" w:id="1">
    <w:p w:rsidR="007D062A" w:rsidP="00C23CC9" w14:paraId="691021A8" w14:textId="77777777">
      <w:pPr>
        <w:spacing w:line="240" w:lineRule="auto"/>
      </w:pPr>
      <w:r>
        <w:continuationSeparator/>
      </w:r>
    </w:p>
    <w:p w:rsidR="007D062A" w14:paraId="2AE80645" w14:textId="77777777"/>
    <w:p w:rsidR="007D062A" w14:paraId="22454F8C" w14:textId="77777777"/>
    <w:p w:rsidR="007D062A" w14:paraId="58097677" w14:textId="77777777"/>
  </w:footnote>
  <w:footnote w:id="2">
    <w:p w:rsidR="00F20E3F" w:rsidRPr="002A2A4E" w:rsidP="007649F0" w14:paraId="59CF476A" w14:textId="77777777">
      <w:pPr>
        <w:pStyle w:val="00"/>
        <w:rPr>
          <w:color w:val="000000" w:themeColor="text1"/>
          <w:rtl/>
        </w:rPr>
      </w:pPr>
      <w:r w:rsidRPr="002A2A4E">
        <w:rPr>
          <w:rStyle w:val="7342"/>
          <w:color w:val="000000" w:themeColor="text1"/>
        </w:rPr>
        <w:footnoteRef/>
      </w:r>
      <w:r w:rsidRPr="002A2A4E">
        <w:rPr>
          <w:rStyle w:val="7342"/>
          <w:color w:val="000000" w:themeColor="text1"/>
          <w:rtl/>
        </w:rPr>
        <w:t xml:space="preserve"> </w:t>
      </w:r>
      <w:r w:rsidRPr="002A2A4E">
        <w:rPr>
          <w:color w:val="000000" w:themeColor="text1"/>
          <w:rtl/>
        </w:rPr>
        <w:tab/>
      </w:r>
      <w:r w:rsidRPr="002A2A4E">
        <w:rPr>
          <w:rFonts w:hint="cs"/>
          <w:color w:val="000000" w:themeColor="text1"/>
          <w:rtl/>
        </w:rPr>
        <w:t xml:space="preserve">נושא הטמעת שיקולים אקלימיים וסביבתיים במערכת הפיננסית נידון בהרחבה בפרק השלישי של הדוח הקודם. ראו: מבקר המדינה, </w:t>
      </w:r>
      <w:r w:rsidRPr="002A2A4E">
        <w:rPr>
          <w:b/>
          <w:bCs/>
          <w:color w:val="000000" w:themeColor="text1"/>
          <w:rtl/>
        </w:rPr>
        <w:t xml:space="preserve">דוח </w:t>
      </w:r>
      <w:r w:rsidRPr="002A2A4E">
        <w:rPr>
          <w:rFonts w:hint="cs"/>
          <w:b/>
          <w:bCs/>
          <w:color w:val="000000" w:themeColor="text1"/>
          <w:rtl/>
        </w:rPr>
        <w:t>ביקורת מיוחד</w:t>
      </w:r>
      <w:r w:rsidRPr="002A2A4E">
        <w:rPr>
          <w:rFonts w:hint="cs"/>
          <w:color w:val="000000" w:themeColor="text1"/>
          <w:rtl/>
        </w:rPr>
        <w:t xml:space="preserve"> </w:t>
      </w:r>
      <w:r w:rsidRPr="002A2A4E">
        <w:rPr>
          <w:b/>
          <w:bCs/>
          <w:color w:val="000000" w:themeColor="text1"/>
          <w:rtl/>
        </w:rPr>
        <w:t xml:space="preserve">- </w:t>
      </w:r>
      <w:r w:rsidRPr="002A2A4E">
        <w:rPr>
          <w:rFonts w:hint="eastAsia"/>
          <w:b/>
          <w:bCs/>
          <w:color w:val="000000" w:themeColor="text1"/>
          <w:rtl/>
        </w:rPr>
        <w:t>פעולות</w:t>
      </w:r>
      <w:r w:rsidRPr="002A2A4E">
        <w:rPr>
          <w:b/>
          <w:bCs/>
          <w:color w:val="000000" w:themeColor="text1"/>
          <w:rtl/>
        </w:rPr>
        <w:t xml:space="preserve"> </w:t>
      </w:r>
      <w:r w:rsidRPr="002A2A4E">
        <w:rPr>
          <w:rFonts w:hint="eastAsia"/>
          <w:b/>
          <w:bCs/>
          <w:color w:val="000000" w:themeColor="text1"/>
          <w:rtl/>
        </w:rPr>
        <w:t>ממשלת</w:t>
      </w:r>
      <w:r w:rsidRPr="002A2A4E">
        <w:rPr>
          <w:b/>
          <w:bCs/>
          <w:color w:val="000000" w:themeColor="text1"/>
          <w:rtl/>
        </w:rPr>
        <w:t xml:space="preserve"> </w:t>
      </w:r>
      <w:r w:rsidRPr="002A2A4E">
        <w:rPr>
          <w:rFonts w:hint="eastAsia"/>
          <w:b/>
          <w:bCs/>
          <w:color w:val="000000" w:themeColor="text1"/>
          <w:rtl/>
        </w:rPr>
        <w:t>ישראל</w:t>
      </w:r>
      <w:r w:rsidRPr="002A2A4E">
        <w:rPr>
          <w:b/>
          <w:bCs/>
          <w:color w:val="000000" w:themeColor="text1"/>
          <w:rtl/>
        </w:rPr>
        <w:t xml:space="preserve"> </w:t>
      </w:r>
      <w:r w:rsidRPr="002A2A4E">
        <w:rPr>
          <w:rFonts w:hint="eastAsia"/>
          <w:b/>
          <w:bCs/>
          <w:color w:val="000000" w:themeColor="text1"/>
          <w:rtl/>
        </w:rPr>
        <w:t>והיערכותה</w:t>
      </w:r>
      <w:r w:rsidRPr="002A2A4E">
        <w:rPr>
          <w:b/>
          <w:bCs/>
          <w:color w:val="000000" w:themeColor="text1"/>
          <w:rtl/>
        </w:rPr>
        <w:t xml:space="preserve"> </w:t>
      </w:r>
      <w:r w:rsidRPr="002A2A4E">
        <w:rPr>
          <w:rFonts w:hint="eastAsia"/>
          <w:b/>
          <w:bCs/>
          <w:color w:val="000000" w:themeColor="text1"/>
          <w:rtl/>
        </w:rPr>
        <w:t>למשבר</w:t>
      </w:r>
      <w:r w:rsidRPr="002A2A4E">
        <w:rPr>
          <w:b/>
          <w:bCs/>
          <w:color w:val="000000" w:themeColor="text1"/>
          <w:rtl/>
        </w:rPr>
        <w:t xml:space="preserve"> </w:t>
      </w:r>
      <w:r w:rsidRPr="002A2A4E">
        <w:rPr>
          <w:rFonts w:hint="eastAsia"/>
          <w:b/>
          <w:bCs/>
          <w:color w:val="000000" w:themeColor="text1"/>
          <w:rtl/>
        </w:rPr>
        <w:t>האקלים</w:t>
      </w:r>
      <w:r w:rsidRPr="002A2A4E">
        <w:rPr>
          <w:rFonts w:hint="cs"/>
          <w:color w:val="000000" w:themeColor="text1"/>
          <w:rtl/>
        </w:rPr>
        <w:t xml:space="preserve"> (אוקטובר 2021), פרק שלישי בנושא "</w:t>
      </w:r>
      <w:r w:rsidRPr="002A2A4E">
        <w:rPr>
          <w:color w:val="000000" w:themeColor="text1"/>
          <w:rtl/>
        </w:rPr>
        <w:t>היבטים כלכליים ופיננסיים</w:t>
      </w:r>
      <w:r w:rsidRPr="002A2A4E">
        <w:rPr>
          <w:rFonts w:hint="cs"/>
          <w:color w:val="000000" w:themeColor="text1"/>
          <w:rtl/>
        </w:rPr>
        <w:t xml:space="preserve"> </w:t>
      </w:r>
      <w:r w:rsidRPr="002A2A4E">
        <w:rPr>
          <w:color w:val="000000" w:themeColor="text1"/>
          <w:rtl/>
        </w:rPr>
        <w:t>של משבר האקלים</w:t>
      </w:r>
      <w:r w:rsidRPr="002A2A4E">
        <w:rPr>
          <w:rFonts w:hint="cs"/>
          <w:color w:val="000000" w:themeColor="text1"/>
          <w:rtl/>
        </w:rPr>
        <w:t xml:space="preserve">". </w:t>
      </w:r>
    </w:p>
  </w:footnote>
  <w:footnote w:id="3">
    <w:p w:rsidR="00F20E3F" w:rsidRPr="002A2A4E" w:rsidP="00F271A9" w14:paraId="7FF399C7" w14:textId="77777777">
      <w:pPr>
        <w:pStyle w:val="00"/>
        <w:spacing w:after="0"/>
        <w:rPr>
          <w:color w:val="000000" w:themeColor="text1"/>
          <w:rtl/>
        </w:rPr>
      </w:pPr>
      <w:r w:rsidRPr="002A2A4E">
        <w:rPr>
          <w:rStyle w:val="7342"/>
          <w:color w:val="000000" w:themeColor="text1"/>
        </w:rPr>
        <w:footnoteRef/>
      </w:r>
      <w:r w:rsidRPr="002A2A4E">
        <w:rPr>
          <w:rStyle w:val="7342"/>
          <w:color w:val="000000" w:themeColor="text1"/>
          <w:rtl/>
        </w:rPr>
        <w:t xml:space="preserve"> </w:t>
      </w:r>
      <w:r w:rsidRPr="002A2A4E">
        <w:rPr>
          <w:color w:val="000000" w:themeColor="text1"/>
          <w:rtl/>
        </w:rPr>
        <w:tab/>
      </w:r>
      <w:r w:rsidRPr="002A2A4E">
        <w:rPr>
          <w:rFonts w:hint="cs"/>
          <w:color w:val="000000" w:themeColor="text1"/>
          <w:rtl/>
        </w:rPr>
        <w:t xml:space="preserve">ראו: </w:t>
      </w:r>
      <w:r w:rsidRPr="002A2A4E">
        <w:rPr>
          <w:color w:val="000000" w:themeColor="text1"/>
        </w:rPr>
        <w:t>Moving toward climate budgeting: policy note (English). Washington, D.C. : World Bank Group, 2014.</w:t>
      </w:r>
    </w:p>
    <w:p w:rsidR="00F20E3F" w:rsidRPr="002A2A4E" w:rsidP="00F271A9" w14:paraId="3F5F5331" w14:textId="77777777">
      <w:pPr>
        <w:pStyle w:val="7333"/>
        <w:rPr>
          <w:color w:val="000000" w:themeColor="text1"/>
          <w:spacing w:val="-2"/>
          <w:u w:val="none"/>
        </w:rPr>
      </w:pPr>
      <w:hyperlink r:id="rId1" w:history="1">
        <w:r w:rsidRPr="002A2A4E">
          <w:rPr>
            <w:rStyle w:val="Hyperlink"/>
            <w:color w:val="000000" w:themeColor="text1"/>
            <w:spacing w:val="-2"/>
            <w:u w:val="none"/>
          </w:rPr>
          <w:t>http://documents.worldbank.org/curated/en/319971468329953865/Moving-toward-climate-budgeting-policy-note</w:t>
        </w:r>
      </w:hyperlink>
      <w:r w:rsidRPr="002A2A4E">
        <w:rPr>
          <w:rFonts w:hint="cs"/>
          <w:color w:val="000000" w:themeColor="text1"/>
          <w:spacing w:val="-2"/>
          <w:u w:val="none"/>
          <w:rtl/>
        </w:rPr>
        <w:t xml:space="preserve"> </w:t>
      </w:r>
    </w:p>
  </w:footnote>
  <w:footnote w:id="4">
    <w:p w:rsidR="00F20E3F" w:rsidRPr="002A2A4E" w:rsidP="00F271A9" w14:paraId="470747DB" w14:textId="77777777">
      <w:pPr>
        <w:pStyle w:val="00"/>
        <w:spacing w:after="0"/>
        <w:rPr>
          <w:color w:val="000000" w:themeColor="text1"/>
        </w:rPr>
      </w:pPr>
      <w:r w:rsidRPr="002A2A4E">
        <w:rPr>
          <w:rStyle w:val="7342"/>
          <w:color w:val="000000" w:themeColor="text1"/>
        </w:rPr>
        <w:footnoteRef/>
      </w:r>
      <w:r w:rsidRPr="002A2A4E">
        <w:rPr>
          <w:rStyle w:val="7342"/>
          <w:color w:val="000000" w:themeColor="text1"/>
          <w:rtl/>
        </w:rPr>
        <w:t xml:space="preserve"> </w:t>
      </w:r>
      <w:r w:rsidRPr="002A2A4E">
        <w:rPr>
          <w:color w:val="000000" w:themeColor="text1"/>
          <w:rtl/>
        </w:rPr>
        <w:tab/>
      </w:r>
      <w:r w:rsidRPr="002A2A4E">
        <w:rPr>
          <w:rFonts w:hint="cs"/>
          <w:color w:val="000000" w:themeColor="text1"/>
          <w:rtl/>
        </w:rPr>
        <w:t xml:space="preserve">ראו את המסמך: </w:t>
      </w:r>
      <w:r w:rsidRPr="002A2A4E">
        <w:rPr>
          <w:color w:val="000000" w:themeColor="text1"/>
        </w:rPr>
        <w:t>Green Budgeting: Towards Common Principles, OECD, November 2021.</w:t>
      </w:r>
    </w:p>
    <w:p w:rsidR="00F20E3F" w:rsidRPr="002A2A4E" w:rsidP="00F271A9" w14:paraId="7D5C7A37" w14:textId="77777777">
      <w:pPr>
        <w:pStyle w:val="7333"/>
        <w:rPr>
          <w:color w:val="000000" w:themeColor="text1"/>
          <w:u w:val="none"/>
        </w:rPr>
      </w:pPr>
      <w:hyperlink r:id="rId2" w:history="1">
        <w:r w:rsidRPr="002A2A4E">
          <w:rPr>
            <w:rStyle w:val="Hyperlink"/>
            <w:color w:val="000000" w:themeColor="text1"/>
            <w:u w:val="none"/>
          </w:rPr>
          <w:t>https://economy-finance.ec.europa.eu/publications/green-budgeting-towards-common-principles_en</w:t>
        </w:r>
      </w:hyperlink>
      <w:r w:rsidRPr="002A2A4E">
        <w:rPr>
          <w:color w:val="000000" w:themeColor="text1"/>
          <w:u w:val="none"/>
        </w:rPr>
        <w:t xml:space="preserve"> </w:t>
      </w:r>
    </w:p>
  </w:footnote>
  <w:footnote w:id="5">
    <w:p w:rsidR="00F20E3F" w:rsidRPr="002A2A4E" w:rsidP="007649F0" w14:paraId="5FC99221" w14:textId="77777777">
      <w:pPr>
        <w:pStyle w:val="00"/>
        <w:rPr>
          <w:color w:val="000000" w:themeColor="text1"/>
        </w:rPr>
      </w:pPr>
      <w:r w:rsidRPr="002A2A4E">
        <w:rPr>
          <w:rStyle w:val="7342"/>
          <w:color w:val="000000" w:themeColor="text1"/>
        </w:rPr>
        <w:footnoteRef/>
      </w:r>
      <w:r w:rsidRPr="002A2A4E">
        <w:rPr>
          <w:rStyle w:val="7342"/>
          <w:color w:val="000000" w:themeColor="text1"/>
          <w:rtl/>
        </w:rPr>
        <w:t xml:space="preserve"> </w:t>
      </w:r>
      <w:r w:rsidRPr="002A2A4E">
        <w:rPr>
          <w:rStyle w:val="7342"/>
          <w:color w:val="000000" w:themeColor="text1"/>
          <w:rtl/>
        </w:rPr>
        <w:tab/>
      </w:r>
      <w:r w:rsidRPr="002A2A4E">
        <w:rPr>
          <w:rFonts w:hint="cs"/>
          <w:color w:val="000000" w:themeColor="text1"/>
          <w:rtl/>
        </w:rPr>
        <w:t xml:space="preserve">בין המדינות החברות בקואליציה חברות גם מדינות </w:t>
      </w:r>
      <w:r w:rsidRPr="002A2A4E">
        <w:rPr>
          <w:color w:val="000000" w:themeColor="text1"/>
        </w:rPr>
        <w:t>OECD</w:t>
      </w:r>
      <w:r w:rsidRPr="002A2A4E">
        <w:rPr>
          <w:rFonts w:hint="cs"/>
          <w:color w:val="000000" w:themeColor="text1"/>
          <w:sz w:val="18"/>
          <w:szCs w:val="18"/>
          <w:rtl/>
        </w:rPr>
        <w:t xml:space="preserve"> </w:t>
      </w:r>
      <w:r w:rsidRPr="002A2A4E">
        <w:rPr>
          <w:rFonts w:hint="cs"/>
          <w:color w:val="000000" w:themeColor="text1"/>
          <w:rtl/>
        </w:rPr>
        <w:t xml:space="preserve">רבות כמו בריטניה, ארצות הברית, שווייץ, צרפת, גרמניה, שוודיה, </w:t>
      </w:r>
      <w:r w:rsidRPr="002A2A4E">
        <w:rPr>
          <w:rFonts w:hint="cs"/>
          <w:color w:val="000000" w:themeColor="text1"/>
          <w:rtl/>
        </w:rPr>
        <w:t>נורווגיה</w:t>
      </w:r>
      <w:r w:rsidRPr="002A2A4E">
        <w:rPr>
          <w:rFonts w:hint="cs"/>
          <w:color w:val="000000" w:themeColor="text1"/>
          <w:rtl/>
        </w:rPr>
        <w:t xml:space="preserve"> וספרד, וכן מדינות ים-תיכוניות שכנות כמו מצרים, קפריסין, מרוקו ויוון. </w:t>
      </w:r>
    </w:p>
  </w:footnote>
  <w:footnote w:id="6">
    <w:p w:rsidR="00F20E3F" w:rsidRPr="002A2A4E" w:rsidP="007649F0" w14:paraId="52F7E975" w14:textId="77777777">
      <w:pPr>
        <w:pStyle w:val="00"/>
        <w:rPr>
          <w:color w:val="000000" w:themeColor="text1"/>
        </w:rPr>
      </w:pPr>
      <w:r w:rsidRPr="002A2A4E">
        <w:rPr>
          <w:rStyle w:val="7342"/>
          <w:color w:val="000000" w:themeColor="text1"/>
        </w:rPr>
        <w:footnoteRef/>
      </w:r>
      <w:r w:rsidRPr="002A2A4E">
        <w:rPr>
          <w:rStyle w:val="7342"/>
          <w:color w:val="000000" w:themeColor="text1"/>
          <w:rtl/>
        </w:rPr>
        <w:t xml:space="preserve"> </w:t>
      </w:r>
      <w:r w:rsidRPr="002A2A4E">
        <w:rPr>
          <w:color w:val="000000" w:themeColor="text1"/>
          <w:rtl/>
        </w:rPr>
        <w:tab/>
      </w:r>
      <w:r w:rsidRPr="002A2A4E">
        <w:rPr>
          <w:rFonts w:hint="cs"/>
          <w:color w:val="000000" w:themeColor="text1"/>
          <w:rtl/>
        </w:rPr>
        <w:t xml:space="preserve">יצוין כי עקרונות הלסינקי אינם מחייבים. ראו: </w:t>
      </w:r>
      <w:hyperlink r:id="rId3" w:history="1">
        <w:r w:rsidRPr="002A2A4E">
          <w:rPr>
            <w:rStyle w:val="7334"/>
            <w:color w:val="000000" w:themeColor="text1"/>
            <w:u w:val="none"/>
          </w:rPr>
          <w:t>www.financeministersforclimate.org</w:t>
        </w:r>
      </w:hyperlink>
      <w:r w:rsidRPr="002A2A4E">
        <w:rPr>
          <w:rFonts w:hint="cs"/>
          <w:color w:val="000000" w:themeColor="text1"/>
          <w:rtl/>
        </w:rPr>
        <w:t xml:space="preserve">. </w:t>
      </w:r>
    </w:p>
  </w:footnote>
  <w:footnote w:id="7">
    <w:p w:rsidR="00F20E3F" w:rsidRPr="002A2A4E" w:rsidP="007649F0" w14:paraId="0BC415CF" w14:textId="602329A8">
      <w:pPr>
        <w:pStyle w:val="00"/>
        <w:rPr>
          <w:rStyle w:val="7342"/>
          <w:color w:val="000000" w:themeColor="text1"/>
          <w:rtl/>
        </w:rPr>
      </w:pPr>
      <w:r w:rsidRPr="002A2A4E">
        <w:rPr>
          <w:rStyle w:val="7342"/>
          <w:color w:val="000000" w:themeColor="text1"/>
        </w:rPr>
        <w:footnoteRef/>
      </w:r>
      <w:r w:rsidRPr="002A2A4E">
        <w:rPr>
          <w:rStyle w:val="7342"/>
          <w:color w:val="000000" w:themeColor="text1"/>
          <w:rtl/>
        </w:rPr>
        <w:t xml:space="preserve"> </w:t>
      </w:r>
      <w:r w:rsidRPr="002A2A4E">
        <w:rPr>
          <w:rStyle w:val="7342"/>
          <w:color w:val="000000" w:themeColor="text1"/>
          <w:rtl/>
        </w:rPr>
        <w:tab/>
      </w:r>
      <w:r w:rsidRPr="002A2A4E">
        <w:rPr>
          <w:rFonts w:hint="cs"/>
          <w:color w:val="000000" w:themeColor="text1"/>
          <w:rtl/>
        </w:rPr>
        <w:t xml:space="preserve">כל קבוצת עבודה מובלת על ידי אחת עד שלוש מדינות, ופעילות בה גם </w:t>
      </w:r>
      <w:r w:rsidRPr="002A2A4E">
        <w:rPr>
          <w:rFonts w:hint="cs"/>
          <w:color w:val="000000" w:themeColor="text1"/>
          <w:sz w:val="24"/>
          <w:rtl/>
        </w:rPr>
        <w:t xml:space="preserve">ארגונים </w:t>
      </w:r>
      <w:r w:rsidRPr="002A2A4E">
        <w:rPr>
          <w:rStyle w:val="7342"/>
          <w:rFonts w:hint="cs"/>
          <w:color w:val="000000" w:themeColor="text1"/>
          <w:rtl/>
        </w:rPr>
        <w:t>כמו ה-</w:t>
      </w:r>
      <w:r w:rsidRPr="002A2A4E">
        <w:rPr>
          <w:rStyle w:val="7342"/>
          <w:color w:val="000000" w:themeColor="text1"/>
        </w:rPr>
        <w:t>UNFCCC</w:t>
      </w:r>
      <w:r w:rsidRPr="002A2A4E">
        <w:rPr>
          <w:rStyle w:val="7342"/>
          <w:rFonts w:hint="cs"/>
          <w:color w:val="000000" w:themeColor="text1"/>
          <w:rtl/>
        </w:rPr>
        <w:t>, ה-</w:t>
      </w:r>
      <w:r w:rsidRPr="002A2A4E">
        <w:rPr>
          <w:rStyle w:val="7342"/>
          <w:color w:val="000000" w:themeColor="text1"/>
        </w:rPr>
        <w:t>UNDP</w:t>
      </w:r>
      <w:r w:rsidRPr="002A2A4E">
        <w:rPr>
          <w:rStyle w:val="7342"/>
          <w:rFonts w:hint="cs"/>
          <w:color w:val="000000" w:themeColor="text1"/>
          <w:rtl/>
        </w:rPr>
        <w:t>, ה-</w:t>
      </w:r>
      <w:r w:rsidRPr="002A2A4E">
        <w:rPr>
          <w:rStyle w:val="7342"/>
          <w:rFonts w:hint="cs"/>
          <w:color w:val="000000" w:themeColor="text1"/>
        </w:rPr>
        <w:t>NGFS</w:t>
      </w:r>
      <w:r w:rsidRPr="002A2A4E">
        <w:rPr>
          <w:rStyle w:val="7342"/>
          <w:rFonts w:hint="cs"/>
          <w:color w:val="000000" w:themeColor="text1"/>
          <w:rtl/>
        </w:rPr>
        <w:t>, ה-</w:t>
      </w:r>
      <w:r w:rsidRPr="002A2A4E">
        <w:rPr>
          <w:rStyle w:val="7342"/>
          <w:color w:val="000000" w:themeColor="text1"/>
        </w:rPr>
        <w:t>IMF</w:t>
      </w:r>
      <w:r w:rsidRPr="002A2A4E">
        <w:rPr>
          <w:rStyle w:val="7342"/>
          <w:rFonts w:hint="cs"/>
          <w:color w:val="000000" w:themeColor="text1"/>
          <w:rtl/>
        </w:rPr>
        <w:t xml:space="preserve"> והבנק העולמי.</w:t>
      </w:r>
    </w:p>
  </w:footnote>
  <w:footnote w:id="8">
    <w:p w:rsidR="00F20E3F" w:rsidRPr="002A2A4E" w:rsidP="007649F0" w14:paraId="7C8553AD" w14:textId="77777777">
      <w:pPr>
        <w:pStyle w:val="00"/>
        <w:rPr>
          <w:color w:val="000000" w:themeColor="text1"/>
          <w:rtl/>
        </w:rPr>
      </w:pPr>
      <w:r w:rsidRPr="002A2A4E">
        <w:rPr>
          <w:rStyle w:val="7342"/>
          <w:color w:val="000000" w:themeColor="text1"/>
        </w:rPr>
        <w:footnoteRef/>
      </w:r>
      <w:r w:rsidRPr="002A2A4E">
        <w:rPr>
          <w:rStyle w:val="7342"/>
          <w:color w:val="000000" w:themeColor="text1"/>
          <w:rtl/>
        </w:rPr>
        <w:t xml:space="preserve"> </w:t>
      </w:r>
      <w:r w:rsidRPr="002A2A4E">
        <w:rPr>
          <w:rStyle w:val="7342"/>
          <w:color w:val="000000" w:themeColor="text1"/>
          <w:rtl/>
        </w:rPr>
        <w:tab/>
      </w:r>
      <w:r w:rsidRPr="002A2A4E">
        <w:rPr>
          <w:rStyle w:val="7342"/>
          <w:rFonts w:hint="cs"/>
          <w:color w:val="000000" w:themeColor="text1"/>
          <w:rtl/>
        </w:rPr>
        <w:t>לפי</w:t>
      </w:r>
      <w:r w:rsidRPr="002A2A4E">
        <w:rPr>
          <w:rFonts w:hint="cs"/>
          <w:color w:val="000000" w:themeColor="text1"/>
          <w:rtl/>
        </w:rPr>
        <w:t xml:space="preserve"> המסמך, הבנת ערוצי ההשפעה היא נקודת ההתחלה בהבנת ההשפעה של המעבר לאיפוס פחמני על כספי הציבור ועל עיצוב מדיניות אקלים. ראו: </w:t>
      </w:r>
      <w:hyperlink r:id="rId4" w:history="1">
        <w:r w:rsidRPr="002A2A4E">
          <w:rPr>
            <w:rStyle w:val="7334"/>
            <w:color w:val="000000" w:themeColor="text1"/>
            <w:u w:val="none"/>
          </w:rPr>
          <w:t>How to Scope the Fiscal Impacts of Long Term Climate Strategies? A Review of Current Methods and Processes, Coalition of Finance Ministers for Climate Action, 2022</w:t>
        </w:r>
      </w:hyperlink>
      <w:r w:rsidRPr="002A2A4E">
        <w:rPr>
          <w:rFonts w:hint="cs"/>
          <w:color w:val="000000" w:themeColor="text1"/>
          <w:rtl/>
        </w:rPr>
        <w:t>.</w:t>
      </w:r>
    </w:p>
  </w:footnote>
  <w:footnote w:id="9">
    <w:p w:rsidR="00F20E3F" w:rsidRPr="002A2A4E" w:rsidP="007649F0" w14:paraId="21E81DDE" w14:textId="77777777">
      <w:pPr>
        <w:pStyle w:val="00"/>
        <w:rPr>
          <w:rStyle w:val="7334"/>
          <w:color w:val="000000" w:themeColor="text1"/>
          <w:u w:val="none"/>
        </w:rPr>
      </w:pPr>
      <w:r w:rsidRPr="002A2A4E">
        <w:rPr>
          <w:rStyle w:val="7342"/>
          <w:color w:val="000000" w:themeColor="text1"/>
        </w:rPr>
        <w:footnoteRef/>
      </w:r>
      <w:r w:rsidRPr="002A2A4E">
        <w:rPr>
          <w:rStyle w:val="7342"/>
          <w:color w:val="000000" w:themeColor="text1"/>
          <w:rtl/>
        </w:rPr>
        <w:t xml:space="preserve"> </w:t>
      </w:r>
      <w:r w:rsidRPr="002A2A4E">
        <w:rPr>
          <w:rStyle w:val="7342"/>
          <w:color w:val="000000" w:themeColor="text1"/>
          <w:rtl/>
        </w:rPr>
        <w:tab/>
      </w:r>
      <w:r w:rsidRPr="002A2A4E">
        <w:rPr>
          <w:rFonts w:hint="cs"/>
          <w:color w:val="000000" w:themeColor="text1"/>
          <w:rtl/>
        </w:rPr>
        <w:t>ראו:</w:t>
      </w:r>
      <w:hyperlink r:id="rId5" w:history="1">
        <w:r w:rsidRPr="002A2A4E">
          <w:rPr>
            <w:rStyle w:val="7334"/>
            <w:color w:val="000000" w:themeColor="text1"/>
            <w:u w:val="none"/>
          </w:rPr>
          <w:t>Strategies for Mainstreaming Climate Action in Ministries of Finance: Governance, Capacities and Research Practices, Coalition of Finance Ministers for Climate Action, 2022</w:t>
        </w:r>
      </w:hyperlink>
      <w:r w:rsidRPr="002A2A4E">
        <w:rPr>
          <w:rStyle w:val="7334"/>
          <w:color w:val="000000" w:themeColor="text1"/>
          <w:u w:val="none"/>
        </w:rPr>
        <w:t>.</w:t>
      </w:r>
    </w:p>
  </w:footnote>
  <w:footnote w:id="10">
    <w:p w:rsidR="00F20E3F" w:rsidRPr="002A2A4E" w:rsidP="007649F0" w14:paraId="60CE979A" w14:textId="77777777">
      <w:pPr>
        <w:pStyle w:val="00"/>
        <w:rPr>
          <w:color w:val="000000" w:themeColor="text1"/>
        </w:rPr>
      </w:pPr>
      <w:r w:rsidRPr="002A2A4E">
        <w:rPr>
          <w:rStyle w:val="7342"/>
          <w:color w:val="000000" w:themeColor="text1"/>
        </w:rPr>
        <w:footnoteRef/>
      </w:r>
      <w:r w:rsidRPr="002A2A4E">
        <w:rPr>
          <w:rStyle w:val="7342"/>
          <w:color w:val="000000" w:themeColor="text1"/>
          <w:rtl/>
        </w:rPr>
        <w:t xml:space="preserve"> </w:t>
      </w:r>
      <w:r w:rsidRPr="002A2A4E">
        <w:rPr>
          <w:color w:val="000000" w:themeColor="text1"/>
          <w:rtl/>
        </w:rPr>
        <w:tab/>
      </w:r>
      <w:r w:rsidRPr="002A2A4E">
        <w:rPr>
          <w:rFonts w:hint="cs"/>
          <w:color w:val="000000" w:themeColor="text1"/>
          <w:rtl/>
        </w:rPr>
        <w:t>ראו באתר הקואליציה:</w:t>
      </w:r>
      <w:r w:rsidRPr="002A2A4E">
        <w:rPr>
          <w:rStyle w:val="7334"/>
          <w:rFonts w:hint="cs"/>
          <w:color w:val="000000" w:themeColor="text1"/>
          <w:u w:val="none"/>
          <w:rtl/>
        </w:rPr>
        <w:t xml:space="preserve"> </w:t>
      </w:r>
      <w:hyperlink r:id="rId6" w:history="1">
        <w:r w:rsidRPr="002A2A4E">
          <w:rPr>
            <w:rStyle w:val="7334"/>
            <w:color w:val="000000" w:themeColor="text1"/>
            <w:u w:val="none"/>
          </w:rPr>
          <w:t>https://www.financeministersforclimate.org/mainstream</w:t>
        </w:r>
      </w:hyperlink>
      <w:r w:rsidRPr="002A2A4E">
        <w:rPr>
          <w:rFonts w:hint="cs"/>
          <w:color w:val="000000" w:themeColor="text1"/>
          <w:rtl/>
        </w:rPr>
        <w:t xml:space="preserve"> </w:t>
      </w:r>
    </w:p>
  </w:footnote>
  <w:footnote w:id="11">
    <w:p w:rsidR="00F20E3F" w:rsidRPr="002A2A4E" w:rsidP="007649F0" w14:paraId="709AD37F" w14:textId="77777777">
      <w:pPr>
        <w:pStyle w:val="00"/>
        <w:rPr>
          <w:rStyle w:val="7334"/>
          <w:color w:val="000000" w:themeColor="text1"/>
          <w:u w:val="none"/>
        </w:rPr>
      </w:pPr>
      <w:r w:rsidRPr="002A2A4E">
        <w:rPr>
          <w:rStyle w:val="7342"/>
          <w:color w:val="000000" w:themeColor="text1"/>
        </w:rPr>
        <w:footnoteRef/>
      </w:r>
      <w:r w:rsidRPr="002A2A4E">
        <w:rPr>
          <w:rStyle w:val="7342"/>
          <w:color w:val="000000" w:themeColor="text1"/>
          <w:rtl/>
        </w:rPr>
        <w:t xml:space="preserve"> </w:t>
      </w:r>
      <w:r w:rsidRPr="002A2A4E">
        <w:rPr>
          <w:color w:val="000000" w:themeColor="text1"/>
          <w:rtl/>
        </w:rPr>
        <w:tab/>
      </w:r>
      <w:r w:rsidRPr="002A2A4E">
        <w:rPr>
          <w:rFonts w:hint="cs"/>
          <w:color w:val="000000" w:themeColor="text1"/>
          <w:rtl/>
        </w:rPr>
        <w:t>ראו:</w:t>
      </w:r>
      <w:hyperlink r:id="rId7" w:history="1">
        <w:r w:rsidRPr="002A2A4E">
          <w:rPr>
            <w:rStyle w:val="7334"/>
            <w:color w:val="000000" w:themeColor="text1"/>
            <w:u w:val="none"/>
          </w:rPr>
          <w:t>Climate-Related Risks for Ministries of Finance -An Overview. Coalition of Finance Ministers for Climate Action, Coalition of Finance Ministers for Climate Action, 2021</w:t>
        </w:r>
      </w:hyperlink>
      <w:r w:rsidRPr="002A2A4E">
        <w:rPr>
          <w:rStyle w:val="7334"/>
          <w:color w:val="000000" w:themeColor="text1"/>
          <w:u w:val="none"/>
        </w:rPr>
        <w:t>.</w:t>
      </w:r>
    </w:p>
  </w:footnote>
  <w:footnote w:id="12">
    <w:p w:rsidR="00F20E3F" w:rsidRPr="002A2A4E" w:rsidP="00F271A9" w14:paraId="7EB0A632" w14:textId="77777777">
      <w:pPr>
        <w:pStyle w:val="00"/>
        <w:spacing w:after="0"/>
        <w:rPr>
          <w:color w:val="000000" w:themeColor="text1"/>
        </w:rPr>
      </w:pPr>
      <w:r w:rsidRPr="002A2A4E">
        <w:rPr>
          <w:rStyle w:val="7342"/>
          <w:color w:val="000000" w:themeColor="text1"/>
        </w:rPr>
        <w:footnoteRef/>
      </w:r>
      <w:r w:rsidRPr="002A2A4E">
        <w:rPr>
          <w:rStyle w:val="7342"/>
          <w:color w:val="000000" w:themeColor="text1"/>
          <w:rtl/>
        </w:rPr>
        <w:t xml:space="preserve"> </w:t>
      </w:r>
      <w:r w:rsidRPr="002A2A4E">
        <w:rPr>
          <w:color w:val="000000" w:themeColor="text1"/>
          <w:rtl/>
        </w:rPr>
        <w:tab/>
      </w:r>
      <w:r w:rsidRPr="002A2A4E">
        <w:rPr>
          <w:rFonts w:hint="cs"/>
          <w:color w:val="000000" w:themeColor="text1"/>
          <w:rtl/>
        </w:rPr>
        <w:t xml:space="preserve">ראו את המסמך: </w:t>
      </w:r>
      <w:r w:rsidRPr="002A2A4E">
        <w:rPr>
          <w:color w:val="000000" w:themeColor="text1"/>
        </w:rPr>
        <w:t>Green Budgeting: Towards Common Principles, OECD, November 2021.</w:t>
      </w:r>
    </w:p>
    <w:p w:rsidR="00F20E3F" w:rsidRPr="002A2A4E" w:rsidP="00F271A9" w14:paraId="59E4BE21" w14:textId="77777777">
      <w:pPr>
        <w:pStyle w:val="00"/>
        <w:bidi w:val="0"/>
        <w:spacing w:after="0"/>
        <w:rPr>
          <w:rStyle w:val="7334"/>
          <w:color w:val="000000" w:themeColor="text1"/>
          <w:u w:val="none"/>
        </w:rPr>
      </w:pPr>
      <w:hyperlink r:id="rId2" w:history="1">
        <w:r w:rsidRPr="002A2A4E">
          <w:rPr>
            <w:rStyle w:val="7334"/>
            <w:color w:val="000000" w:themeColor="text1"/>
            <w:u w:val="none"/>
          </w:rPr>
          <w:t>https://economy-finance.ec.europa.eu/publications/green-budgeting-towards-common-principles_en</w:t>
        </w:r>
      </w:hyperlink>
      <w:r w:rsidRPr="002A2A4E">
        <w:rPr>
          <w:rStyle w:val="7334"/>
          <w:color w:val="000000" w:themeColor="text1"/>
          <w:u w:val="none"/>
        </w:rPr>
        <w:t xml:space="preserve"> </w:t>
      </w:r>
    </w:p>
    <w:p w:rsidR="00F20E3F" w:rsidRPr="002A2A4E" w:rsidP="00F271A9" w14:paraId="375EDC78" w14:textId="77777777">
      <w:pPr>
        <w:pStyle w:val="00"/>
        <w:spacing w:after="0"/>
        <w:rPr>
          <w:color w:val="000000" w:themeColor="text1"/>
          <w:rtl/>
        </w:rPr>
      </w:pPr>
      <w:r w:rsidRPr="002A2A4E">
        <w:rPr>
          <w:color w:val="000000" w:themeColor="text1"/>
          <w:rtl/>
        </w:rPr>
        <w:tab/>
      </w:r>
      <w:r w:rsidRPr="002A2A4E">
        <w:rPr>
          <w:rFonts w:hint="cs"/>
          <w:color w:val="000000" w:themeColor="text1"/>
          <w:rtl/>
        </w:rPr>
        <w:t>וכן את המאמר:</w:t>
      </w:r>
    </w:p>
    <w:p w:rsidR="00F20E3F" w:rsidRPr="002A2A4E" w:rsidP="007649F0" w14:paraId="4D3CB153" w14:textId="77777777">
      <w:pPr>
        <w:pStyle w:val="00"/>
        <w:bidi w:val="0"/>
        <w:rPr>
          <w:color w:val="000000" w:themeColor="text1"/>
        </w:rPr>
      </w:pPr>
      <w:r w:rsidRPr="002A2A4E">
        <w:rPr>
          <w:rFonts w:hint="cs"/>
          <w:color w:val="000000" w:themeColor="text1"/>
          <w:rtl/>
        </w:rPr>
        <w:t xml:space="preserve"> </w:t>
      </w:r>
      <w:r w:rsidRPr="002A2A4E">
        <w:rPr>
          <w:color w:val="000000" w:themeColor="text1"/>
        </w:rPr>
        <w:t>Green Budgeting: A way forward, OECD Journal on Budgeting, Volume 2022 Issue 2, 2022.</w:t>
      </w:r>
    </w:p>
  </w:footnote>
  <w:footnote w:id="13">
    <w:p w:rsidR="0086740C" w:rsidRPr="0086740C" w:rsidP="0086740C" w14:paraId="3B4586A8" w14:textId="77777777">
      <w:pPr>
        <w:pStyle w:val="7341"/>
        <w:rPr>
          <w:rtl/>
        </w:rPr>
      </w:pPr>
      <w:r w:rsidRPr="0086740C">
        <w:rPr>
          <w:rStyle w:val="FootnoteReference2"/>
          <w:vertAlign w:val="baseline"/>
        </w:rPr>
        <w:footnoteRef/>
      </w:r>
      <w:r w:rsidRPr="0086740C">
        <w:rPr>
          <w:rtl/>
        </w:rPr>
        <w:t xml:space="preserve"> </w:t>
      </w:r>
      <w:r w:rsidRPr="0086740C">
        <w:rPr>
          <w:rtl/>
        </w:rPr>
        <w:tab/>
      </w:r>
      <w:r w:rsidRPr="0086740C">
        <w:rPr>
          <w:rFonts w:hint="cs"/>
          <w:rtl/>
        </w:rPr>
        <w:t xml:space="preserve">מדינות כמו צרפת, אירלנד ואיטליה מסמנות פריטים בעלי השפעה שלילית על הסביבה. </w:t>
      </w:r>
    </w:p>
  </w:footnote>
  <w:footnote w:id="14">
    <w:p w:rsidR="0086740C" w:rsidRPr="0086740C" w:rsidP="0086740C" w14:paraId="59E0AA0E" w14:textId="77777777">
      <w:pPr>
        <w:pStyle w:val="7341"/>
        <w:rPr>
          <w:rtl/>
        </w:rPr>
      </w:pPr>
      <w:r w:rsidRPr="0086740C">
        <w:rPr>
          <w:rStyle w:val="FootnoteReference2"/>
          <w:vertAlign w:val="baseline"/>
        </w:rPr>
        <w:footnoteRef/>
      </w:r>
      <w:r w:rsidRPr="0086740C">
        <w:rPr>
          <w:rtl/>
        </w:rPr>
        <w:t xml:space="preserve"> </w:t>
      </w:r>
      <w:r w:rsidRPr="0086740C">
        <w:rPr>
          <w:rtl/>
        </w:rPr>
        <w:tab/>
      </w:r>
      <w:r w:rsidRPr="0086740C">
        <w:rPr>
          <w:rFonts w:hint="cs"/>
          <w:rtl/>
        </w:rPr>
        <w:t>לפי ה-</w:t>
      </w:r>
      <w:r w:rsidRPr="0086740C">
        <w:t>OECD</w:t>
      </w:r>
      <w:r w:rsidRPr="0086740C">
        <w:rPr>
          <w:rFonts w:hint="cs"/>
          <w:rtl/>
        </w:rPr>
        <w:t>, נכון ל</w:t>
      </w:r>
      <w:r w:rsidRPr="0086740C">
        <w:rPr>
          <w:rtl/>
        </w:rPr>
        <w:t>שנת 2021</w:t>
      </w:r>
      <w:r w:rsidRPr="0086740C">
        <w:rPr>
          <w:b/>
          <w:bCs/>
          <w:rtl/>
        </w:rPr>
        <w:t xml:space="preserve">, שמונה מדינות </w:t>
      </w:r>
      <w:r w:rsidRPr="0086740C">
        <w:rPr>
          <w:b/>
          <w:bCs/>
        </w:rPr>
        <w:t>OECD</w:t>
      </w:r>
      <w:r w:rsidRPr="0086740C">
        <w:rPr>
          <w:rtl/>
        </w:rPr>
        <w:t xml:space="preserve"> עדכנו את חוקי התקציב הלאומי שלהן </w:t>
      </w:r>
      <w:r w:rsidRPr="0086740C">
        <w:rPr>
          <w:rFonts w:hint="cs"/>
          <w:rtl/>
        </w:rPr>
        <w:t>כך שהוא יאפשר הטמעה של דרישות התקצוב הירוק -</w:t>
      </w:r>
      <w:r w:rsidRPr="0086740C">
        <w:rPr>
          <w:rtl/>
        </w:rPr>
        <w:t xml:space="preserve"> אוסטריה, קולומביה, צרפת, איטליה, לוקסמבורג, מקסיקו</w:t>
      </w:r>
      <w:r w:rsidRPr="0086740C">
        <w:rPr>
          <w:rFonts w:hint="cs"/>
          <w:rtl/>
        </w:rPr>
        <w:t xml:space="preserve">, הולנד ופורטוגל. שש מדינות נוספות העבירו חקיקה נפרדת בעניין (בהן </w:t>
      </w:r>
      <w:r w:rsidRPr="0086740C">
        <w:rPr>
          <w:rFonts w:hint="cs"/>
          <w:rtl/>
        </w:rPr>
        <w:t>נורווגיה</w:t>
      </w:r>
      <w:r w:rsidRPr="0086740C">
        <w:rPr>
          <w:rFonts w:hint="cs"/>
          <w:rtl/>
        </w:rPr>
        <w:t xml:space="preserve"> ושוודיה), ועוד 11 מדינות מטמיעות כלים של תקצוב ירוק באמצעות כלים </w:t>
      </w:r>
      <w:r w:rsidRPr="0086740C">
        <w:rPr>
          <w:rFonts w:hint="cs"/>
          <w:rtl/>
        </w:rPr>
        <w:t>מינהליים</w:t>
      </w:r>
      <w:r w:rsidRPr="0086740C">
        <w:rPr>
          <w:rFonts w:hint="cs"/>
          <w:rtl/>
        </w:rPr>
        <w:t xml:space="preserve">. העיסוק בתקצוב ירוק יכול להיות ריכוזי או מבוזר. </w:t>
      </w:r>
      <w:r w:rsidRPr="0086740C">
        <w:rPr>
          <w:rtl/>
        </w:rPr>
        <w:t xml:space="preserve">בצרפת, </w:t>
      </w:r>
      <w:r w:rsidRPr="0086740C">
        <w:rPr>
          <w:rFonts w:hint="cs"/>
          <w:rtl/>
        </w:rPr>
        <w:t>למשל, יש עיסוק ריכוזי ב</w:t>
      </w:r>
      <w:r w:rsidRPr="0086740C">
        <w:rPr>
          <w:rtl/>
        </w:rPr>
        <w:t>תקצ</w:t>
      </w:r>
      <w:r w:rsidRPr="0086740C">
        <w:rPr>
          <w:rFonts w:hint="cs"/>
          <w:rtl/>
        </w:rPr>
        <w:t>ו</w:t>
      </w:r>
      <w:r w:rsidRPr="0086740C">
        <w:rPr>
          <w:rtl/>
        </w:rPr>
        <w:t>ב ירוק</w:t>
      </w:r>
      <w:r w:rsidRPr="0086740C">
        <w:rPr>
          <w:rFonts w:hint="cs"/>
          <w:rtl/>
        </w:rPr>
        <w:t xml:space="preserve">, והוא מצוי בידי </w:t>
      </w:r>
      <w:r w:rsidRPr="0086740C">
        <w:rPr>
          <w:rtl/>
        </w:rPr>
        <w:t>הפיקוח הכללי של</w:t>
      </w:r>
      <w:r w:rsidRPr="0086740C">
        <w:rPr>
          <w:rFonts w:hint="cs"/>
          <w:rtl/>
        </w:rPr>
        <w:t xml:space="preserve"> ה</w:t>
      </w:r>
      <w:r w:rsidRPr="0086740C">
        <w:rPr>
          <w:rtl/>
        </w:rPr>
        <w:t xml:space="preserve">כספים </w:t>
      </w:r>
      <w:r w:rsidRPr="0086740C">
        <w:rPr>
          <w:rFonts w:hint="cs"/>
          <w:rtl/>
        </w:rPr>
        <w:t>(</w:t>
      </w:r>
      <w:r w:rsidRPr="0086740C">
        <w:rPr>
          <w:rFonts w:hint="cs"/>
          <w:rtl/>
        </w:rPr>
        <w:t>החשכ"ל</w:t>
      </w:r>
      <w:r w:rsidRPr="0086740C">
        <w:rPr>
          <w:rFonts w:hint="cs"/>
          <w:rtl/>
        </w:rPr>
        <w:t xml:space="preserve"> הצרפתי), בדומה למצב</w:t>
      </w:r>
      <w:r w:rsidRPr="0086740C">
        <w:rPr>
          <w:rtl/>
        </w:rPr>
        <w:t xml:space="preserve"> בשוודיה. </w:t>
      </w:r>
      <w:r w:rsidRPr="0086740C">
        <w:rPr>
          <w:rFonts w:hint="cs"/>
          <w:rtl/>
        </w:rPr>
        <w:t xml:space="preserve">גישה מבוזרת קיימת באיטליה, שם המשרדים המקצועיים (שאינם משרדי מטה) מבצעים תקצוב ירוק בהתאם להנחיות משרד האוצר והכלכלה האיטלקי. </w:t>
      </w:r>
    </w:p>
  </w:footnote>
  <w:footnote w:id="15">
    <w:p w:rsidR="0086740C" w:rsidRPr="0086740C" w:rsidP="0086740C" w14:paraId="1AE8C291" w14:textId="77777777">
      <w:pPr>
        <w:pStyle w:val="7341"/>
        <w:rPr>
          <w:rtl/>
        </w:rPr>
      </w:pPr>
      <w:r w:rsidRPr="0086740C">
        <w:rPr>
          <w:rStyle w:val="FootnoteReference2"/>
          <w:vertAlign w:val="baseline"/>
        </w:rPr>
        <w:footnoteRef/>
      </w:r>
      <w:r w:rsidRPr="0086740C">
        <w:rPr>
          <w:rtl/>
        </w:rPr>
        <w:t xml:space="preserve"> </w:t>
      </w:r>
      <w:r w:rsidRPr="0086740C">
        <w:rPr>
          <w:rtl/>
        </w:rPr>
        <w:tab/>
        <w:t>כחלק ממסגרות האקלים שלה</w:t>
      </w:r>
      <w:r w:rsidRPr="0086740C">
        <w:rPr>
          <w:rFonts w:hint="cs"/>
          <w:rtl/>
        </w:rPr>
        <w:t>ן</w:t>
      </w:r>
      <w:r w:rsidRPr="0086740C">
        <w:rPr>
          <w:rtl/>
        </w:rPr>
        <w:t xml:space="preserve">, </w:t>
      </w:r>
      <w:r w:rsidRPr="0086740C">
        <w:rPr>
          <w:rFonts w:hint="cs"/>
          <w:rtl/>
        </w:rPr>
        <w:t>מדינות החברות ב-</w:t>
      </w:r>
      <w:r w:rsidRPr="0086740C">
        <w:t>OECD</w:t>
      </w:r>
      <w:r w:rsidRPr="0086740C">
        <w:rPr>
          <w:rtl/>
        </w:rPr>
        <w:t xml:space="preserve"> הקימו גופים עצמאיים המופקדים </w:t>
      </w:r>
      <w:r w:rsidRPr="0086740C">
        <w:rPr>
          <w:rFonts w:hint="cs"/>
          <w:rtl/>
        </w:rPr>
        <w:t xml:space="preserve">בין היתר </w:t>
      </w:r>
      <w:r w:rsidRPr="0086740C">
        <w:rPr>
          <w:rtl/>
        </w:rPr>
        <w:t>על מתן ייעוץ לממשלות</w:t>
      </w:r>
      <w:r w:rsidRPr="0086740C">
        <w:rPr>
          <w:rFonts w:hint="cs"/>
          <w:rtl/>
        </w:rPr>
        <w:t>;</w:t>
      </w:r>
      <w:r w:rsidRPr="0086740C">
        <w:rPr>
          <w:rtl/>
        </w:rPr>
        <w:t xml:space="preserve"> ניטור מדיניות האקלים שלה</w:t>
      </w:r>
      <w:r w:rsidRPr="0086740C">
        <w:rPr>
          <w:rFonts w:hint="cs"/>
          <w:rtl/>
        </w:rPr>
        <w:t>ן;</w:t>
      </w:r>
      <w:r w:rsidRPr="0086740C">
        <w:rPr>
          <w:rtl/>
        </w:rPr>
        <w:t xml:space="preserve"> והערכת הקוהרנטיות של מדיניות </w:t>
      </w:r>
      <w:r w:rsidRPr="0086740C">
        <w:rPr>
          <w:rFonts w:hint="cs"/>
          <w:rtl/>
        </w:rPr>
        <w:t>האקלים</w:t>
      </w:r>
      <w:r w:rsidRPr="0086740C">
        <w:rPr>
          <w:rtl/>
        </w:rPr>
        <w:t xml:space="preserve"> </w:t>
      </w:r>
      <w:r w:rsidRPr="0086740C">
        <w:rPr>
          <w:rFonts w:hint="cs"/>
          <w:rtl/>
        </w:rPr>
        <w:t>במסגרת א</w:t>
      </w:r>
      <w:r w:rsidRPr="0086740C">
        <w:rPr>
          <w:rtl/>
        </w:rPr>
        <w:t>סטרטגיה סביבתית כוללת</w:t>
      </w:r>
      <w:r w:rsidRPr="0086740C">
        <w:rPr>
          <w:rFonts w:hint="cs"/>
          <w:rtl/>
        </w:rPr>
        <w:t xml:space="preserve">, ובהן: אוסטריה, דנמרק, פינלנד, בריטניה, הולנד ושוודיה. </w:t>
      </w:r>
    </w:p>
  </w:footnote>
  <w:footnote w:id="16">
    <w:p w:rsidR="00F20E3F" w:rsidRPr="002A2A4E" w:rsidP="00F271A9" w14:paraId="5D0D02FC" w14:textId="77777777">
      <w:pPr>
        <w:pStyle w:val="00"/>
        <w:spacing w:after="0"/>
        <w:rPr>
          <w:rStyle w:val="7342"/>
          <w:color w:val="000000" w:themeColor="text1"/>
        </w:rPr>
      </w:pPr>
      <w:r w:rsidRPr="002A2A4E">
        <w:rPr>
          <w:rStyle w:val="7342"/>
          <w:color w:val="000000" w:themeColor="text1"/>
        </w:rPr>
        <w:footnoteRef/>
      </w:r>
      <w:r w:rsidRPr="002A2A4E">
        <w:rPr>
          <w:rStyle w:val="7342"/>
          <w:color w:val="000000" w:themeColor="text1"/>
          <w:rtl/>
        </w:rPr>
        <w:t xml:space="preserve"> </w:t>
      </w:r>
      <w:r w:rsidRPr="002A2A4E">
        <w:rPr>
          <w:rStyle w:val="7342"/>
          <w:color w:val="000000" w:themeColor="text1"/>
          <w:rtl/>
        </w:rPr>
        <w:tab/>
      </w:r>
      <w:r w:rsidRPr="002A2A4E">
        <w:rPr>
          <w:rStyle w:val="7342"/>
          <w:rFonts w:hint="cs"/>
          <w:color w:val="000000" w:themeColor="text1"/>
          <w:rtl/>
        </w:rPr>
        <w:t xml:space="preserve">ראו את המסמך: </w:t>
      </w:r>
      <w:r w:rsidRPr="002A2A4E">
        <w:rPr>
          <w:rStyle w:val="7342"/>
          <w:color w:val="000000" w:themeColor="text1"/>
        </w:rPr>
        <w:t>Green Budgeting: Towards Common Principles, OECD, November 2021.</w:t>
      </w:r>
    </w:p>
    <w:p w:rsidR="00F20E3F" w:rsidRPr="002A2A4E" w:rsidP="00F271A9" w14:paraId="57385BE1" w14:textId="77777777">
      <w:pPr>
        <w:pStyle w:val="7333"/>
        <w:rPr>
          <w:color w:val="000000" w:themeColor="text1"/>
          <w:u w:val="none"/>
        </w:rPr>
      </w:pPr>
      <w:hyperlink r:id="rId2" w:history="1">
        <w:r w:rsidRPr="002A2A4E">
          <w:rPr>
            <w:rStyle w:val="Hyperlink"/>
            <w:color w:val="000000" w:themeColor="text1"/>
            <w:u w:val="none"/>
          </w:rPr>
          <w:t>https://economy-finance.ec.europa.eu/publications/green-budgeting-towards-common-principles_en</w:t>
        </w:r>
      </w:hyperlink>
      <w:r w:rsidRPr="002A2A4E">
        <w:rPr>
          <w:color w:val="000000" w:themeColor="text1"/>
          <w:u w:val="none"/>
        </w:rPr>
        <w:t xml:space="preserve"> </w:t>
      </w:r>
    </w:p>
  </w:footnote>
  <w:footnote w:id="17">
    <w:p w:rsidR="00F20E3F" w:rsidRPr="002A2A4E" w:rsidP="00F271A9" w14:paraId="2829BAE1" w14:textId="77777777">
      <w:pPr>
        <w:pStyle w:val="00"/>
        <w:spacing w:after="0"/>
        <w:rPr>
          <w:color w:val="000000" w:themeColor="text1"/>
          <w:rtl/>
        </w:rPr>
      </w:pPr>
      <w:r w:rsidRPr="002A2A4E">
        <w:rPr>
          <w:rStyle w:val="7342"/>
          <w:color w:val="000000" w:themeColor="text1"/>
        </w:rPr>
        <w:footnoteRef/>
      </w:r>
      <w:r w:rsidRPr="002A2A4E">
        <w:rPr>
          <w:rStyle w:val="7342"/>
          <w:color w:val="000000" w:themeColor="text1"/>
          <w:rtl/>
        </w:rPr>
        <w:t xml:space="preserve"> </w:t>
      </w:r>
      <w:r w:rsidRPr="002A2A4E">
        <w:rPr>
          <w:color w:val="000000" w:themeColor="text1"/>
          <w:rtl/>
        </w:rPr>
        <w:tab/>
      </w:r>
      <w:r w:rsidRPr="002A2A4E">
        <w:rPr>
          <w:rFonts w:hint="cs"/>
          <w:color w:val="000000" w:themeColor="text1"/>
          <w:rtl/>
        </w:rPr>
        <w:t>לפי ה-</w:t>
      </w:r>
      <w:r w:rsidRPr="002A2A4E">
        <w:rPr>
          <w:rStyle w:val="7342"/>
          <w:color w:val="000000" w:themeColor="text1"/>
        </w:rPr>
        <w:t>OECD</w:t>
      </w:r>
      <w:r w:rsidRPr="002A2A4E">
        <w:rPr>
          <w:rFonts w:hint="cs"/>
          <w:color w:val="000000" w:themeColor="text1"/>
          <w:rtl/>
        </w:rPr>
        <w:t>, גורם מפתח להצלחה של תקצוב ירוק הוא קיומה של תרבות של שיתוף פעולה בין-משרדי בין המשרד האחראי לתקציב השלטון המרכזי (משרד האוצר) ובין המשרד השותף למהלך. ראו:</w:t>
      </w:r>
    </w:p>
    <w:p w:rsidR="00F20E3F" w:rsidRPr="002A2A4E" w:rsidP="00F271A9" w14:paraId="63F3120B" w14:textId="77777777">
      <w:pPr>
        <w:pStyle w:val="00"/>
        <w:bidi w:val="0"/>
        <w:ind w:right="397"/>
        <w:rPr>
          <w:color w:val="000000" w:themeColor="text1"/>
          <w:spacing w:val="-6"/>
        </w:rPr>
      </w:pPr>
      <w:r w:rsidRPr="002A2A4E">
        <w:rPr>
          <w:color w:val="000000" w:themeColor="text1"/>
          <w:spacing w:val="-6"/>
        </w:rPr>
        <w:t xml:space="preserve">Green Budgeting in OECD Countries, OECD Publishing Paris, OECD (2021), p. 19 - 20. </w:t>
      </w:r>
      <w:hyperlink r:id="rId8" w:history="1">
        <w:r w:rsidRPr="002A2A4E">
          <w:rPr>
            <w:rStyle w:val="7334"/>
            <w:color w:val="000000" w:themeColor="text1"/>
            <w:spacing w:val="-6"/>
            <w:u w:val="none"/>
          </w:rPr>
          <w:t>https://doi.org/10.1787/acf5d047-en</w:t>
        </w:r>
      </w:hyperlink>
      <w:r w:rsidRPr="002A2A4E">
        <w:rPr>
          <w:color w:val="000000" w:themeColor="text1"/>
          <w:spacing w:val="-6"/>
        </w:rPr>
        <w:t xml:space="preserve"> </w:t>
      </w:r>
    </w:p>
  </w:footnote>
  <w:footnote w:id="18">
    <w:p w:rsidR="001B31B5" w:rsidRPr="002A2A4E" w:rsidP="001B31B5" w14:paraId="0F00F264" w14:textId="77777777">
      <w:pPr>
        <w:pStyle w:val="7341"/>
        <w:spacing w:after="0"/>
        <w:rPr>
          <w:color w:val="000000" w:themeColor="text1"/>
          <w:rtl/>
        </w:rPr>
      </w:pPr>
      <w:r w:rsidRPr="002A2A4E">
        <w:rPr>
          <w:color w:val="000000" w:themeColor="text1"/>
        </w:rPr>
        <w:footnoteRef/>
      </w:r>
      <w:r w:rsidRPr="002A2A4E">
        <w:rPr>
          <w:color w:val="000000" w:themeColor="text1"/>
          <w:rtl/>
        </w:rPr>
        <w:t xml:space="preserve"> </w:t>
      </w:r>
      <w:r w:rsidRPr="002A2A4E">
        <w:rPr>
          <w:color w:val="000000" w:themeColor="text1"/>
          <w:rtl/>
        </w:rPr>
        <w:tab/>
      </w:r>
      <w:r w:rsidRPr="002A2A4E">
        <w:rPr>
          <w:rFonts w:hint="cs"/>
          <w:color w:val="000000" w:themeColor="text1"/>
          <w:rtl/>
        </w:rPr>
        <w:t xml:space="preserve">ראו: </w:t>
      </w:r>
      <w:r w:rsidRPr="002A2A4E">
        <w:rPr>
          <w:rFonts w:hint="cs"/>
          <w:color w:val="000000" w:themeColor="text1"/>
        </w:rPr>
        <w:t>G</w:t>
      </w:r>
      <w:r w:rsidRPr="002A2A4E">
        <w:rPr>
          <w:color w:val="000000" w:themeColor="text1"/>
        </w:rPr>
        <w:t xml:space="preserve">reen Budgeting Framework- Highlights, Paris Collaborative on Green Budgeting, OECD 2020, </w:t>
      </w:r>
    </w:p>
    <w:p w:rsidR="001B31B5" w:rsidRPr="002A2A4E" w:rsidP="001B31B5" w14:paraId="325F9097" w14:textId="77777777">
      <w:pPr>
        <w:pStyle w:val="7333"/>
        <w:spacing w:after="0"/>
        <w:rPr>
          <w:color w:val="000000" w:themeColor="text1"/>
          <w:u w:val="none"/>
        </w:rPr>
      </w:pPr>
      <w:hyperlink r:id="rId9" w:history="1">
        <w:r w:rsidRPr="002A2A4E">
          <w:rPr>
            <w:rStyle w:val="Hyperlink"/>
            <w:color w:val="000000" w:themeColor="text1"/>
            <w:u w:val="none"/>
          </w:rPr>
          <w:t>https://www.oecd.org/environment/green-budgeting/OECD-Green-Budgeting-Framework-Highlights.pdf</w:t>
        </w:r>
      </w:hyperlink>
      <w:r w:rsidRPr="002A2A4E">
        <w:rPr>
          <w:rFonts w:hint="cs"/>
          <w:color w:val="000000" w:themeColor="text1"/>
          <w:u w:val="none"/>
          <w:rtl/>
        </w:rPr>
        <w:t>;</w:t>
      </w:r>
    </w:p>
    <w:p w:rsidR="001B31B5" w:rsidRPr="002A2A4E" w:rsidP="001B31B5" w14:paraId="173AB56B" w14:textId="77777777">
      <w:pPr>
        <w:pStyle w:val="7341"/>
        <w:bidi w:val="0"/>
        <w:rPr>
          <w:color w:val="000000" w:themeColor="text1"/>
          <w:rtl/>
        </w:rPr>
      </w:pPr>
      <w:r w:rsidRPr="002A2A4E">
        <w:rPr>
          <w:color w:val="000000" w:themeColor="text1"/>
        </w:rPr>
        <w:t xml:space="preserve">Green Budgeting: A way forward, OECD Journal on Budgeting, Volume 2022 Issue 2, 2022, Annex A, p. 15 - 17. </w:t>
      </w:r>
    </w:p>
  </w:footnote>
  <w:footnote w:id="19">
    <w:p w:rsidR="00F20E3F" w:rsidRPr="002A2A4E" w:rsidP="00F271A9" w14:paraId="1AA2EA21" w14:textId="77777777">
      <w:pPr>
        <w:pStyle w:val="7341"/>
        <w:rPr>
          <w:color w:val="000000" w:themeColor="text1"/>
          <w:rtl/>
        </w:rPr>
      </w:pPr>
      <w:r w:rsidRPr="002A2A4E">
        <w:rPr>
          <w:rStyle w:val="FootnoteReference2"/>
          <w:color w:val="000000" w:themeColor="text1"/>
          <w:vertAlign w:val="baseline"/>
        </w:rPr>
        <w:footnoteRef/>
      </w:r>
      <w:r w:rsidRPr="002A2A4E">
        <w:rPr>
          <w:color w:val="000000" w:themeColor="text1"/>
          <w:rtl/>
        </w:rPr>
        <w:t xml:space="preserve"> </w:t>
      </w:r>
      <w:r w:rsidRPr="002A2A4E">
        <w:rPr>
          <w:color w:val="000000" w:themeColor="text1"/>
          <w:rtl/>
        </w:rPr>
        <w:tab/>
        <w:t>זאת בדומה לתקצוב ירוק, אך בהיקף רחב יותר, שכן הוא מתייחס לפונקציות ניהול כספי ציבור במובן רחב יותר העשויות לחרוג מענייני תקציב (כגון תיאום עם גופים אחרים במגזר הציבורי או שקיפות פיסקלית).</w:t>
      </w:r>
    </w:p>
  </w:footnote>
  <w:footnote w:id="20">
    <w:p w:rsidR="00F20E3F" w:rsidRPr="002A2A4E" w:rsidP="00F271A9" w14:paraId="76FCB6BF" w14:textId="77777777">
      <w:pPr>
        <w:pStyle w:val="7341"/>
        <w:spacing w:after="0"/>
        <w:rPr>
          <w:color w:val="000000" w:themeColor="text1"/>
          <w:rtl/>
        </w:rPr>
      </w:pPr>
      <w:r w:rsidRPr="002A2A4E">
        <w:rPr>
          <w:rStyle w:val="FootnoteReference2"/>
          <w:color w:val="000000" w:themeColor="text1"/>
          <w:vertAlign w:val="baseline"/>
        </w:rPr>
        <w:footnoteRef/>
      </w:r>
      <w:r w:rsidRPr="002A2A4E">
        <w:rPr>
          <w:color w:val="000000" w:themeColor="text1"/>
          <w:rtl/>
        </w:rPr>
        <w:t xml:space="preserve"> </w:t>
      </w:r>
      <w:r w:rsidRPr="002A2A4E">
        <w:rPr>
          <w:color w:val="000000" w:themeColor="text1"/>
          <w:rtl/>
        </w:rPr>
        <w:tab/>
      </w:r>
      <w:r w:rsidRPr="002A2A4E">
        <w:rPr>
          <w:rFonts w:hint="cs"/>
          <w:color w:val="000000" w:themeColor="text1"/>
          <w:rtl/>
        </w:rPr>
        <w:t>ראו:</w:t>
      </w:r>
    </w:p>
    <w:p w:rsidR="00F20E3F" w:rsidRPr="002A2A4E" w:rsidP="00F271A9" w14:paraId="57FBB785" w14:textId="141E3CF0">
      <w:pPr>
        <w:pStyle w:val="7341"/>
        <w:bidi w:val="0"/>
        <w:ind w:left="0" w:right="397" w:firstLine="0"/>
        <w:rPr>
          <w:color w:val="000000" w:themeColor="text1"/>
        </w:rPr>
      </w:pPr>
      <w:r w:rsidRPr="009A79C5">
        <w:rPr>
          <w:color w:val="000000" w:themeColor="text1"/>
        </w:rPr>
        <w:t>Climate-Sensitive Management of Public Finances - “Green PFM”, IMF Staff Climate Note 2021/002, Interna-</w:t>
      </w:r>
      <w:r w:rsidRPr="009A79C5">
        <w:rPr>
          <w:color w:val="000000" w:themeColor="text1"/>
        </w:rPr>
        <w:t>tional</w:t>
      </w:r>
      <w:r w:rsidRPr="009A79C5">
        <w:rPr>
          <w:color w:val="000000" w:themeColor="text1"/>
        </w:rPr>
        <w:t xml:space="preserve"> Monetary Fund, Washington, DC, 2021</w:t>
      </w:r>
      <w:r w:rsidRPr="002A2A4E">
        <w:rPr>
          <w:color w:val="000000" w:themeColor="text1"/>
        </w:rPr>
        <w:t>.</w:t>
      </w:r>
    </w:p>
  </w:footnote>
  <w:footnote w:id="21">
    <w:p w:rsidR="00F20E3F" w:rsidRPr="002A2A4E" w:rsidP="00F271A9" w14:paraId="6EBC4626" w14:textId="77777777">
      <w:pPr>
        <w:pStyle w:val="7341"/>
        <w:spacing w:after="0"/>
        <w:rPr>
          <w:color w:val="000000" w:themeColor="text1"/>
          <w:spacing w:val="-4"/>
          <w:rtl/>
        </w:rPr>
      </w:pPr>
      <w:r w:rsidRPr="002A2A4E">
        <w:rPr>
          <w:rStyle w:val="FootnoteReference2"/>
          <w:color w:val="000000" w:themeColor="text1"/>
          <w:spacing w:val="-4"/>
          <w:vertAlign w:val="baseline"/>
        </w:rPr>
        <w:footnoteRef/>
      </w:r>
      <w:r w:rsidRPr="002A2A4E">
        <w:rPr>
          <w:color w:val="000000" w:themeColor="text1"/>
          <w:spacing w:val="-4"/>
          <w:rtl/>
        </w:rPr>
        <w:t xml:space="preserve"> </w:t>
      </w:r>
      <w:r w:rsidRPr="002A2A4E">
        <w:rPr>
          <w:color w:val="000000" w:themeColor="text1"/>
          <w:spacing w:val="-4"/>
          <w:rtl/>
        </w:rPr>
        <w:tab/>
      </w:r>
      <w:r w:rsidRPr="002A2A4E">
        <w:rPr>
          <w:rFonts w:hint="cs"/>
          <w:color w:val="000000" w:themeColor="text1"/>
          <w:spacing w:val="-4"/>
          <w:rtl/>
        </w:rPr>
        <w:t xml:space="preserve">מוסדות ברטון </w:t>
      </w:r>
      <w:r w:rsidRPr="002A2A4E">
        <w:rPr>
          <w:rFonts w:hint="cs"/>
          <w:color w:val="000000" w:themeColor="text1"/>
          <w:spacing w:val="-4"/>
          <w:rtl/>
        </w:rPr>
        <w:t>וודס</w:t>
      </w:r>
      <w:r w:rsidRPr="002A2A4E">
        <w:rPr>
          <w:rFonts w:hint="cs"/>
          <w:color w:val="000000" w:themeColor="text1"/>
          <w:spacing w:val="-4"/>
          <w:rtl/>
        </w:rPr>
        <w:t xml:space="preserve"> הכוונה ל-</w:t>
      </w:r>
      <w:r w:rsidRPr="002A2A4E">
        <w:rPr>
          <w:rFonts w:hint="cs"/>
          <w:color w:val="000000" w:themeColor="text1"/>
          <w:spacing w:val="-4"/>
        </w:rPr>
        <w:t>IMF</w:t>
      </w:r>
      <w:r w:rsidRPr="002A2A4E">
        <w:rPr>
          <w:rFonts w:hint="cs"/>
          <w:color w:val="000000" w:themeColor="text1"/>
          <w:spacing w:val="-4"/>
          <w:rtl/>
        </w:rPr>
        <w:t xml:space="preserve">, קבוצת הבנק העולמי. מדובר במוסדות שקמו בעקבות ועידת פסגה כלכלית של 44 מדינות אשר התקיימה בשלהי מלחמת העולם השנייה, בשנת 1944, במלון בשם ברטון </w:t>
      </w:r>
      <w:r w:rsidRPr="002A2A4E">
        <w:rPr>
          <w:rFonts w:hint="cs"/>
          <w:color w:val="000000" w:themeColor="text1"/>
          <w:spacing w:val="-4"/>
          <w:rtl/>
        </w:rPr>
        <w:t>וודס</w:t>
      </w:r>
      <w:r w:rsidRPr="002A2A4E">
        <w:rPr>
          <w:rFonts w:hint="cs"/>
          <w:color w:val="000000" w:themeColor="text1"/>
          <w:spacing w:val="-4"/>
          <w:rtl/>
        </w:rPr>
        <w:t xml:space="preserve"> בניו המפשיר בארצות הברית. ראו: </w:t>
      </w:r>
      <w:r w:rsidRPr="002A2A4E">
        <w:rPr>
          <w:color w:val="000000" w:themeColor="text1"/>
          <w:spacing w:val="-4"/>
        </w:rPr>
        <w:t>https://www.worldbank.org/en/archive/history/exhibits/Bretton-Woods-and-the-Birth-of-the-World-Bank</w:t>
      </w:r>
      <w:r w:rsidRPr="002A2A4E">
        <w:rPr>
          <w:rFonts w:hint="cs"/>
          <w:color w:val="000000" w:themeColor="text1"/>
          <w:spacing w:val="-4"/>
          <w:rtl/>
        </w:rPr>
        <w:t xml:space="preserve"> </w:t>
      </w:r>
    </w:p>
    <w:p w:rsidR="00F20E3F" w:rsidRPr="002A2A4E" w:rsidP="00A3059C" w14:paraId="47DC2208" w14:textId="77777777">
      <w:pPr>
        <w:pStyle w:val="00"/>
        <w:ind w:firstLine="0"/>
        <w:rPr>
          <w:rStyle w:val="7334"/>
          <w:color w:val="000000" w:themeColor="text1"/>
          <w:u w:val="none"/>
          <w:rtl/>
        </w:rPr>
      </w:pPr>
      <w:r w:rsidRPr="002A2A4E">
        <w:rPr>
          <w:rFonts w:hint="cs"/>
          <w:color w:val="000000" w:themeColor="text1"/>
          <w:rtl/>
        </w:rPr>
        <w:t>ציטוט דבריה של יו"ר ה-</w:t>
      </w:r>
      <w:r w:rsidRPr="002A2A4E">
        <w:rPr>
          <w:rFonts w:hint="cs"/>
          <w:color w:val="000000" w:themeColor="text1"/>
        </w:rPr>
        <w:t>IMF</w:t>
      </w:r>
      <w:r w:rsidRPr="002A2A4E">
        <w:rPr>
          <w:rFonts w:hint="cs"/>
          <w:color w:val="000000" w:themeColor="text1"/>
          <w:rtl/>
        </w:rPr>
        <w:t xml:space="preserve">: </w:t>
      </w:r>
      <w:hyperlink r:id="rId10" w:history="1">
        <w:r w:rsidRPr="002A2A4E">
          <w:rPr>
            <w:rStyle w:val="7334"/>
            <w:color w:val="000000" w:themeColor="text1"/>
            <w:u w:val="none"/>
          </w:rPr>
          <w:t>https://www.imf.org/en/News/Articles/2020/10/12/sp101220-managing-director-remarks-to-the-coalition-of-finance-ministers-for-climate-action</w:t>
        </w:r>
      </w:hyperlink>
      <w:r w:rsidRPr="002A2A4E">
        <w:rPr>
          <w:rStyle w:val="7334"/>
          <w:rFonts w:hint="cs"/>
          <w:color w:val="000000" w:themeColor="text1"/>
          <w:u w:val="none"/>
          <w:rtl/>
        </w:rPr>
        <w:t xml:space="preserve"> </w:t>
      </w:r>
    </w:p>
  </w:footnote>
  <w:footnote w:id="22">
    <w:p w:rsidR="00F20E3F" w:rsidRPr="002A2A4E" w:rsidP="009A79C5" w14:paraId="63125B0E" w14:textId="77777777">
      <w:pPr>
        <w:pStyle w:val="7341"/>
        <w:spacing w:after="0"/>
        <w:rPr>
          <w:color w:val="000000" w:themeColor="text1"/>
          <w:rtl/>
        </w:rPr>
      </w:pPr>
      <w:r w:rsidRPr="002A2A4E">
        <w:rPr>
          <w:rStyle w:val="FootnoteReference2"/>
          <w:color w:val="000000" w:themeColor="text1"/>
          <w:vertAlign w:val="baseline"/>
        </w:rPr>
        <w:footnoteRef/>
      </w:r>
      <w:r w:rsidRPr="002A2A4E">
        <w:rPr>
          <w:color w:val="000000" w:themeColor="text1"/>
          <w:rtl/>
        </w:rPr>
        <w:t xml:space="preserve"> </w:t>
      </w:r>
      <w:r w:rsidRPr="002A2A4E">
        <w:rPr>
          <w:color w:val="000000" w:themeColor="text1"/>
          <w:rtl/>
        </w:rPr>
        <w:tab/>
        <w:t xml:space="preserve">אמות המידה </w:t>
      </w:r>
      <w:r w:rsidRPr="002A2A4E">
        <w:rPr>
          <w:rFonts w:hint="cs"/>
          <w:color w:val="000000" w:themeColor="text1"/>
          <w:rtl/>
        </w:rPr>
        <w:t xml:space="preserve">הסביבתיות </w:t>
      </w:r>
      <w:r w:rsidRPr="002A2A4E">
        <w:rPr>
          <w:color w:val="000000" w:themeColor="text1"/>
          <w:rtl/>
        </w:rPr>
        <w:t>מתייחסות ליעילות אנרגטית, יעילות משאבים, צמצום פסולת והוצאה משימוש של חומרים מסוכנים</w:t>
      </w:r>
      <w:r w:rsidRPr="002A2A4E">
        <w:rPr>
          <w:rFonts w:hint="cs"/>
          <w:color w:val="000000" w:themeColor="text1"/>
          <w:rtl/>
        </w:rPr>
        <w:t xml:space="preserve">. </w:t>
      </w:r>
      <w:r w:rsidRPr="002A2A4E">
        <w:rPr>
          <w:color w:val="000000" w:themeColor="text1"/>
          <w:rtl/>
        </w:rPr>
        <w:t>ס</w:t>
      </w:r>
      <w:r w:rsidRPr="002A2A4E">
        <w:rPr>
          <w:rFonts w:hint="cs"/>
          <w:color w:val="000000" w:themeColor="text1"/>
          <w:rtl/>
        </w:rPr>
        <w:t xml:space="preserve">קר </w:t>
      </w:r>
      <w:r w:rsidRPr="002A2A4E">
        <w:rPr>
          <w:color w:val="000000" w:themeColor="text1"/>
          <w:rtl/>
        </w:rPr>
        <w:t>ביצועים סביבתיים</w:t>
      </w:r>
      <w:r w:rsidRPr="002A2A4E">
        <w:rPr>
          <w:rFonts w:hint="cs"/>
          <w:color w:val="000000" w:themeColor="text1"/>
          <w:rtl/>
        </w:rPr>
        <w:t xml:space="preserve"> </w:t>
      </w:r>
      <w:r w:rsidRPr="002A2A4E">
        <w:rPr>
          <w:color w:val="000000" w:themeColor="text1"/>
          <w:rtl/>
        </w:rPr>
        <w:t>של ה-</w:t>
      </w:r>
      <w:r w:rsidRPr="002A2A4E">
        <w:rPr>
          <w:color w:val="000000" w:themeColor="text1"/>
        </w:rPr>
        <w:t>OECD</w:t>
      </w:r>
      <w:r w:rsidRPr="002A2A4E">
        <w:rPr>
          <w:rFonts w:hint="cs"/>
          <w:color w:val="000000" w:themeColor="text1"/>
          <w:rtl/>
        </w:rPr>
        <w:t xml:space="preserve">: </w:t>
      </w:r>
    </w:p>
    <w:p w:rsidR="00F20E3F" w:rsidRPr="002A2A4E" w:rsidP="00F271A9" w14:paraId="523C133C" w14:textId="0E45B93F">
      <w:pPr>
        <w:pStyle w:val="00"/>
        <w:bidi w:val="0"/>
        <w:ind w:left="0" w:right="397" w:firstLine="0"/>
        <w:rPr>
          <w:color w:val="000000" w:themeColor="text1"/>
          <w:rtl/>
        </w:rPr>
      </w:pPr>
      <w:r w:rsidRPr="009A79C5">
        <w:rPr>
          <w:i/>
          <w:iCs/>
          <w:color w:val="000000" w:themeColor="text1"/>
        </w:rPr>
        <w:t>OECD Environmental Performance Reviews: Israel 2023, OECD Environmental Performance Reviews, 2023, OECD, p. 26, 91. Publishing, Paris, https://doi.org/10.1787/0175ae95-en</w:t>
      </w:r>
      <w:r w:rsidRPr="002A2A4E">
        <w:rPr>
          <w:rFonts w:hint="cs"/>
          <w:color w:val="000000" w:themeColor="text1"/>
          <w:rtl/>
        </w:rPr>
        <w:t xml:space="preserve"> </w:t>
      </w:r>
    </w:p>
  </w:footnote>
  <w:footnote w:id="23">
    <w:p w:rsidR="00F20E3F" w:rsidRPr="002A2A4E" w:rsidP="007649F0" w14:paraId="65BAB4E5" w14:textId="77777777">
      <w:pPr>
        <w:pStyle w:val="00"/>
        <w:rPr>
          <w:color w:val="000000" w:themeColor="text1"/>
        </w:rPr>
      </w:pPr>
      <w:r w:rsidRPr="002A2A4E">
        <w:rPr>
          <w:rStyle w:val="7342"/>
          <w:color w:val="000000" w:themeColor="text1"/>
        </w:rPr>
        <w:footnoteRef/>
      </w:r>
      <w:r w:rsidRPr="002A2A4E">
        <w:rPr>
          <w:rStyle w:val="7342"/>
          <w:color w:val="000000" w:themeColor="text1"/>
          <w:rtl/>
        </w:rPr>
        <w:t xml:space="preserve"> </w:t>
      </w:r>
      <w:r w:rsidRPr="002A2A4E">
        <w:rPr>
          <w:color w:val="000000" w:themeColor="text1"/>
          <w:rtl/>
        </w:rPr>
        <w:tab/>
      </w:r>
      <w:r w:rsidRPr="002A2A4E">
        <w:rPr>
          <w:rFonts w:hint="cs"/>
          <w:color w:val="000000" w:themeColor="text1"/>
          <w:rtl/>
        </w:rPr>
        <w:t xml:space="preserve">אגרת חוב ירוקה היא השקעה שנועדה בעיקר לממן פרויקטים שנחשבים ידידותיים לסביבה כגון </w:t>
      </w:r>
      <w:r w:rsidRPr="002A2A4E">
        <w:rPr>
          <w:rFonts w:hint="cs"/>
          <w:color w:val="000000" w:themeColor="text1"/>
          <w:rtl/>
        </w:rPr>
        <w:t>אנרגייה</w:t>
      </w:r>
      <w:r w:rsidRPr="002A2A4E">
        <w:rPr>
          <w:rFonts w:hint="cs"/>
          <w:color w:val="000000" w:themeColor="text1"/>
          <w:rtl/>
        </w:rPr>
        <w:t xml:space="preserve"> ירוקה, בנייה ירוקה, תחבורה ירוקה וכד'.</w:t>
      </w:r>
    </w:p>
  </w:footnote>
  <w:footnote w:id="24">
    <w:p w:rsidR="00F20E3F" w:rsidRPr="002A2A4E" w:rsidP="00F271A9" w14:paraId="46BA95B3" w14:textId="77777777">
      <w:pPr>
        <w:pStyle w:val="7341"/>
        <w:rPr>
          <w:color w:val="000000" w:themeColor="text1"/>
          <w:rtl/>
        </w:rPr>
      </w:pPr>
      <w:r w:rsidRPr="002A2A4E">
        <w:rPr>
          <w:rStyle w:val="FootnoteReference2"/>
          <w:color w:val="000000" w:themeColor="text1"/>
          <w:vertAlign w:val="baseline"/>
        </w:rPr>
        <w:footnoteRef/>
      </w:r>
      <w:r w:rsidRPr="002A2A4E">
        <w:rPr>
          <w:color w:val="000000" w:themeColor="text1"/>
          <w:rtl/>
        </w:rPr>
        <w:t xml:space="preserve"> </w:t>
      </w:r>
      <w:r w:rsidRPr="002A2A4E">
        <w:rPr>
          <w:color w:val="000000" w:themeColor="text1"/>
          <w:rtl/>
        </w:rPr>
        <w:tab/>
      </w:r>
      <w:r w:rsidRPr="002A2A4E">
        <w:rPr>
          <w:rFonts w:hint="cs"/>
          <w:color w:val="000000" w:themeColor="text1"/>
          <w:rtl/>
        </w:rPr>
        <w:t xml:space="preserve">דיויד </w:t>
      </w:r>
      <w:r w:rsidRPr="002A2A4E">
        <w:rPr>
          <w:rFonts w:hint="cs"/>
          <w:color w:val="000000" w:themeColor="text1"/>
          <w:rtl/>
        </w:rPr>
        <w:t>צ'ין</w:t>
      </w:r>
      <w:r w:rsidRPr="002A2A4E">
        <w:rPr>
          <w:rFonts w:hint="cs"/>
          <w:color w:val="000000" w:themeColor="text1"/>
          <w:rtl/>
        </w:rPr>
        <w:t xml:space="preserve"> ואח', "</w:t>
      </w:r>
      <w:r w:rsidRPr="002A2A4E">
        <w:rPr>
          <w:color w:val="000000" w:themeColor="text1"/>
          <w:rtl/>
        </w:rPr>
        <w:t>משבר האקלים והכלכלה הישראלית</w:t>
      </w:r>
      <w:r w:rsidRPr="002A2A4E">
        <w:rPr>
          <w:rFonts w:hint="cs"/>
          <w:color w:val="000000" w:themeColor="text1"/>
          <w:rtl/>
        </w:rPr>
        <w:t xml:space="preserve"> - אתגרים לצד הזדמנויות - כיצד נראה המעבר לאיפוס פליטות גזי חממה ומדוע החלטות האקלים שיתקבלו בקרוב גורליות לעתידה של ישראל וכלכלה", </w:t>
      </w:r>
      <w:r w:rsidRPr="002A2A4E">
        <w:rPr>
          <w:rFonts w:hint="cs"/>
          <w:color w:val="000000" w:themeColor="text1"/>
        </w:rPr>
        <w:t>M</w:t>
      </w:r>
      <w:r w:rsidRPr="002A2A4E">
        <w:rPr>
          <w:color w:val="000000" w:themeColor="text1"/>
        </w:rPr>
        <w:t>cKinsey &amp; Company</w:t>
      </w:r>
      <w:r w:rsidRPr="002A2A4E">
        <w:rPr>
          <w:rFonts w:hint="cs"/>
          <w:color w:val="000000" w:themeColor="text1"/>
          <w:rtl/>
        </w:rPr>
        <w:t xml:space="preserve"> ישראל, נובמבר 2022.</w:t>
      </w:r>
    </w:p>
  </w:footnote>
  <w:footnote w:id="25">
    <w:p w:rsidR="00F20E3F" w:rsidRPr="002A2A4E" w:rsidP="00F271A9" w14:paraId="7F0DCC11" w14:textId="77777777">
      <w:pPr>
        <w:pStyle w:val="7341"/>
        <w:spacing w:after="0"/>
        <w:rPr>
          <w:color w:val="000000" w:themeColor="text1"/>
          <w:rtl/>
        </w:rPr>
      </w:pPr>
      <w:r w:rsidRPr="002A2A4E">
        <w:rPr>
          <w:rStyle w:val="FootnoteReference2"/>
          <w:color w:val="000000" w:themeColor="text1"/>
          <w:vertAlign w:val="baseline"/>
        </w:rPr>
        <w:footnoteRef/>
      </w:r>
      <w:r w:rsidRPr="002A2A4E">
        <w:rPr>
          <w:color w:val="000000" w:themeColor="text1"/>
          <w:rtl/>
        </w:rPr>
        <w:t xml:space="preserve"> </w:t>
      </w:r>
      <w:r w:rsidRPr="002A2A4E">
        <w:rPr>
          <w:color w:val="000000" w:themeColor="text1"/>
          <w:rtl/>
        </w:rPr>
        <w:tab/>
      </w:r>
      <w:r w:rsidRPr="002A2A4E">
        <w:rPr>
          <w:rFonts w:hint="cs"/>
          <w:color w:val="000000" w:themeColor="text1"/>
          <w:rtl/>
        </w:rPr>
        <w:t xml:space="preserve">ראו: </w:t>
      </w:r>
      <w:r w:rsidRPr="002A2A4E">
        <w:rPr>
          <w:rFonts w:hint="cs"/>
          <w:color w:val="000000" w:themeColor="text1"/>
        </w:rPr>
        <w:t>G</w:t>
      </w:r>
      <w:r w:rsidRPr="002A2A4E">
        <w:rPr>
          <w:color w:val="000000" w:themeColor="text1"/>
        </w:rPr>
        <w:t xml:space="preserve">reen Budgeting Framework- Highlights, Paris Collaborative on Green Budgeting, OECD 2020, </w:t>
      </w:r>
    </w:p>
    <w:p w:rsidR="00F20E3F" w:rsidRPr="002A2A4E" w:rsidP="00F271A9" w14:paraId="4F5A926C" w14:textId="77777777">
      <w:pPr>
        <w:pStyle w:val="7333"/>
        <w:spacing w:after="0"/>
        <w:rPr>
          <w:color w:val="000000" w:themeColor="text1"/>
          <w:u w:val="none"/>
        </w:rPr>
      </w:pPr>
      <w:hyperlink r:id="rId9" w:history="1">
        <w:r w:rsidRPr="002A2A4E">
          <w:rPr>
            <w:rStyle w:val="Hyperlink"/>
            <w:color w:val="000000" w:themeColor="text1"/>
            <w:u w:val="none"/>
          </w:rPr>
          <w:t>https://www.oecd.org/environment/green-budgeting/OECD-Green-Budgeting-Framework-Highlights.pdf</w:t>
        </w:r>
      </w:hyperlink>
      <w:r w:rsidRPr="002A2A4E">
        <w:rPr>
          <w:rFonts w:hint="cs"/>
          <w:color w:val="000000" w:themeColor="text1"/>
          <w:u w:val="none"/>
          <w:rtl/>
        </w:rPr>
        <w:t>;</w:t>
      </w:r>
    </w:p>
    <w:p w:rsidR="00F20E3F" w:rsidRPr="002A2A4E" w:rsidP="007649F0" w14:paraId="60B028F3" w14:textId="77777777">
      <w:pPr>
        <w:pStyle w:val="00"/>
        <w:bidi w:val="0"/>
        <w:rPr>
          <w:color w:val="000000" w:themeColor="text1"/>
        </w:rPr>
      </w:pPr>
      <w:r w:rsidRPr="002A2A4E">
        <w:rPr>
          <w:color w:val="000000" w:themeColor="text1"/>
        </w:rPr>
        <w:t xml:space="preserve">Green Budgeting: A way forward, OECD Journal on Budgeting, Volume 2022 Issue 2, 2022, Annex A, p. 15-17. </w:t>
      </w:r>
    </w:p>
  </w:footnote>
  <w:footnote w:id="26">
    <w:p w:rsidR="00F20E3F" w:rsidRPr="002A2A4E" w:rsidP="00F271A9" w14:paraId="611FEBCF" w14:textId="77777777">
      <w:pPr>
        <w:pStyle w:val="00"/>
        <w:spacing w:after="0"/>
        <w:rPr>
          <w:color w:val="000000" w:themeColor="text1"/>
        </w:rPr>
      </w:pPr>
      <w:r w:rsidRPr="002A2A4E">
        <w:rPr>
          <w:rStyle w:val="7342"/>
          <w:color w:val="000000" w:themeColor="text1"/>
        </w:rPr>
        <w:footnoteRef/>
      </w:r>
      <w:r w:rsidRPr="002A2A4E">
        <w:rPr>
          <w:rStyle w:val="7342"/>
          <w:color w:val="000000" w:themeColor="text1"/>
          <w:rtl/>
        </w:rPr>
        <w:t xml:space="preserve"> </w:t>
      </w:r>
      <w:r w:rsidRPr="002A2A4E">
        <w:rPr>
          <w:rStyle w:val="7342"/>
          <w:color w:val="000000" w:themeColor="text1"/>
          <w:rtl/>
        </w:rPr>
        <w:tab/>
      </w:r>
      <w:r w:rsidRPr="002A2A4E">
        <w:rPr>
          <w:rStyle w:val="7342"/>
          <w:rFonts w:hint="cs"/>
          <w:color w:val="000000" w:themeColor="text1"/>
          <w:rtl/>
        </w:rPr>
        <w:t>ראו</w:t>
      </w:r>
      <w:r w:rsidRPr="002A2A4E">
        <w:rPr>
          <w:rFonts w:hint="cs"/>
          <w:color w:val="000000" w:themeColor="text1"/>
          <w:rtl/>
        </w:rPr>
        <w:t xml:space="preserve"> את המסמך: </w:t>
      </w:r>
      <w:r w:rsidRPr="002A2A4E">
        <w:rPr>
          <w:color w:val="000000" w:themeColor="text1"/>
        </w:rPr>
        <w:t>Green Budgeting: Towards Common Principles, OECD, November 2021.</w:t>
      </w:r>
    </w:p>
    <w:p w:rsidR="00F20E3F" w:rsidRPr="002A2A4E" w:rsidP="00F271A9" w14:paraId="20A655DE" w14:textId="77777777">
      <w:pPr>
        <w:pStyle w:val="7333"/>
        <w:rPr>
          <w:color w:val="000000" w:themeColor="text1"/>
          <w:u w:val="none"/>
        </w:rPr>
      </w:pPr>
      <w:hyperlink r:id="rId2" w:history="1">
        <w:r w:rsidRPr="002A2A4E">
          <w:rPr>
            <w:rStyle w:val="Hyperlink"/>
            <w:color w:val="000000" w:themeColor="text1"/>
            <w:u w:val="none"/>
          </w:rPr>
          <w:t>https://economy-finance.ec.europa.eu/publications/green-budgeting-towards-common-principles_en</w:t>
        </w:r>
      </w:hyperlink>
      <w:r w:rsidRPr="002A2A4E">
        <w:rPr>
          <w:color w:val="000000" w:themeColor="text1"/>
          <w:u w:val="none"/>
        </w:rPr>
        <w:t xml:space="preserve"> </w:t>
      </w:r>
    </w:p>
  </w:footnote>
  <w:footnote w:id="27">
    <w:p w:rsidR="00F20E3F" w:rsidRPr="002A2A4E" w:rsidP="009A79C5" w14:paraId="2838EE2E" w14:textId="77777777">
      <w:pPr>
        <w:pStyle w:val="00"/>
        <w:spacing w:after="0"/>
        <w:rPr>
          <w:color w:val="000000" w:themeColor="text1"/>
          <w:rtl/>
        </w:rPr>
      </w:pPr>
      <w:r w:rsidRPr="002A2A4E">
        <w:rPr>
          <w:rStyle w:val="7342"/>
          <w:color w:val="000000" w:themeColor="text1"/>
        </w:rPr>
        <w:footnoteRef/>
      </w:r>
      <w:r w:rsidRPr="002A2A4E">
        <w:rPr>
          <w:rStyle w:val="7342"/>
          <w:color w:val="000000" w:themeColor="text1"/>
          <w:rtl/>
        </w:rPr>
        <w:t xml:space="preserve"> </w:t>
      </w:r>
      <w:r w:rsidRPr="002A2A4E">
        <w:rPr>
          <w:rStyle w:val="7342"/>
          <w:color w:val="000000" w:themeColor="text1"/>
          <w:rtl/>
        </w:rPr>
        <w:tab/>
      </w:r>
      <w:r w:rsidRPr="002A2A4E">
        <w:rPr>
          <w:rFonts w:hint="cs"/>
          <w:color w:val="000000" w:themeColor="text1"/>
          <w:rtl/>
        </w:rPr>
        <w:t>סקר ביצועים סביבתיים של ה-</w:t>
      </w:r>
      <w:r w:rsidRPr="002A2A4E">
        <w:rPr>
          <w:rFonts w:hint="cs"/>
          <w:color w:val="000000" w:themeColor="text1"/>
        </w:rPr>
        <w:t>OECD</w:t>
      </w:r>
      <w:r w:rsidRPr="002A2A4E">
        <w:rPr>
          <w:rFonts w:hint="cs"/>
          <w:color w:val="000000" w:themeColor="text1"/>
          <w:rtl/>
        </w:rPr>
        <w:t xml:space="preserve"> על ישראל:</w:t>
      </w:r>
    </w:p>
    <w:p w:rsidR="00F20E3F" w:rsidRPr="002A2A4E" w:rsidP="00F271A9" w14:paraId="2B162DF5" w14:textId="39EA4E20">
      <w:pPr>
        <w:pStyle w:val="00"/>
        <w:bidi w:val="0"/>
        <w:ind w:left="0" w:right="340" w:firstLine="0"/>
        <w:rPr>
          <w:color w:val="000000" w:themeColor="text1"/>
          <w:rtl/>
        </w:rPr>
      </w:pPr>
      <w:r w:rsidRPr="009A79C5">
        <w:rPr>
          <w:i/>
          <w:iCs/>
          <w:color w:val="000000" w:themeColor="text1"/>
        </w:rPr>
        <w:t>OECD Environmental Performance Reviews: Israel 2023, OECD Environmental Performance Reviews, 2023, OECD, pp. 39. Publishing, Paris, https://doi.org/10.1787/0175ae95-en</w:t>
      </w:r>
    </w:p>
  </w:footnote>
  <w:footnote w:id="28">
    <w:p w:rsidR="00F20E3F" w:rsidRPr="002A2A4E" w:rsidP="007649F0" w14:paraId="0CEDE247" w14:textId="77777777">
      <w:pPr>
        <w:pStyle w:val="00"/>
        <w:rPr>
          <w:color w:val="000000" w:themeColor="text1"/>
          <w:rtl/>
        </w:rPr>
      </w:pPr>
      <w:r w:rsidRPr="002A2A4E">
        <w:rPr>
          <w:rStyle w:val="7342"/>
          <w:color w:val="000000" w:themeColor="text1"/>
        </w:rPr>
        <w:footnoteRef/>
      </w:r>
      <w:r w:rsidRPr="002A2A4E">
        <w:rPr>
          <w:rStyle w:val="7342"/>
          <w:color w:val="000000" w:themeColor="text1"/>
          <w:rtl/>
        </w:rPr>
        <w:t xml:space="preserve"> </w:t>
      </w:r>
      <w:r w:rsidRPr="002A2A4E">
        <w:rPr>
          <w:color w:val="000000" w:themeColor="text1"/>
          <w:rtl/>
        </w:rPr>
        <w:tab/>
      </w:r>
      <w:r w:rsidRPr="002A2A4E">
        <w:rPr>
          <w:rFonts w:hint="cs"/>
          <w:color w:val="000000" w:themeColor="text1"/>
          <w:rtl/>
        </w:rPr>
        <w:t>ראו: "</w:t>
      </w:r>
      <w:r w:rsidRPr="002A2A4E">
        <w:rPr>
          <w:color w:val="000000" w:themeColor="text1"/>
          <w:rtl/>
        </w:rPr>
        <w:t>כניסת רכבים חשמליים לישראל</w:t>
      </w:r>
      <w:r w:rsidRPr="002A2A4E">
        <w:rPr>
          <w:rFonts w:hint="cs"/>
          <w:color w:val="000000" w:themeColor="text1"/>
          <w:rtl/>
        </w:rPr>
        <w:t xml:space="preserve"> - תועלות ואתגרים", משרד האוצר, אגף הכלכלנית הראשית (פברואר 2023).</w:t>
      </w:r>
    </w:p>
  </w:footnote>
  <w:footnote w:id="29">
    <w:p w:rsidR="00F20E3F" w:rsidRPr="002A2A4E" w:rsidP="00F271A9" w14:paraId="1D0E8234" w14:textId="77777777">
      <w:pPr>
        <w:pStyle w:val="7341"/>
        <w:rPr>
          <w:color w:val="000000" w:themeColor="text1"/>
        </w:rPr>
      </w:pPr>
      <w:r w:rsidRPr="002A2A4E">
        <w:rPr>
          <w:rStyle w:val="FootnoteReference2"/>
          <w:color w:val="000000" w:themeColor="text1"/>
          <w:vertAlign w:val="baseline"/>
        </w:rPr>
        <w:footnoteRef/>
      </w:r>
      <w:r w:rsidRPr="002A2A4E">
        <w:rPr>
          <w:color w:val="000000" w:themeColor="text1"/>
          <w:rtl/>
        </w:rPr>
        <w:t xml:space="preserve"> </w:t>
      </w:r>
      <w:r w:rsidRPr="002A2A4E">
        <w:rPr>
          <w:color w:val="000000" w:themeColor="text1"/>
          <w:rtl/>
        </w:rPr>
        <w:tab/>
      </w:r>
      <w:r w:rsidRPr="002A2A4E">
        <w:rPr>
          <w:rFonts w:hint="cs"/>
          <w:color w:val="000000" w:themeColor="text1"/>
          <w:rtl/>
        </w:rPr>
        <w:t>התוכנית התלת-שנתית אושרה בהחלטת הממשלה 239 בנושא "</w:t>
      </w:r>
      <w:r w:rsidRPr="002A2A4E">
        <w:rPr>
          <w:color w:val="000000" w:themeColor="text1"/>
          <w:rtl/>
        </w:rPr>
        <w:t>עדכון תוכנית התקציב לשנים 2024 עד 2027 ("נומרטור")</w:t>
      </w:r>
      <w:r w:rsidRPr="002A2A4E">
        <w:rPr>
          <w:rFonts w:hint="cs"/>
          <w:color w:val="000000" w:themeColor="text1"/>
          <w:rtl/>
        </w:rPr>
        <w:t xml:space="preserve">", ביום 24.2.23. </w:t>
      </w:r>
    </w:p>
  </w:footnote>
  <w:footnote w:id="30">
    <w:p w:rsidR="00F20E3F" w:rsidRPr="002A2A4E" w:rsidP="00F271A9" w14:paraId="50A5D883" w14:textId="77777777">
      <w:pPr>
        <w:pStyle w:val="7341"/>
        <w:rPr>
          <w:color w:val="000000" w:themeColor="text1"/>
          <w:rtl/>
        </w:rPr>
      </w:pPr>
      <w:r w:rsidRPr="002A2A4E">
        <w:rPr>
          <w:rStyle w:val="FootnoteReference2"/>
          <w:color w:val="000000" w:themeColor="text1"/>
          <w:vertAlign w:val="baseline"/>
        </w:rPr>
        <w:footnoteRef/>
      </w:r>
      <w:r w:rsidRPr="002A2A4E">
        <w:rPr>
          <w:color w:val="000000" w:themeColor="text1"/>
          <w:rtl/>
        </w:rPr>
        <w:t xml:space="preserve"> </w:t>
      </w:r>
      <w:r w:rsidRPr="002A2A4E">
        <w:rPr>
          <w:color w:val="000000" w:themeColor="text1"/>
          <w:rtl/>
        </w:rPr>
        <w:tab/>
        <w:t>תחזית ההתפתחויות המקרו-כלכליות והכנסות</w:t>
      </w:r>
      <w:r w:rsidRPr="002A2A4E">
        <w:rPr>
          <w:rFonts w:hint="cs"/>
          <w:color w:val="000000" w:themeColor="text1"/>
          <w:rtl/>
        </w:rPr>
        <w:t xml:space="preserve"> </w:t>
      </w:r>
      <w:r w:rsidRPr="002A2A4E">
        <w:rPr>
          <w:color w:val="000000" w:themeColor="text1"/>
          <w:rtl/>
        </w:rPr>
        <w:t>המדינה ממיסים ומהכנסות אחרות בשנים 2023 ו-2024</w:t>
      </w:r>
      <w:r w:rsidRPr="002A2A4E">
        <w:rPr>
          <w:rFonts w:hint="cs"/>
          <w:color w:val="000000" w:themeColor="text1"/>
          <w:rtl/>
        </w:rPr>
        <w:t xml:space="preserve">, אגף הכלכלנית הראשית במשרד האוצר. </w:t>
      </w:r>
    </w:p>
  </w:footnote>
  <w:footnote w:id="31">
    <w:p w:rsidR="00F20E3F" w:rsidRPr="002A2A4E" w:rsidP="007649F0" w14:paraId="056FE858" w14:textId="77777777">
      <w:pPr>
        <w:pStyle w:val="00"/>
        <w:rPr>
          <w:color w:val="000000" w:themeColor="text1"/>
          <w:rtl/>
        </w:rPr>
      </w:pPr>
      <w:r w:rsidRPr="002A2A4E">
        <w:rPr>
          <w:rStyle w:val="7342"/>
          <w:color w:val="000000" w:themeColor="text1"/>
        </w:rPr>
        <w:footnoteRef/>
      </w:r>
      <w:r w:rsidRPr="002A2A4E">
        <w:rPr>
          <w:rStyle w:val="7342"/>
          <w:color w:val="000000" w:themeColor="text1"/>
          <w:rtl/>
        </w:rPr>
        <w:t xml:space="preserve"> </w:t>
      </w:r>
      <w:r w:rsidRPr="002A2A4E">
        <w:rPr>
          <w:rStyle w:val="7342"/>
          <w:color w:val="000000" w:themeColor="text1"/>
          <w:rtl/>
        </w:rPr>
        <w:tab/>
      </w:r>
      <w:r w:rsidRPr="002A2A4E">
        <w:rPr>
          <w:rFonts w:hint="cs"/>
          <w:color w:val="000000" w:themeColor="text1"/>
          <w:rtl/>
        </w:rPr>
        <w:t xml:space="preserve">פרופ' נתן זוסמן ואח', </w:t>
      </w:r>
      <w:r w:rsidRPr="002A2A4E">
        <w:rPr>
          <w:rFonts w:hint="cs"/>
          <w:b/>
          <w:bCs/>
          <w:color w:val="000000" w:themeColor="text1"/>
          <w:rtl/>
        </w:rPr>
        <w:t>ישראל 2050 - כלכלה משגשגת בסביבה מקיימת: השפעות על הצמיחה המקרו-כלכלית בישראל</w:t>
      </w:r>
      <w:r w:rsidRPr="002A2A4E">
        <w:rPr>
          <w:rFonts w:hint="cs"/>
          <w:color w:val="000000" w:themeColor="text1"/>
          <w:rtl/>
        </w:rPr>
        <w:t xml:space="preserve">, המכון הישראלי לדמוקרטיה והאוניברסיטה העברית בירושלים </w:t>
      </w:r>
      <w:r w:rsidRPr="002A2A4E">
        <w:rPr>
          <w:color w:val="000000" w:themeColor="text1"/>
          <w:rtl/>
        </w:rPr>
        <w:t>(2019)</w:t>
      </w:r>
      <w:r w:rsidRPr="002A2A4E">
        <w:rPr>
          <w:rFonts w:hint="cs"/>
          <w:color w:val="000000" w:themeColor="text1"/>
          <w:rtl/>
        </w:rPr>
        <w:t>.</w:t>
      </w:r>
    </w:p>
  </w:footnote>
  <w:footnote w:id="32">
    <w:p w:rsidR="00F20E3F" w:rsidRPr="002A2A4E" w:rsidP="00F271A9" w14:paraId="313127C6" w14:textId="77777777">
      <w:pPr>
        <w:pStyle w:val="7341"/>
        <w:spacing w:after="0"/>
        <w:rPr>
          <w:color w:val="000000" w:themeColor="text1"/>
          <w:rtl/>
        </w:rPr>
      </w:pPr>
      <w:r w:rsidRPr="002A2A4E">
        <w:rPr>
          <w:rStyle w:val="FootnoteReference2"/>
          <w:color w:val="000000" w:themeColor="text1"/>
          <w:vertAlign w:val="baseline"/>
        </w:rPr>
        <w:footnoteRef/>
      </w:r>
      <w:r w:rsidRPr="002A2A4E">
        <w:rPr>
          <w:rStyle w:val="FootnoteReference2"/>
          <w:color w:val="000000" w:themeColor="text1"/>
          <w:vertAlign w:val="baseline"/>
          <w:rtl/>
        </w:rPr>
        <w:t xml:space="preserve"> </w:t>
      </w:r>
      <w:r w:rsidRPr="002A2A4E">
        <w:rPr>
          <w:color w:val="000000" w:themeColor="text1"/>
          <w:rtl/>
        </w:rPr>
        <w:tab/>
      </w:r>
      <w:r w:rsidRPr="002A2A4E">
        <w:rPr>
          <w:rFonts w:hint="cs"/>
          <w:color w:val="000000" w:themeColor="text1"/>
          <w:rtl/>
        </w:rPr>
        <w:t>ראו את המחקר:</w:t>
      </w:r>
    </w:p>
    <w:p w:rsidR="00F20E3F" w:rsidRPr="002A2A4E" w:rsidP="00F271A9" w14:paraId="45CFAC6C" w14:textId="77777777">
      <w:pPr>
        <w:pStyle w:val="7341"/>
        <w:bidi w:val="0"/>
        <w:spacing w:after="0"/>
        <w:ind w:left="0" w:right="397" w:firstLine="0"/>
        <w:rPr>
          <w:color w:val="000000" w:themeColor="text1"/>
        </w:rPr>
      </w:pPr>
      <w:r w:rsidRPr="002A2A4E">
        <w:rPr>
          <w:color w:val="000000" w:themeColor="text1"/>
        </w:rPr>
        <w:t xml:space="preserve">Kahn, M. E., </w:t>
      </w:r>
      <w:r w:rsidRPr="002A2A4E">
        <w:rPr>
          <w:color w:val="000000" w:themeColor="text1"/>
        </w:rPr>
        <w:t>Mohaddes</w:t>
      </w:r>
      <w:r w:rsidRPr="002A2A4E">
        <w:rPr>
          <w:color w:val="000000" w:themeColor="text1"/>
        </w:rPr>
        <w:t xml:space="preserve">, K., Ng, R. N., </w:t>
      </w:r>
      <w:r w:rsidRPr="002A2A4E">
        <w:rPr>
          <w:color w:val="000000" w:themeColor="text1"/>
        </w:rPr>
        <w:t>Pesaran</w:t>
      </w:r>
      <w:r w:rsidRPr="002A2A4E">
        <w:rPr>
          <w:color w:val="000000" w:themeColor="text1"/>
        </w:rPr>
        <w:t xml:space="preserve">, M. H., </w:t>
      </w:r>
      <w:r w:rsidRPr="002A2A4E">
        <w:rPr>
          <w:color w:val="000000" w:themeColor="text1"/>
        </w:rPr>
        <w:t>Raissi</w:t>
      </w:r>
      <w:r w:rsidRPr="002A2A4E">
        <w:rPr>
          <w:color w:val="000000" w:themeColor="text1"/>
        </w:rPr>
        <w:t xml:space="preserve">, M. and Yang, J.-C. (2019), Long-term </w:t>
      </w:r>
      <w:r w:rsidRPr="002A2A4E">
        <w:rPr>
          <w:color w:val="000000" w:themeColor="text1"/>
        </w:rPr>
        <w:t>macroeco</w:t>
      </w:r>
      <w:r w:rsidRPr="002A2A4E">
        <w:rPr>
          <w:color w:val="000000" w:themeColor="text1"/>
        </w:rPr>
        <w:t>-nomic effects of climate change: A cross-country analysis, Technical report, National Bureau of Economic Research, working paper No. 26167.</w:t>
      </w:r>
    </w:p>
    <w:p w:rsidR="00F20E3F" w:rsidRPr="002A2A4E" w:rsidP="00F271A9" w14:paraId="4B168EBD" w14:textId="77777777">
      <w:pPr>
        <w:pStyle w:val="7341"/>
        <w:ind w:firstLine="1"/>
        <w:rPr>
          <w:color w:val="000000" w:themeColor="text1"/>
          <w:rtl/>
        </w:rPr>
      </w:pPr>
      <w:r w:rsidRPr="002A2A4E">
        <w:rPr>
          <w:color w:val="000000" w:themeColor="text1"/>
          <w:rtl/>
        </w:rPr>
        <w:t>המחקר הופיע גם בפרסום של ה-</w:t>
      </w:r>
      <w:r w:rsidRPr="002A2A4E">
        <w:rPr>
          <w:color w:val="000000" w:themeColor="text1"/>
        </w:rPr>
        <w:t>IMF</w:t>
      </w:r>
      <w:r w:rsidRPr="002A2A4E">
        <w:rPr>
          <w:color w:val="000000" w:themeColor="text1"/>
          <w:rtl/>
        </w:rPr>
        <w:t xml:space="preserve"> כ"נייר עבודה" שכותרתו "</w:t>
      </w:r>
      <w:r w:rsidRPr="002A2A4E">
        <w:rPr>
          <w:color w:val="000000" w:themeColor="text1"/>
        </w:rPr>
        <w:t>Long-Term Macroeconomic Effects of Climate Change: a Cross-Country Analysis</w:t>
      </w:r>
      <w:r w:rsidRPr="002A2A4E">
        <w:rPr>
          <w:color w:val="000000" w:themeColor="text1"/>
          <w:rtl/>
        </w:rPr>
        <w:t>", המחלקה הפיסקלית ב-</w:t>
      </w:r>
      <w:r w:rsidRPr="002A2A4E">
        <w:rPr>
          <w:color w:val="000000" w:themeColor="text1"/>
        </w:rPr>
        <w:t>IMF</w:t>
      </w:r>
      <w:r w:rsidRPr="002A2A4E">
        <w:rPr>
          <w:color w:val="000000" w:themeColor="text1"/>
          <w:rtl/>
        </w:rPr>
        <w:t xml:space="preserve"> (אוקטובר 2019). יצוין כי לפי ה-</w:t>
      </w:r>
      <w:r w:rsidRPr="002A2A4E">
        <w:rPr>
          <w:color w:val="000000" w:themeColor="text1"/>
        </w:rPr>
        <w:t>IMF</w:t>
      </w:r>
      <w:r w:rsidRPr="002A2A4E">
        <w:rPr>
          <w:color w:val="000000" w:themeColor="text1"/>
          <w:rtl/>
        </w:rPr>
        <w:t xml:space="preserve">, נייר </w:t>
      </w:r>
      <w:r w:rsidRPr="002A2A4E">
        <w:rPr>
          <w:rFonts w:hint="cs"/>
          <w:color w:val="000000" w:themeColor="text1"/>
          <w:rtl/>
        </w:rPr>
        <w:t>ה</w:t>
      </w:r>
      <w:r w:rsidRPr="002A2A4E">
        <w:rPr>
          <w:color w:val="000000" w:themeColor="text1"/>
          <w:rtl/>
        </w:rPr>
        <w:t>עבודה מציג את עמדות כותבי</w:t>
      </w:r>
      <w:r w:rsidRPr="002A2A4E">
        <w:rPr>
          <w:rFonts w:hint="cs"/>
          <w:color w:val="000000" w:themeColor="text1"/>
          <w:rtl/>
        </w:rPr>
        <w:t>ו</w:t>
      </w:r>
      <w:r w:rsidRPr="002A2A4E">
        <w:rPr>
          <w:color w:val="000000" w:themeColor="text1"/>
          <w:rtl/>
        </w:rPr>
        <w:t xml:space="preserve"> ולא מייצג בהכרח את עמדות הארגון. </w:t>
      </w:r>
    </w:p>
  </w:footnote>
  <w:footnote w:id="33">
    <w:p w:rsidR="00F20E3F" w:rsidRPr="002A2A4E" w:rsidP="00F271A9" w14:paraId="3B6ECAE4" w14:textId="77777777">
      <w:pPr>
        <w:pStyle w:val="7341"/>
        <w:rPr>
          <w:color w:val="000000" w:themeColor="text1"/>
          <w:rtl/>
        </w:rPr>
      </w:pPr>
      <w:r w:rsidRPr="002A2A4E">
        <w:rPr>
          <w:rStyle w:val="FootnoteReference2"/>
          <w:color w:val="000000" w:themeColor="text1"/>
          <w:vertAlign w:val="baseline"/>
        </w:rPr>
        <w:footnoteRef/>
      </w:r>
      <w:r w:rsidRPr="002A2A4E">
        <w:rPr>
          <w:rStyle w:val="FootnoteReference2"/>
          <w:color w:val="000000" w:themeColor="text1"/>
          <w:vertAlign w:val="baseline"/>
          <w:rtl/>
        </w:rPr>
        <w:t xml:space="preserve"> </w:t>
      </w:r>
      <w:r w:rsidRPr="002A2A4E">
        <w:rPr>
          <w:color w:val="000000" w:themeColor="text1"/>
          <w:rtl/>
        </w:rPr>
        <w:tab/>
        <w:t xml:space="preserve">מחקר השפעות שינויי </w:t>
      </w:r>
      <w:r w:rsidRPr="002A2A4E">
        <w:rPr>
          <w:rFonts w:hint="cs"/>
          <w:color w:val="000000" w:themeColor="text1"/>
          <w:rtl/>
        </w:rPr>
        <w:t>ה</w:t>
      </w:r>
      <w:r w:rsidRPr="002A2A4E">
        <w:rPr>
          <w:color w:val="000000" w:themeColor="text1"/>
          <w:rtl/>
        </w:rPr>
        <w:t>אקלים על 174 מדינות</w:t>
      </w:r>
      <w:r w:rsidRPr="002A2A4E">
        <w:rPr>
          <w:rFonts w:hint="cs"/>
          <w:color w:val="000000" w:themeColor="text1"/>
          <w:rtl/>
        </w:rPr>
        <w:t>, עמ' 55.</w:t>
      </w:r>
    </w:p>
  </w:footnote>
  <w:footnote w:id="34">
    <w:p w:rsidR="00F20E3F" w:rsidRPr="002A2A4E" w:rsidP="00F271A9" w14:paraId="246A6BB0" w14:textId="77777777">
      <w:pPr>
        <w:pStyle w:val="7341"/>
        <w:rPr>
          <w:color w:val="000000" w:themeColor="text1"/>
          <w:rtl/>
        </w:rPr>
      </w:pPr>
      <w:r w:rsidRPr="002A2A4E">
        <w:rPr>
          <w:rStyle w:val="FootnoteReference2"/>
          <w:color w:val="000000" w:themeColor="text1"/>
          <w:vertAlign w:val="baseline"/>
        </w:rPr>
        <w:footnoteRef/>
      </w:r>
      <w:r w:rsidRPr="002A2A4E">
        <w:rPr>
          <w:color w:val="000000" w:themeColor="text1"/>
          <w:rtl/>
        </w:rPr>
        <w:t xml:space="preserve"> </w:t>
      </w:r>
      <w:r w:rsidRPr="002A2A4E">
        <w:rPr>
          <w:color w:val="000000" w:themeColor="text1"/>
          <w:rtl/>
        </w:rPr>
        <w:tab/>
      </w:r>
      <w:r w:rsidRPr="002A2A4E">
        <w:rPr>
          <w:rFonts w:hint="cs"/>
          <w:color w:val="000000" w:themeColor="text1"/>
          <w:rtl/>
        </w:rPr>
        <w:t xml:space="preserve">הגבלת </w:t>
      </w:r>
      <w:r w:rsidRPr="002A2A4E">
        <w:rPr>
          <w:color w:val="000000" w:themeColor="text1"/>
          <w:rtl/>
        </w:rPr>
        <w:t xml:space="preserve">התחממות גלובלית של </w:t>
      </w:r>
      <w:r w:rsidRPr="002A2A4E">
        <w:rPr>
          <w:color w:val="000000" w:themeColor="text1"/>
        </w:rPr>
        <w:t>c</w:t>
      </w:r>
      <w:r w:rsidRPr="002A2A4E">
        <w:rPr>
          <w:color w:val="000000" w:themeColor="text1"/>
          <w:rtl/>
        </w:rPr>
        <w:t>°</w:t>
      </w:r>
      <w:r w:rsidRPr="002A2A4E">
        <w:rPr>
          <w:color w:val="000000" w:themeColor="text1"/>
        </w:rPr>
        <w:t>2</w:t>
      </w:r>
      <w:r w:rsidRPr="002A2A4E">
        <w:rPr>
          <w:color w:val="000000" w:themeColor="text1"/>
          <w:rtl/>
        </w:rPr>
        <w:t xml:space="preserve"> עד 2050</w:t>
      </w:r>
      <w:r w:rsidRPr="002A2A4E">
        <w:rPr>
          <w:rFonts w:hint="cs"/>
          <w:color w:val="000000" w:themeColor="text1"/>
          <w:rtl/>
        </w:rPr>
        <w:t xml:space="preserve"> תחייב</w:t>
      </w:r>
      <w:r w:rsidRPr="002A2A4E">
        <w:rPr>
          <w:color w:val="000000" w:themeColor="text1"/>
          <w:rtl/>
        </w:rPr>
        <w:t xml:space="preserve"> הפחתה ממוצעת של</w:t>
      </w:r>
      <w:r w:rsidRPr="002A2A4E">
        <w:rPr>
          <w:rFonts w:hint="cs"/>
          <w:color w:val="000000" w:themeColor="text1"/>
          <w:rtl/>
        </w:rPr>
        <w:t xml:space="preserve"> כ-</w:t>
      </w:r>
      <w:r w:rsidRPr="002A2A4E">
        <w:rPr>
          <w:color w:val="000000" w:themeColor="text1"/>
          <w:rtl/>
        </w:rPr>
        <w:t>80% בפליטות</w:t>
      </w:r>
      <w:r w:rsidRPr="002A2A4E">
        <w:rPr>
          <w:rFonts w:hint="cs"/>
          <w:color w:val="000000" w:themeColor="text1"/>
          <w:rtl/>
        </w:rPr>
        <w:t xml:space="preserve"> </w:t>
      </w:r>
      <w:r w:rsidRPr="002A2A4E">
        <w:rPr>
          <w:rFonts w:hint="cs"/>
          <w:color w:val="000000" w:themeColor="text1"/>
          <w:rtl/>
        </w:rPr>
        <w:t>גז"ח</w:t>
      </w:r>
      <w:r w:rsidRPr="002A2A4E">
        <w:rPr>
          <w:color w:val="000000" w:themeColor="text1"/>
          <w:rtl/>
        </w:rPr>
        <w:t xml:space="preserve">, לעומת </w:t>
      </w:r>
      <w:r w:rsidRPr="002A2A4E">
        <w:rPr>
          <w:rFonts w:hint="cs"/>
          <w:color w:val="000000" w:themeColor="text1"/>
          <w:rtl/>
        </w:rPr>
        <w:t xml:space="preserve">הגבלת התחממות </w:t>
      </w:r>
      <w:r w:rsidRPr="002A2A4E">
        <w:rPr>
          <w:color w:val="000000" w:themeColor="text1"/>
          <w:rtl/>
        </w:rPr>
        <w:t>של</w:t>
      </w:r>
      <w:r w:rsidRPr="002A2A4E">
        <w:rPr>
          <w:rFonts w:hint="cs"/>
          <w:color w:val="000000" w:themeColor="text1"/>
          <w:rtl/>
        </w:rPr>
        <w:t xml:space="preserve"> עד</w:t>
      </w:r>
      <w:r w:rsidRPr="002A2A4E">
        <w:rPr>
          <w:color w:val="000000" w:themeColor="text1"/>
          <w:rtl/>
        </w:rPr>
        <w:t xml:space="preserve"> </w:t>
      </w:r>
      <w:r w:rsidRPr="002A2A4E">
        <w:rPr>
          <w:rFonts w:hint="cs"/>
          <w:color w:val="000000" w:themeColor="text1"/>
          <w:rtl/>
        </w:rPr>
        <w:t xml:space="preserve">מעלה וחצי, שתחייב כאמור </w:t>
      </w:r>
      <w:r w:rsidRPr="002A2A4E">
        <w:rPr>
          <w:color w:val="000000" w:themeColor="text1"/>
          <w:rtl/>
        </w:rPr>
        <w:t>איפוס פליטות</w:t>
      </w:r>
      <w:r w:rsidRPr="002A2A4E">
        <w:rPr>
          <w:rFonts w:hint="cs"/>
          <w:color w:val="000000" w:themeColor="text1"/>
          <w:rtl/>
        </w:rPr>
        <w:t xml:space="preserve"> ומימוש </w:t>
      </w:r>
      <w:r w:rsidRPr="002A2A4E">
        <w:rPr>
          <w:color w:val="000000" w:themeColor="text1"/>
          <w:rtl/>
        </w:rPr>
        <w:t xml:space="preserve">תרחיש </w:t>
      </w:r>
      <w:r w:rsidRPr="002A2A4E">
        <w:rPr>
          <w:color w:val="000000" w:themeColor="text1"/>
        </w:rPr>
        <w:t>RCP 1.9</w:t>
      </w:r>
      <w:r w:rsidRPr="002A2A4E">
        <w:rPr>
          <w:color w:val="000000" w:themeColor="text1"/>
          <w:rtl/>
        </w:rPr>
        <w:t xml:space="preserve">, </w:t>
      </w:r>
      <w:r w:rsidRPr="002A2A4E">
        <w:rPr>
          <w:rFonts w:hint="cs"/>
          <w:color w:val="000000" w:themeColor="text1"/>
          <w:rtl/>
        </w:rPr>
        <w:t xml:space="preserve">קרי תרחיש שאפתני יותר מ </w:t>
      </w:r>
      <w:r w:rsidRPr="002A2A4E">
        <w:rPr>
          <w:rFonts w:hint="cs"/>
          <w:color w:val="000000" w:themeColor="text1"/>
        </w:rPr>
        <w:t>RCP</w:t>
      </w:r>
      <w:r w:rsidRPr="002A2A4E">
        <w:rPr>
          <w:color w:val="000000" w:themeColor="text1"/>
        </w:rPr>
        <w:t xml:space="preserve"> 2.6</w:t>
      </w:r>
      <w:r w:rsidRPr="002A2A4E">
        <w:rPr>
          <w:color w:val="000000" w:themeColor="text1"/>
          <w:rtl/>
        </w:rPr>
        <w:t>.</w:t>
      </w:r>
    </w:p>
  </w:footnote>
  <w:footnote w:id="35">
    <w:p w:rsidR="00F20E3F" w:rsidRPr="002A2A4E" w:rsidP="00F271A9" w14:paraId="21B21721" w14:textId="77777777">
      <w:pPr>
        <w:pStyle w:val="7341"/>
        <w:rPr>
          <w:color w:val="000000" w:themeColor="text1"/>
          <w:rtl/>
        </w:rPr>
      </w:pPr>
      <w:r w:rsidRPr="002A2A4E">
        <w:rPr>
          <w:rStyle w:val="FootnoteReference2"/>
          <w:color w:val="000000" w:themeColor="text1"/>
          <w:vertAlign w:val="baseline"/>
        </w:rPr>
        <w:footnoteRef/>
      </w:r>
      <w:r w:rsidRPr="002A2A4E">
        <w:rPr>
          <w:color w:val="000000" w:themeColor="text1"/>
          <w:rtl/>
        </w:rPr>
        <w:t xml:space="preserve"> </w:t>
      </w:r>
      <w:r w:rsidRPr="002A2A4E">
        <w:rPr>
          <w:color w:val="000000" w:themeColor="text1"/>
          <w:rtl/>
        </w:rPr>
        <w:tab/>
        <w:t>דוח נזקי האקלים לכלכלת ישראל 2050</w:t>
      </w:r>
      <w:r w:rsidRPr="002A2A4E">
        <w:rPr>
          <w:rFonts w:hint="cs"/>
          <w:color w:val="000000" w:themeColor="text1"/>
          <w:rtl/>
        </w:rPr>
        <w:t>.</w:t>
      </w:r>
    </w:p>
  </w:footnote>
  <w:footnote w:id="36">
    <w:p w:rsidR="00F20E3F" w:rsidRPr="002A2A4E" w:rsidP="00F271A9" w14:paraId="482E1ECF" w14:textId="77777777">
      <w:pPr>
        <w:pStyle w:val="7341"/>
        <w:rPr>
          <w:color w:val="000000" w:themeColor="text1"/>
        </w:rPr>
      </w:pPr>
      <w:r w:rsidRPr="002A2A4E">
        <w:rPr>
          <w:rStyle w:val="FootnoteReference2"/>
          <w:color w:val="000000" w:themeColor="text1"/>
          <w:vertAlign w:val="baseline"/>
        </w:rPr>
        <w:footnoteRef/>
      </w:r>
      <w:r w:rsidRPr="002A2A4E">
        <w:rPr>
          <w:color w:val="000000" w:themeColor="text1"/>
          <w:rtl/>
        </w:rPr>
        <w:t xml:space="preserve"> </w:t>
      </w:r>
      <w:r w:rsidRPr="002A2A4E">
        <w:rPr>
          <w:color w:val="000000" w:themeColor="text1"/>
          <w:rtl/>
        </w:rPr>
        <w:tab/>
        <w:t xml:space="preserve">מחקר השפעות שינויי </w:t>
      </w:r>
      <w:r w:rsidRPr="002A2A4E">
        <w:rPr>
          <w:rFonts w:hint="cs"/>
          <w:color w:val="000000" w:themeColor="text1"/>
          <w:rtl/>
        </w:rPr>
        <w:t>ה</w:t>
      </w:r>
      <w:r w:rsidRPr="002A2A4E">
        <w:rPr>
          <w:color w:val="000000" w:themeColor="text1"/>
          <w:rtl/>
        </w:rPr>
        <w:t>אקלים על 174 מדינות</w:t>
      </w:r>
      <w:r w:rsidRPr="002A2A4E">
        <w:rPr>
          <w:rFonts w:hint="cs"/>
          <w:color w:val="000000" w:themeColor="text1"/>
          <w:rtl/>
        </w:rPr>
        <w:t xml:space="preserve">, ובמחקרים ובמסמכים נוספים שנסקרו בדוח הקודם. </w:t>
      </w:r>
    </w:p>
  </w:footnote>
  <w:footnote w:id="37">
    <w:p w:rsidR="00F20E3F" w:rsidRPr="002A2A4E" w:rsidP="00F271A9" w14:paraId="2C60D287" w14:textId="77777777">
      <w:pPr>
        <w:pStyle w:val="7341"/>
        <w:rPr>
          <w:color w:val="000000" w:themeColor="text1"/>
          <w:rtl/>
        </w:rPr>
      </w:pPr>
      <w:r w:rsidRPr="002A2A4E">
        <w:rPr>
          <w:rStyle w:val="FootnoteReference2"/>
          <w:color w:val="000000" w:themeColor="text1"/>
          <w:vertAlign w:val="baseline"/>
        </w:rPr>
        <w:footnoteRef/>
      </w:r>
      <w:r w:rsidRPr="002A2A4E">
        <w:rPr>
          <w:color w:val="000000" w:themeColor="text1"/>
          <w:rtl/>
        </w:rPr>
        <w:t xml:space="preserve"> </w:t>
      </w:r>
      <w:r w:rsidRPr="002A2A4E">
        <w:rPr>
          <w:color w:val="000000" w:themeColor="text1"/>
          <w:rtl/>
        </w:rPr>
        <w:tab/>
      </w:r>
      <w:r w:rsidRPr="002A2A4E">
        <w:rPr>
          <w:rFonts w:hint="cs"/>
          <w:color w:val="000000" w:themeColor="text1"/>
          <w:rtl/>
        </w:rPr>
        <w:t>מכוח החלטת הממשלה 430 בנושא "</w:t>
      </w:r>
      <w:r w:rsidRPr="002A2A4E">
        <w:rPr>
          <w:color w:val="000000" w:themeColor="text1"/>
          <w:rtl/>
        </w:rPr>
        <w:t>הקמת מועצה לאומית לכלכלה</w:t>
      </w:r>
      <w:r w:rsidRPr="002A2A4E">
        <w:rPr>
          <w:rFonts w:hint="cs"/>
          <w:color w:val="000000" w:themeColor="text1"/>
          <w:rtl/>
        </w:rPr>
        <w:t>" (10.9.06).</w:t>
      </w:r>
    </w:p>
  </w:footnote>
  <w:footnote w:id="38">
    <w:p w:rsidR="00F20E3F" w:rsidRPr="002A2A4E" w:rsidP="00F271A9" w14:paraId="19794B07" w14:textId="77777777">
      <w:pPr>
        <w:pStyle w:val="7341"/>
        <w:rPr>
          <w:color w:val="000000" w:themeColor="text1"/>
        </w:rPr>
      </w:pPr>
      <w:r w:rsidRPr="002A2A4E">
        <w:rPr>
          <w:rStyle w:val="FootnoteReference2"/>
          <w:color w:val="000000" w:themeColor="text1"/>
          <w:vertAlign w:val="baseline"/>
        </w:rPr>
        <w:footnoteRef/>
      </w:r>
      <w:r w:rsidRPr="002A2A4E">
        <w:rPr>
          <w:color w:val="000000" w:themeColor="text1"/>
          <w:rtl/>
        </w:rPr>
        <w:t xml:space="preserve"> </w:t>
      </w:r>
      <w:r w:rsidRPr="002A2A4E">
        <w:rPr>
          <w:color w:val="000000" w:themeColor="text1"/>
          <w:rtl/>
        </w:rPr>
        <w:tab/>
        <w:t xml:space="preserve">ראו עוד בנושא זה: המשרד </w:t>
      </w:r>
      <w:r w:rsidRPr="002A2A4E">
        <w:rPr>
          <w:color w:val="000000" w:themeColor="text1"/>
          <w:rtl/>
        </w:rPr>
        <w:t>להג</w:t>
      </w:r>
      <w:r w:rsidRPr="002A2A4E">
        <w:rPr>
          <w:rFonts w:hint="cs"/>
          <w:color w:val="000000" w:themeColor="text1"/>
          <w:rtl/>
        </w:rPr>
        <w:t>"ס</w:t>
      </w:r>
      <w:r w:rsidRPr="002A2A4E">
        <w:rPr>
          <w:color w:val="000000" w:themeColor="text1"/>
          <w:rtl/>
        </w:rPr>
        <w:t xml:space="preserve">, מסמך מדיניות בנושא "תמחור פחמן בישראל" </w:t>
      </w:r>
      <w:r w:rsidRPr="002A2A4E">
        <w:rPr>
          <w:rFonts w:hint="cs"/>
          <w:color w:val="000000" w:themeColor="text1"/>
          <w:rtl/>
        </w:rPr>
        <w:t>(</w:t>
      </w:r>
      <w:r w:rsidRPr="002A2A4E">
        <w:rPr>
          <w:color w:val="000000" w:themeColor="text1"/>
          <w:rtl/>
        </w:rPr>
        <w:t>אוגוסט 2021</w:t>
      </w:r>
      <w:r w:rsidRPr="002A2A4E">
        <w:rPr>
          <w:rFonts w:hint="cs"/>
          <w:color w:val="000000" w:themeColor="text1"/>
          <w:rtl/>
        </w:rPr>
        <w:t>).</w:t>
      </w:r>
    </w:p>
  </w:footnote>
  <w:footnote w:id="39">
    <w:p w:rsidR="00F20E3F" w:rsidRPr="002A2A4E" w:rsidP="00F271A9" w14:paraId="5D40180B" w14:textId="77777777">
      <w:pPr>
        <w:pStyle w:val="7341"/>
        <w:spacing w:after="0"/>
        <w:rPr>
          <w:color w:val="000000" w:themeColor="text1"/>
          <w:rtl/>
        </w:rPr>
      </w:pPr>
      <w:r w:rsidRPr="002A2A4E">
        <w:rPr>
          <w:rStyle w:val="FootnoteReference2"/>
          <w:color w:val="000000" w:themeColor="text1"/>
          <w:vertAlign w:val="baseline"/>
        </w:rPr>
        <w:footnoteRef/>
      </w:r>
      <w:r w:rsidRPr="002A2A4E">
        <w:rPr>
          <w:color w:val="000000" w:themeColor="text1"/>
          <w:rtl/>
        </w:rPr>
        <w:t xml:space="preserve"> </w:t>
      </w:r>
      <w:r w:rsidRPr="002A2A4E">
        <w:rPr>
          <w:color w:val="000000" w:themeColor="text1"/>
          <w:rtl/>
        </w:rPr>
        <w:tab/>
      </w:r>
      <w:hyperlink r:id="rId11" w:history="1">
        <w:r w:rsidRPr="002A2A4E">
          <w:rPr>
            <w:rStyle w:val="7334"/>
            <w:rFonts w:hint="eastAsia"/>
            <w:color w:val="000000" w:themeColor="text1"/>
            <w:u w:val="none"/>
            <w:rtl/>
          </w:rPr>
          <w:t>בנק</w:t>
        </w:r>
        <w:r w:rsidRPr="002A2A4E">
          <w:rPr>
            <w:rStyle w:val="7334"/>
            <w:color w:val="000000" w:themeColor="text1"/>
            <w:u w:val="none"/>
            <w:rtl/>
          </w:rPr>
          <w:t xml:space="preserve"> </w:t>
        </w:r>
        <w:r w:rsidRPr="002A2A4E">
          <w:rPr>
            <w:rStyle w:val="7334"/>
            <w:rFonts w:hint="eastAsia"/>
            <w:color w:val="000000" w:themeColor="text1"/>
            <w:u w:val="none"/>
            <w:rtl/>
          </w:rPr>
          <w:t>ישראל</w:t>
        </w:r>
        <w:r w:rsidRPr="002A2A4E">
          <w:rPr>
            <w:rStyle w:val="Hyperlink"/>
            <w:color w:val="000000" w:themeColor="text1"/>
            <w:u w:val="none"/>
            <w:rtl/>
          </w:rPr>
          <w:t>,</w:t>
        </w:r>
        <w:r w:rsidRPr="002A2A4E">
          <w:rPr>
            <w:color w:val="000000" w:themeColor="text1"/>
            <w:rtl/>
          </w:rPr>
          <w:t xml:space="preserve"> </w:t>
        </w:r>
        <w:r w:rsidRPr="002A2A4E">
          <w:rPr>
            <w:rFonts w:hint="eastAsia"/>
            <w:color w:val="000000" w:themeColor="text1"/>
            <w:rtl/>
          </w:rPr>
          <w:t>ניתוח</w:t>
        </w:r>
        <w:r w:rsidRPr="002A2A4E">
          <w:rPr>
            <w:color w:val="000000" w:themeColor="text1"/>
            <w:rtl/>
          </w:rPr>
          <w:t xml:space="preserve"> </w:t>
        </w:r>
        <w:r w:rsidRPr="002A2A4E">
          <w:rPr>
            <w:rStyle w:val="7334"/>
            <w:rFonts w:hint="eastAsia"/>
            <w:color w:val="000000" w:themeColor="text1"/>
            <w:u w:val="none"/>
            <w:rtl/>
          </w:rPr>
          <w:t>חטיבת</w:t>
        </w:r>
        <w:r w:rsidRPr="002A2A4E">
          <w:rPr>
            <w:rStyle w:val="7334"/>
            <w:color w:val="000000" w:themeColor="text1"/>
            <w:u w:val="none"/>
            <w:rtl/>
          </w:rPr>
          <w:t xml:space="preserve"> </w:t>
        </w:r>
        <w:r w:rsidRPr="002A2A4E">
          <w:rPr>
            <w:rStyle w:val="7334"/>
            <w:rFonts w:hint="eastAsia"/>
            <w:color w:val="000000" w:themeColor="text1"/>
            <w:u w:val="none"/>
            <w:rtl/>
          </w:rPr>
          <w:t>המחקר</w:t>
        </w:r>
        <w:r w:rsidRPr="002A2A4E">
          <w:rPr>
            <w:rStyle w:val="7334"/>
            <w:color w:val="000000" w:themeColor="text1"/>
            <w:u w:val="none"/>
            <w:rtl/>
          </w:rPr>
          <w:t xml:space="preserve"> </w:t>
        </w:r>
        <w:r w:rsidRPr="002A2A4E">
          <w:rPr>
            <w:rStyle w:val="7334"/>
            <w:rFonts w:hint="eastAsia"/>
            <w:color w:val="000000" w:themeColor="text1"/>
            <w:u w:val="none"/>
            <w:rtl/>
          </w:rPr>
          <w:t>של</w:t>
        </w:r>
        <w:r w:rsidRPr="002A2A4E">
          <w:rPr>
            <w:rStyle w:val="7334"/>
            <w:color w:val="000000" w:themeColor="text1"/>
            <w:u w:val="none"/>
            <w:rtl/>
          </w:rPr>
          <w:t xml:space="preserve"> </w:t>
        </w:r>
        <w:r w:rsidRPr="002A2A4E">
          <w:rPr>
            <w:rStyle w:val="7334"/>
            <w:rFonts w:hint="eastAsia"/>
            <w:color w:val="000000" w:themeColor="text1"/>
            <w:u w:val="none"/>
            <w:rtl/>
          </w:rPr>
          <w:t>בנק</w:t>
        </w:r>
        <w:r w:rsidRPr="002A2A4E">
          <w:rPr>
            <w:rStyle w:val="7334"/>
            <w:color w:val="000000" w:themeColor="text1"/>
            <w:u w:val="none"/>
            <w:rtl/>
          </w:rPr>
          <w:t xml:space="preserve"> </w:t>
        </w:r>
        <w:r w:rsidRPr="002A2A4E">
          <w:rPr>
            <w:rStyle w:val="7334"/>
            <w:rFonts w:hint="eastAsia"/>
            <w:color w:val="000000" w:themeColor="text1"/>
            <w:u w:val="none"/>
            <w:rtl/>
          </w:rPr>
          <w:t>ישראל</w:t>
        </w:r>
        <w:r w:rsidRPr="002A2A4E">
          <w:rPr>
            <w:rStyle w:val="7334"/>
            <w:color w:val="000000" w:themeColor="text1"/>
            <w:u w:val="none"/>
            <w:rtl/>
          </w:rPr>
          <w:t xml:space="preserve">: </w:t>
        </w:r>
        <w:r w:rsidRPr="002A2A4E">
          <w:rPr>
            <w:rStyle w:val="7334"/>
            <w:rFonts w:hint="eastAsia"/>
            <w:color w:val="000000" w:themeColor="text1"/>
            <w:u w:val="none"/>
            <w:rtl/>
          </w:rPr>
          <w:t>המאבק</w:t>
        </w:r>
        <w:r w:rsidRPr="002A2A4E">
          <w:rPr>
            <w:rStyle w:val="7334"/>
            <w:color w:val="000000" w:themeColor="text1"/>
            <w:u w:val="none"/>
            <w:rtl/>
          </w:rPr>
          <w:t xml:space="preserve"> </w:t>
        </w:r>
        <w:r w:rsidRPr="002A2A4E">
          <w:rPr>
            <w:rStyle w:val="7334"/>
            <w:rFonts w:hint="eastAsia"/>
            <w:color w:val="000000" w:themeColor="text1"/>
            <w:u w:val="none"/>
            <w:rtl/>
          </w:rPr>
          <w:t>העולמי</w:t>
        </w:r>
        <w:r w:rsidRPr="002A2A4E">
          <w:rPr>
            <w:rStyle w:val="7334"/>
            <w:color w:val="000000" w:themeColor="text1"/>
            <w:u w:val="none"/>
            <w:rtl/>
          </w:rPr>
          <w:t xml:space="preserve"> </w:t>
        </w:r>
        <w:r w:rsidRPr="002A2A4E">
          <w:rPr>
            <w:rStyle w:val="7334"/>
            <w:rFonts w:hint="eastAsia"/>
            <w:color w:val="000000" w:themeColor="text1"/>
            <w:u w:val="none"/>
            <w:rtl/>
          </w:rPr>
          <w:t>בהתחממות</w:t>
        </w:r>
        <w:r w:rsidRPr="002A2A4E">
          <w:rPr>
            <w:rStyle w:val="7334"/>
            <w:color w:val="000000" w:themeColor="text1"/>
            <w:u w:val="none"/>
            <w:rtl/>
          </w:rPr>
          <w:t xml:space="preserve"> </w:t>
        </w:r>
        <w:r w:rsidRPr="002A2A4E">
          <w:rPr>
            <w:rStyle w:val="7334"/>
            <w:rFonts w:hint="eastAsia"/>
            <w:color w:val="000000" w:themeColor="text1"/>
            <w:u w:val="none"/>
            <w:rtl/>
          </w:rPr>
          <w:t>הגלובלית</w:t>
        </w:r>
        <w:r w:rsidRPr="002A2A4E">
          <w:rPr>
            <w:rStyle w:val="7334"/>
            <w:color w:val="000000" w:themeColor="text1"/>
            <w:u w:val="none"/>
            <w:rtl/>
          </w:rPr>
          <w:t xml:space="preserve"> </w:t>
        </w:r>
        <w:r w:rsidRPr="002A2A4E">
          <w:rPr>
            <w:rStyle w:val="7334"/>
            <w:rFonts w:hint="eastAsia"/>
            <w:color w:val="000000" w:themeColor="text1"/>
            <w:u w:val="none"/>
            <w:rtl/>
          </w:rPr>
          <w:t>והשלכותיו</w:t>
        </w:r>
        <w:r w:rsidRPr="002A2A4E">
          <w:rPr>
            <w:rStyle w:val="7334"/>
            <w:color w:val="000000" w:themeColor="text1"/>
            <w:u w:val="none"/>
            <w:rtl/>
          </w:rPr>
          <w:t xml:space="preserve"> </w:t>
        </w:r>
        <w:r w:rsidRPr="002A2A4E">
          <w:rPr>
            <w:rStyle w:val="7334"/>
            <w:rFonts w:hint="eastAsia"/>
            <w:color w:val="000000" w:themeColor="text1"/>
            <w:u w:val="none"/>
            <w:rtl/>
          </w:rPr>
          <w:t>על</w:t>
        </w:r>
        <w:r w:rsidRPr="002A2A4E">
          <w:rPr>
            <w:rStyle w:val="7334"/>
            <w:color w:val="000000" w:themeColor="text1"/>
            <w:u w:val="none"/>
            <w:rtl/>
          </w:rPr>
          <w:t xml:space="preserve"> </w:t>
        </w:r>
        <w:r w:rsidRPr="002A2A4E">
          <w:rPr>
            <w:rStyle w:val="7334"/>
            <w:rFonts w:hint="eastAsia"/>
            <w:color w:val="000000" w:themeColor="text1"/>
            <w:u w:val="none"/>
            <w:rtl/>
          </w:rPr>
          <w:t>ישראל</w:t>
        </w:r>
      </w:hyperlink>
      <w:r w:rsidRPr="002A2A4E">
        <w:rPr>
          <w:rFonts w:hint="cs"/>
          <w:color w:val="000000" w:themeColor="text1"/>
          <w:rtl/>
        </w:rPr>
        <w:t xml:space="preserve"> (10.6.20), עמ' 2 ו- 6. ראו גם:</w:t>
      </w:r>
    </w:p>
    <w:p w:rsidR="00F20E3F" w:rsidRPr="002A2A4E" w:rsidP="00D806E9" w14:paraId="7EE7494A" w14:textId="77777777">
      <w:pPr>
        <w:pStyle w:val="00"/>
        <w:ind w:left="425" w:firstLine="0"/>
        <w:rPr>
          <w:color w:val="000000" w:themeColor="text1"/>
        </w:rPr>
      </w:pPr>
      <w:r w:rsidRPr="002A2A4E">
        <w:rPr>
          <w:color w:val="000000" w:themeColor="text1"/>
        </w:rPr>
        <w:t>OECD, Accelerating climate action in Israel: Refocusing policies in the energy, residential and transport sector (2019).</w:t>
      </w:r>
    </w:p>
  </w:footnote>
  <w:footnote w:id="40">
    <w:p w:rsidR="00F20E3F" w:rsidRPr="002A2A4E" w:rsidP="00F271A9" w14:paraId="09F3A049" w14:textId="77777777">
      <w:pPr>
        <w:pStyle w:val="7341"/>
        <w:spacing w:after="0"/>
        <w:rPr>
          <w:color w:val="000000" w:themeColor="text1"/>
        </w:rPr>
      </w:pPr>
      <w:r w:rsidRPr="002A2A4E">
        <w:rPr>
          <w:rStyle w:val="FootnoteReference2"/>
          <w:color w:val="000000" w:themeColor="text1"/>
          <w:vertAlign w:val="baseline"/>
        </w:rPr>
        <w:footnoteRef/>
      </w:r>
      <w:r w:rsidRPr="002A2A4E">
        <w:rPr>
          <w:color w:val="000000" w:themeColor="text1"/>
          <w:rtl/>
        </w:rPr>
        <w:t xml:space="preserve"> </w:t>
      </w:r>
      <w:r w:rsidRPr="002A2A4E">
        <w:rPr>
          <w:color w:val="000000" w:themeColor="text1"/>
          <w:rtl/>
        </w:rPr>
        <w:tab/>
      </w:r>
      <w:r w:rsidRPr="002A2A4E">
        <w:rPr>
          <w:rFonts w:hint="cs"/>
          <w:color w:val="000000" w:themeColor="text1"/>
          <w:rtl/>
        </w:rPr>
        <w:t xml:space="preserve">ראו את אתר הבנק העולמי המרכז מידע על אמצעי תמחור פחמן (מס פחמן ולמכסות פליטה): </w:t>
      </w:r>
    </w:p>
    <w:p w:rsidR="00F20E3F" w:rsidRPr="002A2A4E" w:rsidP="00F271A9" w14:paraId="6258C27F" w14:textId="77777777">
      <w:pPr>
        <w:pStyle w:val="7341"/>
        <w:bidi w:val="0"/>
        <w:rPr>
          <w:color w:val="000000" w:themeColor="text1"/>
        </w:rPr>
      </w:pPr>
      <w:r w:rsidRPr="002A2A4E">
        <w:rPr>
          <w:color w:val="000000" w:themeColor="text1"/>
        </w:rPr>
        <w:t>https://carbonpricingdashboard.worldbank.org</w:t>
      </w:r>
      <w:r w:rsidRPr="002A2A4E">
        <w:rPr>
          <w:color w:val="000000" w:themeColor="text1"/>
          <w:rtl/>
        </w:rPr>
        <w:t>/</w:t>
      </w:r>
    </w:p>
  </w:footnote>
  <w:footnote w:id="41">
    <w:p w:rsidR="00F20E3F" w:rsidRPr="002A2A4E" w:rsidP="00F271A9" w14:paraId="022A61E6" w14:textId="77777777">
      <w:pPr>
        <w:pStyle w:val="7341"/>
        <w:rPr>
          <w:color w:val="000000" w:themeColor="text1"/>
          <w:rtl/>
        </w:rPr>
      </w:pPr>
      <w:r w:rsidRPr="002A2A4E">
        <w:rPr>
          <w:rStyle w:val="FootnoteReference2"/>
          <w:color w:val="000000" w:themeColor="text1"/>
          <w:vertAlign w:val="baseline"/>
        </w:rPr>
        <w:footnoteRef/>
      </w:r>
      <w:r w:rsidRPr="002A2A4E">
        <w:rPr>
          <w:color w:val="000000" w:themeColor="text1"/>
          <w:rtl/>
        </w:rPr>
        <w:t xml:space="preserve"> </w:t>
      </w:r>
      <w:r w:rsidRPr="002A2A4E">
        <w:rPr>
          <w:color w:val="000000" w:themeColor="text1"/>
          <w:rtl/>
        </w:rPr>
        <w:tab/>
      </w:r>
      <w:r w:rsidRPr="002A2A4E">
        <w:rPr>
          <w:rFonts w:hint="cs"/>
          <w:color w:val="000000" w:themeColor="text1"/>
          <w:rtl/>
        </w:rPr>
        <w:t>בנק ישראל, ניתוח חטיבת המחקר של בנק ישראל: המאבק העולמי בהתחממות הגלובלית והשלכותיו על ישראל (10.6.20), עמ' 15 - 16.</w:t>
      </w:r>
    </w:p>
  </w:footnote>
  <w:footnote w:id="42">
    <w:p w:rsidR="00F20E3F" w:rsidRPr="002A2A4E" w:rsidP="00F271A9" w14:paraId="2EFA6D47" w14:textId="77777777">
      <w:pPr>
        <w:pStyle w:val="7341"/>
        <w:rPr>
          <w:color w:val="000000" w:themeColor="text1"/>
          <w:rtl/>
        </w:rPr>
      </w:pPr>
      <w:r w:rsidRPr="002A2A4E">
        <w:rPr>
          <w:rStyle w:val="FootnoteReference2"/>
          <w:color w:val="000000" w:themeColor="text1"/>
          <w:vertAlign w:val="baseline"/>
        </w:rPr>
        <w:footnoteRef/>
      </w:r>
      <w:r w:rsidRPr="002A2A4E">
        <w:rPr>
          <w:color w:val="000000" w:themeColor="text1"/>
          <w:rtl/>
        </w:rPr>
        <w:t xml:space="preserve"> </w:t>
      </w:r>
      <w:r w:rsidRPr="002A2A4E">
        <w:rPr>
          <w:color w:val="000000" w:themeColor="text1"/>
          <w:rtl/>
        </w:rPr>
        <w:tab/>
        <w:t xml:space="preserve">בעוד שסחר בפליטות </w:t>
      </w:r>
      <w:r w:rsidRPr="002A2A4E">
        <w:rPr>
          <w:color w:val="000000" w:themeColor="text1"/>
          <w:rtl/>
        </w:rPr>
        <w:t>גז"ח</w:t>
      </w:r>
      <w:r w:rsidRPr="002A2A4E">
        <w:rPr>
          <w:color w:val="000000" w:themeColor="text1"/>
          <w:rtl/>
        </w:rPr>
        <w:t xml:space="preserve"> (</w:t>
      </w:r>
      <w:r w:rsidRPr="002A2A4E">
        <w:rPr>
          <w:color w:val="000000" w:themeColor="text1"/>
        </w:rPr>
        <w:t>ETS</w:t>
      </w:r>
      <w:r w:rsidRPr="002A2A4E">
        <w:rPr>
          <w:color w:val="000000" w:themeColor="text1"/>
          <w:rtl/>
        </w:rPr>
        <w:t>) מתאי</w:t>
      </w:r>
      <w:r w:rsidRPr="002A2A4E">
        <w:rPr>
          <w:rFonts w:hint="cs"/>
          <w:color w:val="000000" w:themeColor="text1"/>
          <w:rtl/>
        </w:rPr>
        <w:t>ם</w:t>
      </w:r>
      <w:r w:rsidRPr="002A2A4E">
        <w:rPr>
          <w:color w:val="000000" w:themeColor="text1"/>
          <w:rtl/>
        </w:rPr>
        <w:t xml:space="preserve"> פחות ליישום בישראל בשל מורכבות</w:t>
      </w:r>
      <w:r w:rsidRPr="002A2A4E">
        <w:rPr>
          <w:rFonts w:hint="cs"/>
          <w:color w:val="000000" w:themeColor="text1"/>
          <w:rtl/>
        </w:rPr>
        <w:t>ו</w:t>
      </w:r>
      <w:r w:rsidRPr="002A2A4E">
        <w:rPr>
          <w:color w:val="000000" w:themeColor="text1"/>
          <w:rtl/>
        </w:rPr>
        <w:t xml:space="preserve">, בשל האפשרות כי </w:t>
      </w:r>
      <w:r w:rsidRPr="002A2A4E">
        <w:rPr>
          <w:rFonts w:hint="cs"/>
          <w:color w:val="000000" w:themeColor="text1"/>
          <w:rtl/>
        </w:rPr>
        <w:t>הוא י</w:t>
      </w:r>
      <w:r w:rsidRPr="002A2A4E">
        <w:rPr>
          <w:color w:val="000000" w:themeColor="text1"/>
          <w:rtl/>
        </w:rPr>
        <w:t>חייב הצטרפות מדינות נוספות למערכת ובשל אי-התאמת</w:t>
      </w:r>
      <w:r w:rsidRPr="002A2A4E">
        <w:rPr>
          <w:rFonts w:hint="cs"/>
          <w:color w:val="000000" w:themeColor="text1"/>
          <w:rtl/>
        </w:rPr>
        <w:t>ו</w:t>
      </w:r>
      <w:r w:rsidRPr="002A2A4E">
        <w:rPr>
          <w:color w:val="000000" w:themeColor="text1"/>
          <w:rtl/>
        </w:rPr>
        <w:t xml:space="preserve"> למאפייני המשק הישראלי, שכן ה</w:t>
      </w:r>
      <w:r w:rsidRPr="002A2A4E">
        <w:rPr>
          <w:rFonts w:hint="cs"/>
          <w:color w:val="000000" w:themeColor="text1"/>
          <w:rtl/>
        </w:rPr>
        <w:t>וא</w:t>
      </w:r>
      <w:r w:rsidRPr="002A2A4E">
        <w:rPr>
          <w:color w:val="000000" w:themeColor="text1"/>
          <w:rtl/>
        </w:rPr>
        <w:t xml:space="preserve"> מכסה רק חברות ומפעלים עתירי פליטות החורגים מהמכסה המוגדרת, וישראל אינה מאופיינת </w:t>
      </w:r>
      <w:r w:rsidRPr="002A2A4E">
        <w:rPr>
          <w:color w:val="000000" w:themeColor="text1"/>
          <w:rtl/>
        </w:rPr>
        <w:t>ככזו</w:t>
      </w:r>
      <w:r w:rsidRPr="002A2A4E">
        <w:rPr>
          <w:rFonts w:hint="cs"/>
          <w:color w:val="000000" w:themeColor="text1"/>
          <w:rtl/>
        </w:rPr>
        <w:t xml:space="preserve">. ראו: המשרד </w:t>
      </w:r>
      <w:r w:rsidRPr="002A2A4E">
        <w:rPr>
          <w:rFonts w:hint="cs"/>
          <w:color w:val="000000" w:themeColor="text1"/>
          <w:rtl/>
        </w:rPr>
        <w:t>להג"ס</w:t>
      </w:r>
      <w:r w:rsidRPr="002A2A4E">
        <w:rPr>
          <w:rFonts w:hint="cs"/>
          <w:color w:val="000000" w:themeColor="text1"/>
          <w:rtl/>
        </w:rPr>
        <w:t>, מסמך מדיניות בנושא "תמחור פחמן בישראל" (אוגוסט 2021), עמ' 63.</w:t>
      </w:r>
    </w:p>
  </w:footnote>
  <w:footnote w:id="43">
    <w:p w:rsidR="00F20E3F" w:rsidRPr="002A2A4E" w:rsidP="00F271A9" w14:paraId="583F0387" w14:textId="77777777">
      <w:pPr>
        <w:pStyle w:val="7341"/>
        <w:rPr>
          <w:color w:val="000000" w:themeColor="text1"/>
          <w:rtl/>
        </w:rPr>
      </w:pPr>
      <w:r w:rsidRPr="002A2A4E">
        <w:rPr>
          <w:rStyle w:val="FootnoteReference2"/>
          <w:color w:val="000000" w:themeColor="text1"/>
          <w:vertAlign w:val="baseline"/>
        </w:rPr>
        <w:footnoteRef/>
      </w:r>
      <w:r w:rsidRPr="002A2A4E">
        <w:rPr>
          <w:color w:val="000000" w:themeColor="text1"/>
          <w:rtl/>
        </w:rPr>
        <w:t xml:space="preserve"> </w:t>
      </w:r>
      <w:r w:rsidRPr="002A2A4E">
        <w:rPr>
          <w:color w:val="000000" w:themeColor="text1"/>
          <w:rtl/>
        </w:rPr>
        <w:tab/>
        <w:t>ניתוח חטיבת המחקר של בנק ישראל: המאבק העולמי בהתחממות הגלובלית והשלכותיו על ישראל</w:t>
      </w:r>
      <w:r w:rsidRPr="002A2A4E">
        <w:rPr>
          <w:rFonts w:hint="cs"/>
          <w:color w:val="000000" w:themeColor="text1"/>
          <w:rtl/>
        </w:rPr>
        <w:t xml:space="preserve">, בנק ישראל (יוני 2020). </w:t>
      </w:r>
    </w:p>
  </w:footnote>
  <w:footnote w:id="44">
    <w:p w:rsidR="00F20E3F" w:rsidRPr="002A2A4E" w:rsidP="00F271A9" w14:paraId="04772E82" w14:textId="77777777">
      <w:pPr>
        <w:pStyle w:val="7341"/>
        <w:rPr>
          <w:color w:val="000000" w:themeColor="text1"/>
          <w:rtl/>
        </w:rPr>
      </w:pPr>
      <w:r w:rsidRPr="002A2A4E">
        <w:rPr>
          <w:rStyle w:val="FootnoteReference2"/>
          <w:color w:val="000000" w:themeColor="text1"/>
          <w:vertAlign w:val="baseline"/>
        </w:rPr>
        <w:footnoteRef/>
      </w:r>
      <w:r w:rsidRPr="002A2A4E">
        <w:rPr>
          <w:color w:val="000000" w:themeColor="text1"/>
          <w:rtl/>
        </w:rPr>
        <w:t xml:space="preserve"> </w:t>
      </w:r>
      <w:r w:rsidRPr="002A2A4E">
        <w:rPr>
          <w:color w:val="000000" w:themeColor="text1"/>
          <w:rtl/>
        </w:rPr>
        <w:tab/>
      </w:r>
      <w:r w:rsidRPr="002A2A4E">
        <w:rPr>
          <w:rFonts w:hint="cs"/>
          <w:color w:val="000000" w:themeColor="text1"/>
          <w:rtl/>
        </w:rPr>
        <w:t xml:space="preserve">מתוך מסמך </w:t>
      </w:r>
      <w:r w:rsidRPr="002A2A4E">
        <w:rPr>
          <w:color w:val="000000" w:themeColor="text1"/>
        </w:rPr>
        <w:t>Fiscal Monitor - How to Mitigate Climate Change</w:t>
      </w:r>
      <w:r w:rsidRPr="002A2A4E">
        <w:rPr>
          <w:rFonts w:hint="cs"/>
          <w:color w:val="000000" w:themeColor="text1"/>
          <w:rtl/>
        </w:rPr>
        <w:t>, מסמך סקירה חצי-שנתי של ה-</w:t>
      </w:r>
      <w:r w:rsidRPr="002A2A4E">
        <w:rPr>
          <w:color w:val="000000" w:themeColor="text1"/>
        </w:rPr>
        <w:t>IMF</w:t>
      </w:r>
      <w:r w:rsidRPr="002A2A4E">
        <w:rPr>
          <w:rFonts w:hint="cs"/>
          <w:color w:val="000000" w:themeColor="text1"/>
          <w:rtl/>
        </w:rPr>
        <w:t xml:space="preserve"> (אוקטובר 2019).</w:t>
      </w:r>
    </w:p>
  </w:footnote>
  <w:footnote w:id="45">
    <w:p w:rsidR="00F20E3F" w:rsidRPr="002A2A4E" w:rsidP="00F271A9" w14:paraId="6B3FEA3F" w14:textId="77777777">
      <w:pPr>
        <w:pStyle w:val="7341"/>
        <w:rPr>
          <w:color w:val="000000" w:themeColor="text1"/>
          <w:rtl/>
        </w:rPr>
      </w:pPr>
      <w:r w:rsidRPr="002A2A4E">
        <w:rPr>
          <w:rStyle w:val="FootnoteReference2"/>
          <w:color w:val="000000" w:themeColor="text1"/>
          <w:vertAlign w:val="baseline"/>
        </w:rPr>
        <w:footnoteRef/>
      </w:r>
      <w:r w:rsidRPr="002A2A4E">
        <w:rPr>
          <w:color w:val="000000" w:themeColor="text1"/>
          <w:rtl/>
        </w:rPr>
        <w:t xml:space="preserve"> </w:t>
      </w:r>
      <w:r w:rsidRPr="002A2A4E">
        <w:rPr>
          <w:color w:val="000000" w:themeColor="text1"/>
          <w:rtl/>
        </w:rPr>
        <w:tab/>
      </w:r>
      <w:r w:rsidRPr="002A2A4E">
        <w:rPr>
          <w:rFonts w:hint="cs"/>
          <w:color w:val="000000" w:themeColor="text1"/>
          <w:rtl/>
        </w:rPr>
        <w:t>נתוני משרד האוצר.</w:t>
      </w:r>
    </w:p>
  </w:footnote>
  <w:footnote w:id="46">
    <w:p w:rsidR="00F20E3F" w:rsidRPr="002A2A4E" w:rsidP="00F271A9" w14:paraId="0E0A557F" w14:textId="77777777">
      <w:pPr>
        <w:pStyle w:val="7341"/>
        <w:spacing w:after="0"/>
        <w:rPr>
          <w:color w:val="000000" w:themeColor="text1"/>
          <w:rtl/>
        </w:rPr>
      </w:pPr>
      <w:r w:rsidRPr="002A2A4E">
        <w:rPr>
          <w:rStyle w:val="FootnoteReference2"/>
          <w:color w:val="000000" w:themeColor="text1"/>
          <w:vertAlign w:val="baseline"/>
        </w:rPr>
        <w:footnoteRef/>
      </w:r>
      <w:r w:rsidRPr="002A2A4E">
        <w:rPr>
          <w:color w:val="000000" w:themeColor="text1"/>
          <w:rtl/>
        </w:rPr>
        <w:t xml:space="preserve"> </w:t>
      </w:r>
      <w:r w:rsidRPr="002A2A4E">
        <w:rPr>
          <w:color w:val="000000" w:themeColor="text1"/>
          <w:rtl/>
        </w:rPr>
        <w:tab/>
      </w:r>
      <w:r w:rsidRPr="002A2A4E">
        <w:rPr>
          <w:rFonts w:hint="cs"/>
          <w:color w:val="000000" w:themeColor="text1"/>
          <w:rtl/>
        </w:rPr>
        <w:t>ראו את הסקירה הכלכלית של ארגון ה-</w:t>
      </w:r>
      <w:r w:rsidRPr="002A2A4E">
        <w:rPr>
          <w:rFonts w:hint="cs"/>
          <w:color w:val="000000" w:themeColor="text1"/>
        </w:rPr>
        <w:t>O</w:t>
      </w:r>
      <w:r w:rsidRPr="002A2A4E">
        <w:rPr>
          <w:color w:val="000000" w:themeColor="text1"/>
        </w:rPr>
        <w:t>ECD</w:t>
      </w:r>
      <w:r w:rsidRPr="002A2A4E">
        <w:rPr>
          <w:rFonts w:hint="cs"/>
          <w:color w:val="000000" w:themeColor="text1"/>
          <w:rtl/>
        </w:rPr>
        <w:t xml:space="preserve"> על ישראל:</w:t>
      </w:r>
    </w:p>
    <w:p w:rsidR="00F20E3F" w:rsidRPr="002A2A4E" w:rsidP="00F271A9" w14:paraId="3D7E9E1D" w14:textId="77777777">
      <w:pPr>
        <w:pStyle w:val="7341"/>
        <w:bidi w:val="0"/>
        <w:rPr>
          <w:color w:val="000000" w:themeColor="text1"/>
        </w:rPr>
      </w:pPr>
      <w:r w:rsidRPr="002A2A4E">
        <w:rPr>
          <w:color w:val="000000" w:themeColor="text1"/>
        </w:rPr>
        <w:t>OECD (2018), OECD Economic Surveys: Israel 2018, OECD Publishing, Paris, pp. 11, 59.</w:t>
      </w:r>
    </w:p>
  </w:footnote>
  <w:footnote w:id="47">
    <w:p w:rsidR="00F20E3F" w:rsidRPr="002A2A4E" w:rsidP="00F271A9" w14:paraId="3D84821F" w14:textId="77777777">
      <w:pPr>
        <w:pStyle w:val="7341"/>
        <w:spacing w:after="0"/>
        <w:rPr>
          <w:color w:val="000000" w:themeColor="text1"/>
          <w:rtl/>
        </w:rPr>
      </w:pPr>
      <w:r w:rsidRPr="002A2A4E">
        <w:rPr>
          <w:rStyle w:val="FootnoteReference2"/>
          <w:color w:val="000000" w:themeColor="text1"/>
          <w:vertAlign w:val="baseline"/>
        </w:rPr>
        <w:footnoteRef/>
      </w:r>
      <w:r w:rsidRPr="002A2A4E">
        <w:rPr>
          <w:color w:val="000000" w:themeColor="text1"/>
          <w:rtl/>
        </w:rPr>
        <w:t xml:space="preserve"> </w:t>
      </w:r>
      <w:r w:rsidRPr="002A2A4E">
        <w:rPr>
          <w:color w:val="000000" w:themeColor="text1"/>
          <w:rtl/>
        </w:rPr>
        <w:tab/>
      </w:r>
      <w:r w:rsidRPr="002A2A4E">
        <w:rPr>
          <w:rFonts w:hint="cs"/>
          <w:color w:val="000000" w:themeColor="text1"/>
          <w:rtl/>
        </w:rPr>
        <w:t>ההמלצה הייתה להשלים את החלת מס הפחמן בתמחור המשקף נכונה את שיעור הפחמן בדלק. סקר ביצועים סביבתיים של ה-</w:t>
      </w:r>
      <w:r w:rsidRPr="002A2A4E">
        <w:rPr>
          <w:rFonts w:hint="cs"/>
          <w:color w:val="000000" w:themeColor="text1"/>
        </w:rPr>
        <w:t>OECD</w:t>
      </w:r>
      <w:r w:rsidRPr="002A2A4E">
        <w:rPr>
          <w:rFonts w:hint="cs"/>
          <w:color w:val="000000" w:themeColor="text1"/>
          <w:rtl/>
        </w:rPr>
        <w:t xml:space="preserve"> על ישראל:</w:t>
      </w:r>
    </w:p>
    <w:p w:rsidR="00F20E3F" w:rsidRPr="002A2A4E" w:rsidP="00F271A9" w14:paraId="1F80B2F5" w14:textId="5BDBED5C">
      <w:pPr>
        <w:pStyle w:val="7341"/>
        <w:bidi w:val="0"/>
        <w:ind w:left="0" w:right="397" w:firstLine="0"/>
        <w:rPr>
          <w:color w:val="000000" w:themeColor="text1"/>
          <w:rtl/>
        </w:rPr>
      </w:pPr>
      <w:r w:rsidRPr="002A2A4E">
        <w:rPr>
          <w:color w:val="000000" w:themeColor="text1"/>
        </w:rPr>
        <w:t xml:space="preserve">OECD Environmental Performance Reviews: Israel 2023, OECD Environmental Performance Reviews, </w:t>
      </w:r>
      <w:r w:rsidR="000F2903">
        <w:rPr>
          <w:rFonts w:hint="cs"/>
          <w:color w:val="000000" w:themeColor="text1"/>
          <w:rtl/>
        </w:rPr>
        <w:t>2023</w:t>
      </w:r>
      <w:r w:rsidRPr="002A2A4E">
        <w:rPr>
          <w:color w:val="000000" w:themeColor="text1"/>
        </w:rPr>
        <w:t xml:space="preserve">, OECD, pp. 23. Publishing, Paris, </w:t>
      </w:r>
      <w:hyperlink r:id="rId12" w:history="1">
        <w:r w:rsidRPr="002A2A4E">
          <w:rPr>
            <w:rStyle w:val="7334"/>
            <w:color w:val="000000" w:themeColor="text1"/>
            <w:u w:val="none"/>
          </w:rPr>
          <w:t>https://doi.org/10.1787/0175ae95-en</w:t>
        </w:r>
      </w:hyperlink>
      <w:r w:rsidRPr="002A2A4E">
        <w:rPr>
          <w:rFonts w:hint="cs"/>
          <w:color w:val="000000" w:themeColor="text1"/>
          <w:rtl/>
        </w:rPr>
        <w:t xml:space="preserve"> </w:t>
      </w:r>
    </w:p>
  </w:footnote>
  <w:footnote w:id="48">
    <w:p w:rsidR="0080333A" w:rsidRPr="002A2A4E" w:rsidP="0080333A" w14:paraId="5CE151BC" w14:textId="2DFD3E2C">
      <w:pPr>
        <w:pStyle w:val="7341"/>
        <w:rPr>
          <w:color w:val="000000" w:themeColor="text1"/>
          <w:rtl/>
        </w:rPr>
      </w:pPr>
      <w:r w:rsidRPr="002A2A4E">
        <w:rPr>
          <w:color w:val="000000" w:themeColor="text1"/>
        </w:rPr>
        <w:footnoteRef/>
      </w:r>
      <w:r w:rsidRPr="002A2A4E">
        <w:rPr>
          <w:color w:val="000000" w:themeColor="text1"/>
          <w:rtl/>
        </w:rPr>
        <w:t xml:space="preserve"> </w:t>
      </w:r>
      <w:r w:rsidRPr="002A2A4E">
        <w:rPr>
          <w:color w:val="000000" w:themeColor="text1"/>
          <w:rtl/>
        </w:rPr>
        <w:tab/>
      </w:r>
      <w:r w:rsidRPr="00F04910" w:rsidR="00F04910">
        <w:rPr>
          <w:color w:val="000000" w:themeColor="text1"/>
          <w:rtl/>
        </w:rPr>
        <w:t>ראו למשל:</w:t>
      </w:r>
      <w:r w:rsidRPr="00F04910" w:rsidR="00F04910">
        <w:rPr>
          <w:color w:val="000000" w:themeColor="text1"/>
        </w:rPr>
        <w:t xml:space="preserve">Analysis of the Impact of Economic Incentives to Control Greenhouse Gas Emissions within the Framework of a General Equilibrium Model of the Israeli Economy, </w:t>
      </w:r>
      <w:r w:rsidRPr="00F04910" w:rsidR="00F04910">
        <w:rPr>
          <w:color w:val="000000" w:themeColor="text1"/>
        </w:rPr>
        <w:t>Ruslana</w:t>
      </w:r>
      <w:r w:rsidRPr="00F04910" w:rsidR="00F04910">
        <w:rPr>
          <w:color w:val="000000" w:themeColor="text1"/>
        </w:rPr>
        <w:t xml:space="preserve"> Rachel </w:t>
      </w:r>
      <w:r w:rsidRPr="00F04910" w:rsidR="00F04910">
        <w:rPr>
          <w:color w:val="000000" w:themeColor="text1"/>
        </w:rPr>
        <w:t>Palatnik</w:t>
      </w:r>
      <w:r w:rsidRPr="00F04910" w:rsidR="00F04910">
        <w:rPr>
          <w:color w:val="000000" w:themeColor="text1"/>
        </w:rPr>
        <w:t xml:space="preserve"> and Mordechai, The Economic Quarterly, Vol. 55, No. 4 545-573 .pp ,(December, 2008</w:t>
      </w:r>
      <w:r w:rsidRPr="00F04910" w:rsidR="00F04910">
        <w:rPr>
          <w:color w:val="000000" w:themeColor="text1"/>
          <w:rtl/>
        </w:rPr>
        <w:t>).</w:t>
      </w:r>
    </w:p>
  </w:footnote>
  <w:footnote w:id="49">
    <w:p w:rsidR="0080333A" w:rsidRPr="002A2A4E" w:rsidP="0080333A" w14:paraId="4B0970F6" w14:textId="77777777">
      <w:pPr>
        <w:pStyle w:val="7341"/>
        <w:rPr>
          <w:color w:val="000000" w:themeColor="text1"/>
        </w:rPr>
      </w:pPr>
      <w:r w:rsidRPr="002A2A4E">
        <w:rPr>
          <w:color w:val="000000" w:themeColor="text1"/>
        </w:rPr>
        <w:footnoteRef/>
      </w:r>
      <w:r w:rsidRPr="002A2A4E">
        <w:rPr>
          <w:color w:val="000000" w:themeColor="text1"/>
          <w:rtl/>
        </w:rPr>
        <w:t xml:space="preserve"> </w:t>
      </w:r>
      <w:r w:rsidRPr="002A2A4E">
        <w:rPr>
          <w:color w:val="000000" w:themeColor="text1"/>
          <w:rtl/>
        </w:rPr>
        <w:tab/>
      </w:r>
      <w:r w:rsidRPr="002A2A4E">
        <w:rPr>
          <w:rFonts w:hint="cs"/>
          <w:color w:val="000000" w:themeColor="text1"/>
          <w:rtl/>
        </w:rPr>
        <w:t>החלטת ממשלה 5327 "</w:t>
      </w:r>
      <w:r w:rsidRPr="002A2A4E">
        <w:rPr>
          <w:color w:val="000000" w:themeColor="text1"/>
          <w:rtl/>
        </w:rPr>
        <w:t>הפחתת התלות הישראלית בנפט בתחבור</w:t>
      </w:r>
      <w:r w:rsidRPr="002A2A4E">
        <w:rPr>
          <w:rFonts w:hint="cs"/>
          <w:color w:val="000000" w:themeColor="text1"/>
          <w:rtl/>
        </w:rPr>
        <w:t>ה", מ-13.1.2013.</w:t>
      </w:r>
    </w:p>
  </w:footnote>
  <w:footnote w:id="50">
    <w:p w:rsidR="0080333A" w:rsidRPr="002A2A4E" w:rsidP="0080333A" w14:paraId="443F7B23" w14:textId="77777777">
      <w:pPr>
        <w:pStyle w:val="7341"/>
        <w:jc w:val="left"/>
        <w:rPr>
          <w:color w:val="000000" w:themeColor="text1"/>
          <w:rtl/>
        </w:rPr>
      </w:pPr>
      <w:r w:rsidRPr="002A2A4E">
        <w:rPr>
          <w:color w:val="000000" w:themeColor="text1"/>
        </w:rPr>
        <w:footnoteRef/>
      </w:r>
      <w:r w:rsidRPr="002A2A4E">
        <w:rPr>
          <w:color w:val="000000" w:themeColor="text1"/>
          <w:rtl/>
        </w:rPr>
        <w:t xml:space="preserve"> </w:t>
      </w:r>
      <w:r w:rsidRPr="002A2A4E">
        <w:rPr>
          <w:color w:val="000000" w:themeColor="text1"/>
          <w:rtl/>
        </w:rPr>
        <w:tab/>
      </w:r>
      <w:r w:rsidRPr="002A2A4E">
        <w:rPr>
          <w:rFonts w:hint="cs"/>
          <w:color w:val="000000" w:themeColor="text1"/>
          <w:rtl/>
        </w:rPr>
        <w:t xml:space="preserve">ראו: </w:t>
      </w:r>
      <w:hyperlink r:id="rId13" w:history="1">
        <w:r w:rsidRPr="002A2A4E">
          <w:rPr>
            <w:rStyle w:val="7334"/>
            <w:color w:val="000000" w:themeColor="text1"/>
            <w:u w:val="none"/>
          </w:rPr>
          <w:t>https://unfccc.int/process-and-meetings/the-paris-agreement/the-paris-agreement/key-aspects-of-the-paris-agreement</w:t>
        </w:r>
      </w:hyperlink>
      <w:r w:rsidRPr="002A2A4E">
        <w:rPr>
          <w:rStyle w:val="7334"/>
          <w:color w:val="000000" w:themeColor="text1"/>
          <w:u w:val="none"/>
        </w:rPr>
        <w:t xml:space="preserve"> (last visit: January, 2021).</w:t>
      </w:r>
      <w:r w:rsidRPr="002A2A4E">
        <w:rPr>
          <w:color w:val="000000" w:themeColor="text1"/>
          <w:rtl/>
        </w:rPr>
        <w:br/>
      </w:r>
      <w:r w:rsidRPr="002A2A4E">
        <w:rPr>
          <w:rFonts w:hint="cs"/>
          <w:color w:val="000000" w:themeColor="text1"/>
          <w:rtl/>
        </w:rPr>
        <w:t>הסכם פריז אושר על ידי מדינת ישראל בשנת 2016 במסגרת החלטה ממשלה מס. 2041 בתאריך 14.11.2016.</w:t>
      </w:r>
    </w:p>
  </w:footnote>
  <w:footnote w:id="51">
    <w:p w:rsidR="0080333A" w:rsidRPr="002A2A4E" w:rsidP="0080333A" w14:paraId="5263CB86" w14:textId="77777777">
      <w:pPr>
        <w:pStyle w:val="7341"/>
        <w:rPr>
          <w:color w:val="000000" w:themeColor="text1"/>
        </w:rPr>
      </w:pPr>
      <w:r w:rsidRPr="002A2A4E">
        <w:rPr>
          <w:color w:val="000000" w:themeColor="text1"/>
        </w:rPr>
        <w:footnoteRef/>
      </w:r>
      <w:r w:rsidRPr="002A2A4E">
        <w:rPr>
          <w:color w:val="000000" w:themeColor="text1"/>
          <w:rtl/>
        </w:rPr>
        <w:t xml:space="preserve"> </w:t>
      </w:r>
      <w:r w:rsidRPr="002A2A4E">
        <w:rPr>
          <w:color w:val="000000" w:themeColor="text1"/>
          <w:rtl/>
        </w:rPr>
        <w:tab/>
      </w:r>
      <w:r w:rsidRPr="002A2A4E">
        <w:rPr>
          <w:rFonts w:hint="cs"/>
          <w:color w:val="000000" w:themeColor="text1"/>
          <w:rtl/>
        </w:rPr>
        <w:t xml:space="preserve">ראו: </w:t>
      </w:r>
      <w:r w:rsidRPr="002A2A4E">
        <w:rPr>
          <w:color w:val="000000" w:themeColor="text1"/>
        </w:rPr>
        <w:t>OECD, Accelerating climate action in Israel: Refocusing policies in the energy, residential and transport sector (2019);</w:t>
      </w:r>
      <w:r w:rsidRPr="002A2A4E">
        <w:rPr>
          <w:color w:val="000000" w:themeColor="text1"/>
          <w:rtl/>
        </w:rPr>
        <w:br/>
      </w:r>
      <w:r w:rsidRPr="002A2A4E">
        <w:rPr>
          <w:color w:val="000000" w:themeColor="text1"/>
        </w:rPr>
        <w:t xml:space="preserve">OECD, Economic Surveys: Israel 2020 (2020); </w:t>
      </w:r>
      <w:hyperlink r:id="rId14" w:history="1">
        <w:r w:rsidRPr="002A2A4E">
          <w:rPr>
            <w:rStyle w:val="7334"/>
            <w:color w:val="000000" w:themeColor="text1"/>
            <w:u w:val="none"/>
          </w:rPr>
          <w:t>https://www.oecd-ilibrary.org/economics/oecd-economic-surveys-israel-2020_d6a7d907-en</w:t>
        </w:r>
      </w:hyperlink>
      <w:r w:rsidRPr="002A2A4E">
        <w:rPr>
          <w:rStyle w:val="7334"/>
          <w:color w:val="000000" w:themeColor="text1"/>
          <w:u w:val="none"/>
        </w:rPr>
        <w:t xml:space="preserve"> (last visit, January 2021).</w:t>
      </w:r>
    </w:p>
  </w:footnote>
  <w:footnote w:id="52">
    <w:p w:rsidR="0080333A" w:rsidRPr="002A2A4E" w:rsidP="0080333A" w14:paraId="5983BD67" w14:textId="77777777">
      <w:pPr>
        <w:pStyle w:val="7341"/>
        <w:rPr>
          <w:color w:val="000000" w:themeColor="text1"/>
          <w:rtl/>
        </w:rPr>
      </w:pPr>
      <w:r w:rsidRPr="002A2A4E">
        <w:rPr>
          <w:color w:val="000000" w:themeColor="text1"/>
        </w:rPr>
        <w:footnoteRef/>
      </w:r>
      <w:r w:rsidRPr="002A2A4E">
        <w:rPr>
          <w:color w:val="000000" w:themeColor="text1"/>
        </w:rPr>
        <w:t xml:space="preserve"> </w:t>
      </w:r>
      <w:r w:rsidRPr="002A2A4E">
        <w:rPr>
          <w:color w:val="000000" w:themeColor="text1"/>
          <w:rtl/>
        </w:rPr>
        <w:tab/>
      </w:r>
      <w:r w:rsidRPr="002A2A4E">
        <w:rPr>
          <w:rFonts w:hint="eastAsia"/>
          <w:color w:val="000000" w:themeColor="text1"/>
          <w:rtl/>
        </w:rPr>
        <w:t>בנק</w:t>
      </w:r>
      <w:r w:rsidRPr="002A2A4E">
        <w:rPr>
          <w:color w:val="000000" w:themeColor="text1"/>
          <w:rtl/>
        </w:rPr>
        <w:t xml:space="preserve"> ישראל, 2020, </w:t>
      </w:r>
      <w:hyperlink r:id="rId11" w:history="1">
        <w:r w:rsidRPr="002A2A4E">
          <w:rPr>
            <w:rStyle w:val="7334"/>
            <w:color w:val="000000" w:themeColor="text1"/>
            <w:u w:val="none"/>
            <w:rtl/>
          </w:rPr>
          <w:t>מחקר חדש בבנק ישראל</w:t>
        </w:r>
      </w:hyperlink>
      <w:r w:rsidRPr="002A2A4E">
        <w:rPr>
          <w:rStyle w:val="7334"/>
          <w:color w:val="000000" w:themeColor="text1"/>
          <w:u w:val="none"/>
          <w:rtl/>
        </w:rPr>
        <w:t>:</w:t>
      </w:r>
      <w:r w:rsidRPr="002A2A4E">
        <w:rPr>
          <w:color w:val="000000" w:themeColor="text1"/>
          <w:rtl/>
        </w:rPr>
        <w:t xml:space="preserve"> המאבק העולמי בהתחממות הגלובלית והשלכותיו על ישראל, הודעה לעיתונות</w:t>
      </w:r>
      <w:r w:rsidRPr="002A2A4E">
        <w:rPr>
          <w:rFonts w:hint="cs"/>
          <w:color w:val="000000" w:themeColor="text1"/>
          <w:rtl/>
        </w:rPr>
        <w:t xml:space="preserve"> (10 ביוני 2020).</w:t>
      </w:r>
    </w:p>
  </w:footnote>
  <w:footnote w:id="53">
    <w:p w:rsidR="0080333A" w:rsidRPr="002A2A4E" w:rsidP="0080333A" w14:paraId="2E05FD93" w14:textId="77777777">
      <w:pPr>
        <w:pStyle w:val="7341"/>
        <w:rPr>
          <w:color w:val="000000" w:themeColor="text1"/>
          <w:rtl/>
        </w:rPr>
      </w:pPr>
      <w:r w:rsidRPr="002A2A4E">
        <w:rPr>
          <w:color w:val="000000" w:themeColor="text1"/>
        </w:rPr>
        <w:footnoteRef/>
      </w:r>
      <w:r w:rsidRPr="002A2A4E">
        <w:rPr>
          <w:color w:val="000000" w:themeColor="text1"/>
          <w:rtl/>
        </w:rPr>
        <w:t xml:space="preserve"> </w:t>
      </w:r>
      <w:r w:rsidRPr="002A2A4E">
        <w:rPr>
          <w:color w:val="000000" w:themeColor="text1"/>
          <w:rtl/>
        </w:rPr>
        <w:tab/>
      </w:r>
      <w:r w:rsidRPr="002A2A4E">
        <w:rPr>
          <w:rFonts w:hint="cs"/>
          <w:color w:val="000000" w:themeColor="text1"/>
          <w:rtl/>
        </w:rPr>
        <w:t xml:space="preserve">המשרד </w:t>
      </w:r>
      <w:r w:rsidRPr="002A2A4E">
        <w:rPr>
          <w:rFonts w:hint="cs"/>
          <w:color w:val="000000" w:themeColor="text1"/>
          <w:rtl/>
        </w:rPr>
        <w:t>להג"ס</w:t>
      </w:r>
      <w:r w:rsidRPr="002A2A4E">
        <w:rPr>
          <w:rStyle w:val="7334"/>
          <w:rFonts w:hint="cs"/>
          <w:color w:val="000000" w:themeColor="text1"/>
          <w:u w:val="none"/>
          <w:rtl/>
        </w:rPr>
        <w:t>:</w:t>
      </w:r>
      <w:r w:rsidRPr="002A2A4E">
        <w:rPr>
          <w:rStyle w:val="7334"/>
          <w:rFonts w:hint="cs"/>
          <w:color w:val="000000" w:themeColor="text1"/>
          <w:u w:val="none"/>
        </w:rPr>
        <w:t xml:space="preserve"> </w:t>
      </w:r>
      <w:hyperlink r:id="rId15" w:history="1">
        <w:r w:rsidRPr="002A2A4E">
          <w:rPr>
            <w:rStyle w:val="7334"/>
            <w:color w:val="000000" w:themeColor="text1"/>
            <w:u w:val="none"/>
            <w:rtl/>
          </w:rPr>
          <w:t>הספר הירוק</w:t>
        </w:r>
      </w:hyperlink>
      <w:r w:rsidRPr="002A2A4E">
        <w:rPr>
          <w:rStyle w:val="7334"/>
          <w:color w:val="000000" w:themeColor="text1"/>
          <w:u w:val="none"/>
          <w:rtl/>
        </w:rPr>
        <w:t>:</w:t>
      </w:r>
      <w:r w:rsidRPr="002A2A4E">
        <w:rPr>
          <w:color w:val="000000" w:themeColor="text1"/>
          <w:rtl/>
        </w:rPr>
        <w:t xml:space="preserve"> הערכה ומדידה של עלויות סביבתיות – עלויות חיצוניות של מזהמי אוויר וגזי חממה</w:t>
      </w:r>
      <w:r w:rsidRPr="002A2A4E">
        <w:rPr>
          <w:rFonts w:hint="cs"/>
          <w:color w:val="000000" w:themeColor="text1"/>
          <w:rtl/>
        </w:rPr>
        <w:t xml:space="preserve"> (מעודכן: אפריל 2023); </w:t>
      </w:r>
      <w:hyperlink r:id="rId16" w:history="1">
        <w:r w:rsidRPr="002A2A4E">
          <w:rPr>
            <w:rStyle w:val="7334"/>
            <w:rFonts w:hint="cs"/>
            <w:color w:val="000000" w:themeColor="text1"/>
            <w:u w:val="none"/>
            <w:rtl/>
          </w:rPr>
          <w:t>מסמך מדיניות תמחור פחמן</w:t>
        </w:r>
      </w:hyperlink>
      <w:r w:rsidRPr="002A2A4E">
        <w:rPr>
          <w:rStyle w:val="7334"/>
          <w:rFonts w:hint="cs"/>
          <w:color w:val="000000" w:themeColor="text1"/>
          <w:u w:val="none"/>
          <w:rtl/>
        </w:rPr>
        <w:t xml:space="preserve"> </w:t>
      </w:r>
      <w:r w:rsidRPr="002A2A4E">
        <w:rPr>
          <w:rFonts w:hint="cs"/>
          <w:color w:val="000000" w:themeColor="text1"/>
          <w:rtl/>
        </w:rPr>
        <w:t>(אוגוסט 2021).</w:t>
      </w:r>
    </w:p>
  </w:footnote>
  <w:footnote w:id="54">
    <w:p w:rsidR="0080333A" w:rsidRPr="002A2A4E" w:rsidP="0080333A" w14:paraId="36DDAC1F" w14:textId="77777777">
      <w:pPr>
        <w:pStyle w:val="7341"/>
        <w:rPr>
          <w:color w:val="000000" w:themeColor="text1"/>
          <w:highlight w:val="yellow"/>
        </w:rPr>
      </w:pPr>
      <w:r w:rsidRPr="002A2A4E">
        <w:rPr>
          <w:color w:val="000000" w:themeColor="text1"/>
        </w:rPr>
        <w:footnoteRef/>
      </w:r>
      <w:r w:rsidRPr="002A2A4E">
        <w:rPr>
          <w:color w:val="000000" w:themeColor="text1"/>
          <w:rtl/>
        </w:rPr>
        <w:t xml:space="preserve"> </w:t>
      </w:r>
      <w:r w:rsidRPr="002A2A4E">
        <w:rPr>
          <w:color w:val="000000" w:themeColor="text1"/>
          <w:rtl/>
        </w:rPr>
        <w:tab/>
      </w:r>
      <w:r w:rsidRPr="002A2A4E">
        <w:rPr>
          <w:rFonts w:hint="cs"/>
          <w:color w:val="000000" w:themeColor="text1"/>
          <w:rtl/>
        </w:rPr>
        <w:t xml:space="preserve">החלטת ממשלה 286 בנושא </w:t>
      </w:r>
      <w:hyperlink r:id="rId17" w:history="1">
        <w:r w:rsidRPr="002A2A4E">
          <w:rPr>
            <w:rStyle w:val="7334"/>
            <w:color w:val="000000" w:themeColor="text1"/>
            <w:u w:val="none"/>
            <w:rtl/>
          </w:rPr>
          <w:t>תמחור פליטות גזי חממה</w:t>
        </w:r>
      </w:hyperlink>
      <w:r w:rsidRPr="002A2A4E">
        <w:rPr>
          <w:rFonts w:hint="cs"/>
          <w:color w:val="000000" w:themeColor="text1"/>
          <w:rtl/>
        </w:rPr>
        <w:t xml:space="preserve"> (אוגוסט 2021).</w:t>
      </w:r>
    </w:p>
  </w:footnote>
  <w:footnote w:id="55">
    <w:p w:rsidR="00F20E3F" w:rsidRPr="002A2A4E" w:rsidP="00F271A9" w14:paraId="605C5617" w14:textId="77777777">
      <w:pPr>
        <w:pStyle w:val="7341"/>
        <w:rPr>
          <w:color w:val="000000" w:themeColor="text1"/>
          <w:rtl/>
        </w:rPr>
      </w:pPr>
      <w:r w:rsidRPr="002A2A4E">
        <w:rPr>
          <w:rStyle w:val="FootnoteReference2"/>
          <w:color w:val="000000" w:themeColor="text1"/>
          <w:vertAlign w:val="baseline"/>
        </w:rPr>
        <w:footnoteRef/>
      </w:r>
      <w:r w:rsidRPr="002A2A4E">
        <w:rPr>
          <w:color w:val="000000" w:themeColor="text1"/>
          <w:rtl/>
        </w:rPr>
        <w:t xml:space="preserve"> </w:t>
      </w:r>
      <w:r w:rsidRPr="002A2A4E">
        <w:rPr>
          <w:color w:val="000000" w:themeColor="text1"/>
          <w:rtl/>
        </w:rPr>
        <w:tab/>
      </w:r>
      <w:r w:rsidRPr="002A2A4E">
        <w:rPr>
          <w:rFonts w:hint="eastAsia"/>
          <w:color w:val="000000" w:themeColor="text1"/>
          <w:rtl/>
        </w:rPr>
        <w:t>שם</w:t>
      </w:r>
      <w:r w:rsidRPr="002A2A4E">
        <w:rPr>
          <w:rFonts w:hint="cs"/>
          <w:color w:val="000000" w:themeColor="text1"/>
          <w:rtl/>
        </w:rPr>
        <w:t>.</w:t>
      </w:r>
    </w:p>
  </w:footnote>
  <w:footnote w:id="56">
    <w:p w:rsidR="00F20E3F" w:rsidRPr="002A2A4E" w:rsidP="00F271A9" w14:paraId="515FA41E" w14:textId="77777777">
      <w:pPr>
        <w:pStyle w:val="7341"/>
        <w:rPr>
          <w:color w:val="000000" w:themeColor="text1"/>
        </w:rPr>
      </w:pPr>
      <w:r w:rsidRPr="002A2A4E">
        <w:rPr>
          <w:rStyle w:val="FootnoteReference2"/>
          <w:color w:val="000000" w:themeColor="text1"/>
          <w:vertAlign w:val="baseline"/>
        </w:rPr>
        <w:footnoteRef/>
      </w:r>
      <w:r w:rsidRPr="002A2A4E">
        <w:rPr>
          <w:color w:val="000000" w:themeColor="text1"/>
          <w:rtl/>
        </w:rPr>
        <w:t xml:space="preserve"> </w:t>
      </w:r>
      <w:r w:rsidRPr="002A2A4E">
        <w:rPr>
          <w:color w:val="000000" w:themeColor="text1"/>
          <w:rtl/>
        </w:rPr>
        <w:tab/>
      </w:r>
      <w:r w:rsidRPr="002A2A4E">
        <w:rPr>
          <w:rFonts w:hint="cs"/>
          <w:color w:val="000000" w:themeColor="text1"/>
          <w:rtl/>
        </w:rPr>
        <w:t xml:space="preserve">דברי נציג המשרד </w:t>
      </w:r>
      <w:r w:rsidRPr="002A2A4E">
        <w:rPr>
          <w:rFonts w:hint="cs"/>
          <w:color w:val="000000" w:themeColor="text1"/>
          <w:rtl/>
        </w:rPr>
        <w:t>להג"ס</w:t>
      </w:r>
      <w:r w:rsidRPr="002A2A4E">
        <w:rPr>
          <w:rFonts w:hint="cs"/>
          <w:color w:val="000000" w:themeColor="text1"/>
          <w:rtl/>
        </w:rPr>
        <w:t xml:space="preserve"> בפרוטוקול ועדת הכספים של הכנסת, בדיון מיום 7.12.21.</w:t>
      </w:r>
    </w:p>
  </w:footnote>
  <w:footnote w:id="57">
    <w:p w:rsidR="00F20E3F" w:rsidRPr="002A2A4E" w:rsidP="00F271A9" w14:paraId="5D280516" w14:textId="77777777">
      <w:pPr>
        <w:pStyle w:val="7341"/>
        <w:rPr>
          <w:color w:val="000000" w:themeColor="text1"/>
          <w:rtl/>
        </w:rPr>
      </w:pPr>
      <w:r w:rsidRPr="002A2A4E">
        <w:rPr>
          <w:rStyle w:val="FootnoteReference2"/>
          <w:color w:val="000000" w:themeColor="text1"/>
          <w:vertAlign w:val="baseline"/>
        </w:rPr>
        <w:footnoteRef/>
      </w:r>
      <w:r w:rsidRPr="002A2A4E">
        <w:rPr>
          <w:color w:val="000000" w:themeColor="text1"/>
          <w:rtl/>
        </w:rPr>
        <w:t xml:space="preserve"> </w:t>
      </w:r>
      <w:r w:rsidRPr="002A2A4E">
        <w:rPr>
          <w:color w:val="000000" w:themeColor="text1"/>
          <w:rtl/>
        </w:rPr>
        <w:tab/>
        <w:t xml:space="preserve">המשרד </w:t>
      </w:r>
      <w:r w:rsidRPr="002A2A4E">
        <w:rPr>
          <w:color w:val="000000" w:themeColor="text1"/>
          <w:rtl/>
        </w:rPr>
        <w:t>להג</w:t>
      </w:r>
      <w:r w:rsidRPr="002A2A4E">
        <w:rPr>
          <w:rFonts w:hint="cs"/>
          <w:color w:val="000000" w:themeColor="text1"/>
          <w:rtl/>
        </w:rPr>
        <w:t>"ס</w:t>
      </w:r>
      <w:r w:rsidRPr="002A2A4E">
        <w:rPr>
          <w:color w:val="000000" w:themeColor="text1"/>
          <w:rtl/>
        </w:rPr>
        <w:t xml:space="preserve">, מסמך מדיניות בנושא "תמחור פחמן בישראל" </w:t>
      </w:r>
      <w:r w:rsidRPr="002A2A4E">
        <w:rPr>
          <w:rFonts w:hint="cs"/>
          <w:color w:val="000000" w:themeColor="text1"/>
          <w:rtl/>
        </w:rPr>
        <w:t>(</w:t>
      </w:r>
      <w:r w:rsidRPr="002A2A4E">
        <w:rPr>
          <w:color w:val="000000" w:themeColor="text1"/>
          <w:rtl/>
        </w:rPr>
        <w:t>אוגוסט 2021</w:t>
      </w:r>
      <w:r w:rsidRPr="002A2A4E">
        <w:rPr>
          <w:rFonts w:hint="cs"/>
          <w:color w:val="000000" w:themeColor="text1"/>
          <w:rtl/>
        </w:rPr>
        <w:t>).</w:t>
      </w:r>
      <w:r w:rsidRPr="002A2A4E">
        <w:rPr>
          <w:color w:val="000000" w:themeColor="text1"/>
          <w:rtl/>
        </w:rPr>
        <w:tab/>
      </w:r>
      <w:r w:rsidRPr="002A2A4E">
        <w:rPr>
          <w:rFonts w:hint="cs"/>
          <w:color w:val="000000" w:themeColor="text1"/>
          <w:rtl/>
        </w:rPr>
        <w:t xml:space="preserve"> </w:t>
      </w:r>
    </w:p>
  </w:footnote>
  <w:footnote w:id="58">
    <w:p w:rsidR="00F20E3F" w:rsidRPr="002A2A4E" w:rsidP="00F271A9" w14:paraId="6358164D" w14:textId="77777777">
      <w:pPr>
        <w:pStyle w:val="7341"/>
        <w:rPr>
          <w:color w:val="000000" w:themeColor="text1"/>
        </w:rPr>
      </w:pPr>
      <w:r w:rsidRPr="002A2A4E">
        <w:rPr>
          <w:rStyle w:val="FootnoteReference2"/>
          <w:color w:val="000000" w:themeColor="text1"/>
          <w:vertAlign w:val="baseline"/>
        </w:rPr>
        <w:footnoteRef/>
      </w:r>
      <w:r w:rsidRPr="002A2A4E">
        <w:rPr>
          <w:color w:val="000000" w:themeColor="text1"/>
          <w:rtl/>
        </w:rPr>
        <w:t xml:space="preserve"> </w:t>
      </w:r>
      <w:r w:rsidRPr="002A2A4E">
        <w:rPr>
          <w:color w:val="000000" w:themeColor="text1"/>
          <w:rtl/>
        </w:rPr>
        <w:tab/>
      </w:r>
      <w:r w:rsidRPr="002A2A4E">
        <w:rPr>
          <w:rFonts w:hint="cs"/>
          <w:color w:val="000000" w:themeColor="text1"/>
          <w:rtl/>
        </w:rPr>
        <w:t>דברי נציגת משרד האוצר בפרוטוקול ועדת הכספים של הכנסת, בדיון מיום 7.12.21.</w:t>
      </w:r>
    </w:p>
  </w:footnote>
  <w:footnote w:id="59">
    <w:p w:rsidR="00F20E3F" w:rsidRPr="002A2A4E" w:rsidP="00F271A9" w14:paraId="455C64BC" w14:textId="77777777">
      <w:pPr>
        <w:pStyle w:val="7341"/>
        <w:rPr>
          <w:color w:val="000000" w:themeColor="text1"/>
        </w:rPr>
      </w:pPr>
      <w:r w:rsidRPr="002A2A4E">
        <w:rPr>
          <w:rStyle w:val="FootnoteReference2"/>
          <w:color w:val="000000" w:themeColor="text1"/>
          <w:vertAlign w:val="baseline"/>
        </w:rPr>
        <w:footnoteRef/>
      </w:r>
      <w:r w:rsidRPr="002A2A4E">
        <w:rPr>
          <w:color w:val="000000" w:themeColor="text1"/>
          <w:rtl/>
        </w:rPr>
        <w:t xml:space="preserve"> </w:t>
      </w:r>
      <w:r w:rsidRPr="002A2A4E">
        <w:rPr>
          <w:color w:val="000000" w:themeColor="text1"/>
          <w:rtl/>
        </w:rPr>
        <w:tab/>
      </w:r>
      <w:r w:rsidRPr="002A2A4E">
        <w:rPr>
          <w:rFonts w:hint="cs"/>
          <w:color w:val="000000" w:themeColor="text1"/>
          <w:rtl/>
        </w:rPr>
        <w:t>ראו פרוטוקול ועדת הכספים של הכנסת, בדיון מיום 7.12.21.</w:t>
      </w:r>
    </w:p>
  </w:footnote>
  <w:footnote w:id="60">
    <w:p w:rsidR="00F20E3F" w:rsidRPr="002A2A4E" w:rsidP="00F271A9" w14:paraId="04915532" w14:textId="77777777">
      <w:pPr>
        <w:pStyle w:val="7341"/>
        <w:rPr>
          <w:color w:val="000000" w:themeColor="text1"/>
        </w:rPr>
      </w:pPr>
      <w:r w:rsidRPr="002A2A4E">
        <w:rPr>
          <w:rStyle w:val="FootnoteReference2"/>
          <w:color w:val="000000" w:themeColor="text1"/>
          <w:vertAlign w:val="baseline"/>
        </w:rPr>
        <w:footnoteRef/>
      </w:r>
      <w:r w:rsidRPr="002A2A4E">
        <w:rPr>
          <w:color w:val="000000" w:themeColor="text1"/>
          <w:rtl/>
        </w:rPr>
        <w:t xml:space="preserve"> </w:t>
      </w:r>
      <w:r w:rsidRPr="002A2A4E">
        <w:rPr>
          <w:color w:val="000000" w:themeColor="text1"/>
          <w:rtl/>
        </w:rPr>
        <w:tab/>
      </w:r>
      <w:r w:rsidRPr="002A2A4E">
        <w:rPr>
          <w:rFonts w:hint="cs"/>
          <w:color w:val="000000" w:themeColor="text1"/>
          <w:rtl/>
        </w:rPr>
        <w:t>דברי נציג משרד האוצר בפרוטוקול ועדת הכספים של הכנסת, בדיון מיום 7.12.21.</w:t>
      </w:r>
    </w:p>
  </w:footnote>
  <w:footnote w:id="61">
    <w:p w:rsidR="00F20E3F" w:rsidRPr="002A2A4E" w:rsidP="007649F0" w14:paraId="567E0AEC" w14:textId="77777777">
      <w:pPr>
        <w:pStyle w:val="00"/>
        <w:rPr>
          <w:color w:val="000000" w:themeColor="text1"/>
          <w:rtl/>
        </w:rPr>
      </w:pPr>
      <w:r w:rsidRPr="002A2A4E">
        <w:rPr>
          <w:rStyle w:val="7342"/>
          <w:color w:val="000000" w:themeColor="text1"/>
        </w:rPr>
        <w:footnoteRef/>
      </w:r>
      <w:r w:rsidRPr="002A2A4E">
        <w:rPr>
          <w:rStyle w:val="7342"/>
          <w:color w:val="000000" w:themeColor="text1"/>
          <w:rtl/>
        </w:rPr>
        <w:t xml:space="preserve"> </w:t>
      </w:r>
      <w:r w:rsidRPr="002A2A4E">
        <w:rPr>
          <w:rStyle w:val="7342"/>
          <w:color w:val="000000" w:themeColor="text1"/>
          <w:rtl/>
        </w:rPr>
        <w:tab/>
      </w:r>
      <w:r w:rsidRPr="002A2A4E">
        <w:rPr>
          <w:rStyle w:val="7342"/>
          <w:rFonts w:hint="cs"/>
          <w:color w:val="000000" w:themeColor="text1"/>
          <w:rtl/>
        </w:rPr>
        <w:t>כחלק</w:t>
      </w:r>
      <w:r w:rsidRPr="002A2A4E">
        <w:rPr>
          <w:rFonts w:hint="cs"/>
          <w:color w:val="000000" w:themeColor="text1"/>
          <w:rtl/>
        </w:rPr>
        <w:t xml:space="preserve"> ממדיניות התייעלות </w:t>
      </w:r>
      <w:r w:rsidRPr="002A2A4E">
        <w:rPr>
          <w:rFonts w:hint="cs"/>
          <w:color w:val="000000" w:themeColor="text1"/>
          <w:rtl/>
        </w:rPr>
        <w:t>באנרגייה</w:t>
      </w:r>
      <w:r w:rsidRPr="002A2A4E">
        <w:rPr>
          <w:rFonts w:hint="cs"/>
          <w:color w:val="000000" w:themeColor="text1"/>
          <w:rtl/>
        </w:rPr>
        <w:t xml:space="preserve">, משרד </w:t>
      </w:r>
      <w:r w:rsidRPr="002A2A4E">
        <w:rPr>
          <w:rFonts w:hint="cs"/>
          <w:color w:val="000000" w:themeColor="text1"/>
          <w:rtl/>
        </w:rPr>
        <w:t>האנרגייה</w:t>
      </w:r>
      <w:r w:rsidRPr="002A2A4E">
        <w:rPr>
          <w:rFonts w:hint="cs"/>
          <w:color w:val="000000" w:themeColor="text1"/>
          <w:rtl/>
        </w:rPr>
        <w:t xml:space="preserve"> בוחן </w:t>
      </w:r>
      <w:r w:rsidRPr="002A2A4E">
        <w:rPr>
          <w:color w:val="000000" w:themeColor="text1"/>
          <w:rtl/>
        </w:rPr>
        <w:t>יישומים</w:t>
      </w:r>
      <w:r w:rsidRPr="002A2A4E">
        <w:rPr>
          <w:rFonts w:hint="cs"/>
          <w:color w:val="000000" w:themeColor="text1"/>
          <w:rtl/>
        </w:rPr>
        <w:t xml:space="preserve"> </w:t>
      </w:r>
      <w:r w:rsidRPr="002A2A4E">
        <w:rPr>
          <w:color w:val="000000" w:themeColor="text1"/>
          <w:rtl/>
        </w:rPr>
        <w:t xml:space="preserve">מבוססי </w:t>
      </w:r>
      <w:r w:rsidRPr="002A2A4E">
        <w:rPr>
          <w:color w:val="000000" w:themeColor="text1"/>
          <w:rtl/>
        </w:rPr>
        <w:t>גפ"</w:t>
      </w:r>
      <w:r w:rsidRPr="002A2A4E">
        <w:rPr>
          <w:rFonts w:hint="cs"/>
          <w:color w:val="000000" w:themeColor="text1"/>
          <w:rtl/>
        </w:rPr>
        <w:t>ם</w:t>
      </w:r>
      <w:r w:rsidRPr="002A2A4E">
        <w:rPr>
          <w:rFonts w:hint="cs"/>
          <w:color w:val="000000" w:themeColor="text1"/>
          <w:rtl/>
        </w:rPr>
        <w:t xml:space="preserve"> וחלופות חשמליות, לרבות מעבר של צרכנים מבישול בגז לכיריים חשמליות. ראו: "בחינת חלופות לאספקת </w:t>
      </w:r>
      <w:r w:rsidRPr="002A2A4E">
        <w:rPr>
          <w:color w:val="000000" w:themeColor="text1"/>
          <w:rtl/>
        </w:rPr>
        <w:t>אנרגייה</w:t>
      </w:r>
      <w:r w:rsidRPr="002A2A4E">
        <w:rPr>
          <w:color w:val="000000" w:themeColor="text1"/>
          <w:rtl/>
        </w:rPr>
        <w:t xml:space="preserve"> בבניה חדשה במגזר הביתי</w:t>
      </w:r>
      <w:r w:rsidRPr="002A2A4E">
        <w:rPr>
          <w:rFonts w:hint="cs"/>
          <w:color w:val="000000" w:themeColor="text1"/>
          <w:rtl/>
        </w:rPr>
        <w:t xml:space="preserve"> - </w:t>
      </w:r>
      <w:r w:rsidRPr="002A2A4E">
        <w:rPr>
          <w:color w:val="000000" w:themeColor="text1"/>
          <w:rtl/>
        </w:rPr>
        <w:t>השוואה</w:t>
      </w:r>
      <w:r w:rsidRPr="002A2A4E">
        <w:rPr>
          <w:rFonts w:hint="cs"/>
          <w:color w:val="000000" w:themeColor="text1"/>
          <w:rtl/>
        </w:rPr>
        <w:t xml:space="preserve"> </w:t>
      </w:r>
      <w:r w:rsidRPr="002A2A4E">
        <w:rPr>
          <w:color w:val="000000" w:themeColor="text1"/>
          <w:rtl/>
        </w:rPr>
        <w:t>טכנולוגית</w:t>
      </w:r>
      <w:r w:rsidRPr="002A2A4E">
        <w:rPr>
          <w:rFonts w:hint="cs"/>
          <w:color w:val="000000" w:themeColor="text1"/>
          <w:rtl/>
        </w:rPr>
        <w:t xml:space="preserve"> </w:t>
      </w:r>
      <w:r w:rsidRPr="002A2A4E">
        <w:rPr>
          <w:color w:val="000000" w:themeColor="text1"/>
          <w:rtl/>
        </w:rPr>
        <w:t>וניתוח</w:t>
      </w:r>
      <w:r w:rsidRPr="002A2A4E">
        <w:rPr>
          <w:rFonts w:hint="cs"/>
          <w:color w:val="000000" w:themeColor="text1"/>
          <w:rtl/>
        </w:rPr>
        <w:t xml:space="preserve"> </w:t>
      </w:r>
      <w:r w:rsidRPr="002A2A4E">
        <w:rPr>
          <w:color w:val="000000" w:themeColor="text1"/>
          <w:rtl/>
        </w:rPr>
        <w:t>עלות-תועלת</w:t>
      </w:r>
      <w:r w:rsidRPr="002A2A4E">
        <w:rPr>
          <w:rFonts w:hint="cs"/>
          <w:color w:val="000000" w:themeColor="text1"/>
          <w:rtl/>
        </w:rPr>
        <w:t xml:space="preserve">", </w:t>
      </w:r>
      <w:r w:rsidRPr="002A2A4E">
        <w:rPr>
          <w:color w:val="000000" w:themeColor="text1"/>
          <w:rtl/>
        </w:rPr>
        <w:t xml:space="preserve">משרד </w:t>
      </w:r>
      <w:r w:rsidRPr="002A2A4E">
        <w:rPr>
          <w:color w:val="000000" w:themeColor="text1"/>
          <w:rtl/>
        </w:rPr>
        <w:t>האנרגייה</w:t>
      </w:r>
      <w:r w:rsidRPr="002A2A4E">
        <w:rPr>
          <w:rFonts w:hint="cs"/>
          <w:color w:val="000000" w:themeColor="text1"/>
          <w:rtl/>
        </w:rPr>
        <w:t xml:space="preserve"> (</w:t>
      </w:r>
      <w:r w:rsidRPr="002A2A4E">
        <w:rPr>
          <w:color w:val="000000" w:themeColor="text1"/>
          <w:rtl/>
        </w:rPr>
        <w:t>נובמבר</w:t>
      </w:r>
      <w:r w:rsidRPr="002A2A4E">
        <w:rPr>
          <w:rFonts w:hint="cs"/>
          <w:color w:val="000000" w:themeColor="text1"/>
          <w:rtl/>
        </w:rPr>
        <w:t xml:space="preserve"> 2020). </w:t>
      </w:r>
    </w:p>
  </w:footnote>
  <w:footnote w:id="62">
    <w:p w:rsidR="00F20E3F" w:rsidRPr="002A2A4E" w:rsidP="00F271A9" w14:paraId="3C75DC92" w14:textId="77777777">
      <w:pPr>
        <w:pStyle w:val="7341"/>
        <w:rPr>
          <w:color w:val="000000" w:themeColor="text1"/>
        </w:rPr>
      </w:pPr>
      <w:r w:rsidRPr="002A2A4E">
        <w:rPr>
          <w:rStyle w:val="FootnoteReference2"/>
          <w:color w:val="000000" w:themeColor="text1"/>
          <w:vertAlign w:val="baseline"/>
        </w:rPr>
        <w:footnoteRef/>
      </w:r>
      <w:r w:rsidRPr="002A2A4E">
        <w:rPr>
          <w:color w:val="000000" w:themeColor="text1"/>
          <w:rtl/>
        </w:rPr>
        <w:t xml:space="preserve"> </w:t>
      </w:r>
      <w:r w:rsidRPr="002A2A4E">
        <w:rPr>
          <w:color w:val="000000" w:themeColor="text1"/>
          <w:rtl/>
        </w:rPr>
        <w:tab/>
      </w:r>
      <w:r w:rsidRPr="002A2A4E">
        <w:rPr>
          <w:rFonts w:hint="cs"/>
          <w:color w:val="000000" w:themeColor="text1"/>
          <w:rtl/>
        </w:rPr>
        <w:t xml:space="preserve">סעיף 2 בהחלטת הממשלה 286. </w:t>
      </w:r>
      <w:r w:rsidRPr="002A2A4E">
        <w:rPr>
          <w:color w:val="000000" w:themeColor="text1"/>
          <w:rtl/>
        </w:rPr>
        <w:t xml:space="preserve">בצוות חברים משרד </w:t>
      </w:r>
      <w:r w:rsidRPr="002A2A4E">
        <w:rPr>
          <w:color w:val="000000" w:themeColor="text1"/>
          <w:rtl/>
        </w:rPr>
        <w:t>האנרגייה</w:t>
      </w:r>
      <w:r w:rsidRPr="002A2A4E">
        <w:rPr>
          <w:color w:val="000000" w:themeColor="text1"/>
          <w:rtl/>
        </w:rPr>
        <w:t xml:space="preserve">, אגף </w:t>
      </w:r>
      <w:r w:rsidRPr="002A2A4E">
        <w:rPr>
          <w:rFonts w:hint="cs"/>
          <w:color w:val="000000" w:themeColor="text1"/>
          <w:rtl/>
        </w:rPr>
        <w:t>ה</w:t>
      </w:r>
      <w:r w:rsidRPr="002A2A4E">
        <w:rPr>
          <w:color w:val="000000" w:themeColor="text1"/>
          <w:rtl/>
        </w:rPr>
        <w:t xml:space="preserve">תקציבים והכלכלנית הראשית </w:t>
      </w:r>
      <w:r w:rsidRPr="002A2A4E">
        <w:rPr>
          <w:rFonts w:hint="cs"/>
          <w:color w:val="000000" w:themeColor="text1"/>
          <w:rtl/>
        </w:rPr>
        <w:t>ב</w:t>
      </w:r>
      <w:r w:rsidRPr="002A2A4E">
        <w:rPr>
          <w:color w:val="000000" w:themeColor="text1"/>
          <w:rtl/>
        </w:rPr>
        <w:t xml:space="preserve">משרד האוצר, משרד הרווחה, המשרד </w:t>
      </w:r>
      <w:r w:rsidRPr="002A2A4E">
        <w:rPr>
          <w:color w:val="000000" w:themeColor="text1"/>
          <w:rtl/>
        </w:rPr>
        <w:t>להג</w:t>
      </w:r>
      <w:r w:rsidRPr="002A2A4E">
        <w:rPr>
          <w:rFonts w:hint="cs"/>
          <w:color w:val="000000" w:themeColor="text1"/>
          <w:rtl/>
        </w:rPr>
        <w:t>"ס</w:t>
      </w:r>
      <w:r w:rsidRPr="002A2A4E">
        <w:rPr>
          <w:color w:val="000000" w:themeColor="text1"/>
          <w:rtl/>
        </w:rPr>
        <w:t>, בנק ישראל והביטוח הלאומי.</w:t>
      </w:r>
    </w:p>
  </w:footnote>
  <w:footnote w:id="63">
    <w:p w:rsidR="00F20E3F" w:rsidRPr="002A2A4E" w:rsidP="00F04910" w14:paraId="109BA8E8" w14:textId="77777777">
      <w:pPr>
        <w:pStyle w:val="7341"/>
        <w:spacing w:after="0"/>
        <w:rPr>
          <w:color w:val="000000" w:themeColor="text1"/>
          <w:rtl/>
        </w:rPr>
      </w:pPr>
      <w:r w:rsidRPr="002A2A4E">
        <w:rPr>
          <w:rStyle w:val="FootnoteReference2"/>
          <w:color w:val="000000" w:themeColor="text1"/>
          <w:vertAlign w:val="baseline"/>
        </w:rPr>
        <w:footnoteRef/>
      </w:r>
      <w:r w:rsidRPr="002A2A4E">
        <w:rPr>
          <w:color w:val="000000" w:themeColor="text1"/>
          <w:rtl/>
        </w:rPr>
        <w:t xml:space="preserve"> </w:t>
      </w:r>
      <w:r w:rsidRPr="002A2A4E">
        <w:rPr>
          <w:color w:val="000000" w:themeColor="text1"/>
          <w:rtl/>
        </w:rPr>
        <w:tab/>
      </w:r>
      <w:r w:rsidRPr="002A2A4E">
        <w:rPr>
          <w:rFonts w:hint="cs"/>
          <w:color w:val="000000" w:themeColor="text1"/>
          <w:rtl/>
        </w:rPr>
        <w:t>סקר ביצועים סביבתיים של ה-</w:t>
      </w:r>
      <w:r w:rsidRPr="002A2A4E">
        <w:rPr>
          <w:rFonts w:hint="cs"/>
          <w:color w:val="000000" w:themeColor="text1"/>
        </w:rPr>
        <w:t>OECD</w:t>
      </w:r>
      <w:r w:rsidRPr="002A2A4E">
        <w:rPr>
          <w:rFonts w:hint="cs"/>
          <w:color w:val="000000" w:themeColor="text1"/>
          <w:rtl/>
        </w:rPr>
        <w:t xml:space="preserve"> על ישראל:</w:t>
      </w:r>
    </w:p>
    <w:p w:rsidR="00F20E3F" w:rsidRPr="002A2A4E" w:rsidP="00F271A9" w14:paraId="3EAB73EB" w14:textId="77777777">
      <w:pPr>
        <w:pStyle w:val="00"/>
        <w:bidi w:val="0"/>
        <w:ind w:left="0" w:right="397" w:firstLine="0"/>
        <w:rPr>
          <w:color w:val="000000" w:themeColor="text1"/>
        </w:rPr>
      </w:pPr>
      <w:r w:rsidRPr="002A2A4E">
        <w:rPr>
          <w:i/>
          <w:iCs/>
          <w:color w:val="000000" w:themeColor="text1"/>
        </w:rPr>
        <w:t>OECD Environmental Performance Reviews: Israel 2023</w:t>
      </w:r>
      <w:r w:rsidRPr="002A2A4E">
        <w:rPr>
          <w:color w:val="000000" w:themeColor="text1"/>
        </w:rPr>
        <w:t xml:space="preserve">, OECD Environmental Performance Reviews, 20203, OECD, p. 53. Publishing, Paris, </w:t>
      </w:r>
      <w:hyperlink r:id="rId12" w:history="1">
        <w:r w:rsidRPr="002A2A4E">
          <w:rPr>
            <w:rStyle w:val="7334"/>
            <w:color w:val="000000" w:themeColor="text1"/>
            <w:u w:val="none"/>
          </w:rPr>
          <w:t>https://doi.org/10.1787/0175ae95-en</w:t>
        </w:r>
      </w:hyperlink>
      <w:r w:rsidRPr="002A2A4E">
        <w:rPr>
          <w:color w:val="000000" w:themeColor="text1"/>
        </w:rPr>
        <w:t xml:space="preserve"> </w:t>
      </w:r>
    </w:p>
  </w:footnote>
  <w:footnote w:id="64">
    <w:p w:rsidR="00F20E3F" w:rsidRPr="002A2A4E" w:rsidP="00F271A9" w14:paraId="528ADB95" w14:textId="77777777">
      <w:pPr>
        <w:pStyle w:val="7341"/>
        <w:rPr>
          <w:color w:val="000000" w:themeColor="text1"/>
          <w:rtl/>
        </w:rPr>
      </w:pPr>
      <w:r w:rsidRPr="002A2A4E">
        <w:rPr>
          <w:rStyle w:val="FootnoteReference2"/>
          <w:color w:val="000000" w:themeColor="text1"/>
          <w:vertAlign w:val="baseline"/>
        </w:rPr>
        <w:footnoteRef/>
      </w:r>
      <w:r w:rsidRPr="002A2A4E">
        <w:rPr>
          <w:color w:val="000000" w:themeColor="text1"/>
          <w:rtl/>
        </w:rPr>
        <w:t xml:space="preserve"> </w:t>
      </w:r>
      <w:r w:rsidRPr="002A2A4E">
        <w:rPr>
          <w:color w:val="000000" w:themeColor="text1"/>
          <w:rtl/>
        </w:rPr>
        <w:tab/>
      </w:r>
      <w:r w:rsidRPr="002A2A4E">
        <w:rPr>
          <w:rFonts w:hint="cs"/>
          <w:color w:val="000000" w:themeColor="text1"/>
          <w:rtl/>
        </w:rPr>
        <w:t xml:space="preserve">ראו: </w:t>
      </w:r>
      <w:r w:rsidRPr="002A2A4E">
        <w:rPr>
          <w:color w:val="000000" w:themeColor="text1"/>
        </w:rPr>
        <w:t>World Bank, Carbon pricing 2022. P.27</w:t>
      </w:r>
    </w:p>
  </w:footnote>
  <w:footnote w:id="65">
    <w:p w:rsidR="00F271A9" w:rsidRPr="002A2A4E" w:rsidP="00F271A9" w14:paraId="19E654EC" w14:textId="7C66C394">
      <w:pPr>
        <w:pStyle w:val="7341"/>
        <w:spacing w:after="0"/>
        <w:jc w:val="left"/>
        <w:rPr>
          <w:color w:val="000000" w:themeColor="text1"/>
          <w:rtl/>
        </w:rPr>
      </w:pPr>
      <w:r w:rsidRPr="002A2A4E">
        <w:rPr>
          <w:rStyle w:val="FootnoteReference2"/>
          <w:color w:val="000000" w:themeColor="text1"/>
          <w:vertAlign w:val="baseline"/>
        </w:rPr>
        <w:footnoteRef/>
      </w:r>
      <w:r w:rsidRPr="002A2A4E">
        <w:rPr>
          <w:color w:val="000000" w:themeColor="text1"/>
          <w:rtl/>
        </w:rPr>
        <w:t xml:space="preserve"> </w:t>
      </w:r>
      <w:r w:rsidRPr="002A2A4E">
        <w:rPr>
          <w:color w:val="000000" w:themeColor="text1"/>
          <w:rtl/>
        </w:rPr>
        <w:tab/>
      </w:r>
      <w:r w:rsidRPr="002A2A4E">
        <w:rPr>
          <w:rFonts w:hint="cs"/>
          <w:color w:val="000000" w:themeColor="text1"/>
          <w:rtl/>
        </w:rPr>
        <w:t xml:space="preserve">ראו את אתר המרשתת של הבנק העולמי </w:t>
      </w:r>
      <w:r w:rsidR="00761E16">
        <w:rPr>
          <w:rFonts w:hint="cs"/>
          <w:color w:val="000000" w:themeColor="text1"/>
          <w:rtl/>
        </w:rPr>
        <w:t>-</w:t>
      </w:r>
    </w:p>
    <w:p w:rsidR="00F20E3F" w:rsidRPr="002A2A4E" w:rsidP="00F04910" w14:paraId="3416BB78" w14:textId="43EDEE93">
      <w:pPr>
        <w:pStyle w:val="7341"/>
        <w:jc w:val="right"/>
        <w:rPr>
          <w:color w:val="000000" w:themeColor="text1"/>
        </w:rPr>
      </w:pPr>
      <w:r w:rsidRPr="002A2A4E">
        <w:rPr>
          <w:rFonts w:hint="cs"/>
          <w:color w:val="000000" w:themeColor="text1"/>
          <w:rtl/>
        </w:rPr>
        <w:t xml:space="preserve"> </w:t>
      </w:r>
      <w:hyperlink r:id="rId18" w:history="1">
        <w:r w:rsidRPr="002A2A4E">
          <w:rPr>
            <w:rStyle w:val="7334"/>
            <w:color w:val="000000" w:themeColor="text1"/>
            <w:u w:val="none"/>
          </w:rPr>
          <w:t>https://www.worldbank.org/en/news/press-release/2023/05/23/record-high-revenues-from-global-carbon-pricing-near-100-billion</w:t>
        </w:r>
      </w:hyperlink>
    </w:p>
  </w:footnote>
  <w:footnote w:id="66">
    <w:p w:rsidR="00F04910" w:rsidP="00F04910" w14:paraId="07108DFA" w14:textId="3616FDCF">
      <w:pPr>
        <w:pStyle w:val="00"/>
        <w:spacing w:after="0"/>
        <w:rPr>
          <w:color w:val="000000" w:themeColor="text1"/>
          <w:rtl/>
        </w:rPr>
      </w:pPr>
      <w:r w:rsidRPr="002A2A4E">
        <w:rPr>
          <w:rStyle w:val="7342"/>
          <w:color w:val="000000" w:themeColor="text1"/>
        </w:rPr>
        <w:footnoteRef/>
      </w:r>
      <w:r w:rsidRPr="002A2A4E">
        <w:rPr>
          <w:rStyle w:val="7342"/>
          <w:color w:val="000000" w:themeColor="text1"/>
          <w:rtl/>
        </w:rPr>
        <w:t xml:space="preserve"> </w:t>
      </w:r>
      <w:r w:rsidRPr="002A2A4E">
        <w:rPr>
          <w:color w:val="000000" w:themeColor="text1"/>
          <w:rtl/>
        </w:rPr>
        <w:tab/>
      </w:r>
      <w:r w:rsidRPr="002A2A4E">
        <w:rPr>
          <w:rFonts w:hint="cs"/>
          <w:color w:val="000000" w:themeColor="text1"/>
          <w:rtl/>
        </w:rPr>
        <w:t xml:space="preserve">ראו את אתר המרשתת של מועצת האיחוד האירופי </w:t>
      </w:r>
      <w:r w:rsidR="00761E16">
        <w:rPr>
          <w:rFonts w:hint="cs"/>
          <w:color w:val="000000" w:themeColor="text1"/>
          <w:rtl/>
        </w:rPr>
        <w:t>-</w:t>
      </w:r>
    </w:p>
    <w:p w:rsidR="00F20E3F" w:rsidRPr="002A2A4E" w:rsidP="00F04910" w14:paraId="6722CA5A" w14:textId="7524279C">
      <w:pPr>
        <w:pStyle w:val="00"/>
        <w:jc w:val="right"/>
        <w:rPr>
          <w:rStyle w:val="7334"/>
          <w:color w:val="000000" w:themeColor="text1"/>
          <w:u w:val="none"/>
          <w:rtl/>
        </w:rPr>
      </w:pPr>
      <w:r w:rsidRPr="002A2A4E">
        <w:rPr>
          <w:rFonts w:hint="cs"/>
          <w:color w:val="000000" w:themeColor="text1"/>
          <w:rtl/>
        </w:rPr>
        <w:t xml:space="preserve"> </w:t>
      </w:r>
      <w:hyperlink r:id="rId19" w:history="1">
        <w:r w:rsidRPr="002A2A4E">
          <w:rPr>
            <w:rStyle w:val="7334"/>
            <w:color w:val="000000" w:themeColor="text1"/>
            <w:u w:val="none"/>
          </w:rPr>
          <w:t>https://www.consilium.europa.eu/en/press/press-releases/2023/04/25/fit-for-55-council-adopts-key-pieces-of-legislation-delivering-on-2030-climate-targets</w:t>
        </w:r>
        <w:r w:rsidRPr="002A2A4E">
          <w:rPr>
            <w:rStyle w:val="7334"/>
            <w:color w:val="000000" w:themeColor="text1"/>
            <w:u w:val="none"/>
            <w:rtl/>
          </w:rPr>
          <w:t>/</w:t>
        </w:r>
      </w:hyperlink>
      <w:r w:rsidRPr="002A2A4E">
        <w:rPr>
          <w:rStyle w:val="7334"/>
          <w:rFonts w:hint="cs"/>
          <w:color w:val="000000" w:themeColor="text1"/>
          <w:u w:val="none"/>
          <w:rtl/>
        </w:rPr>
        <w:t xml:space="preserve"> </w:t>
      </w:r>
    </w:p>
  </w:footnote>
  <w:footnote w:id="67">
    <w:p w:rsidR="00F20E3F" w:rsidRPr="002A2A4E" w:rsidP="007649F0" w14:paraId="3CB9BDC8" w14:textId="77777777">
      <w:pPr>
        <w:pStyle w:val="00"/>
        <w:rPr>
          <w:rStyle w:val="7342"/>
          <w:color w:val="000000" w:themeColor="text1"/>
          <w:rtl/>
        </w:rPr>
      </w:pPr>
      <w:r w:rsidRPr="002A2A4E">
        <w:rPr>
          <w:rStyle w:val="7342"/>
          <w:color w:val="000000" w:themeColor="text1"/>
        </w:rPr>
        <w:footnoteRef/>
      </w:r>
      <w:r w:rsidRPr="002A2A4E">
        <w:rPr>
          <w:rStyle w:val="7342"/>
          <w:color w:val="000000" w:themeColor="text1"/>
          <w:rtl/>
        </w:rPr>
        <w:t xml:space="preserve"> </w:t>
      </w:r>
      <w:r w:rsidRPr="002A2A4E">
        <w:rPr>
          <w:rStyle w:val="7342"/>
          <w:color w:val="000000" w:themeColor="text1"/>
          <w:rtl/>
        </w:rPr>
        <w:tab/>
      </w:r>
      <w:r w:rsidRPr="002A2A4E">
        <w:rPr>
          <w:rStyle w:val="7342"/>
          <w:rFonts w:hint="cs"/>
          <w:color w:val="000000" w:themeColor="text1"/>
          <w:rtl/>
        </w:rPr>
        <w:t>ה-</w:t>
      </w:r>
      <w:r w:rsidRPr="002A2A4E">
        <w:rPr>
          <w:rStyle w:val="7342"/>
          <w:color w:val="000000" w:themeColor="text1"/>
        </w:rPr>
        <w:t>CPLC</w:t>
      </w:r>
      <w:r w:rsidRPr="002A2A4E">
        <w:rPr>
          <w:rStyle w:val="7342"/>
          <w:color w:val="000000" w:themeColor="text1"/>
          <w:rtl/>
        </w:rPr>
        <w:t xml:space="preserve"> </w:t>
      </w:r>
      <w:r w:rsidRPr="002A2A4E">
        <w:rPr>
          <w:rStyle w:val="7342"/>
          <w:rFonts w:hint="cs"/>
          <w:color w:val="000000" w:themeColor="text1"/>
          <w:rtl/>
        </w:rPr>
        <w:t>הוא ארגון שהוקם בשנת 2015 במסגרת הסכם פריז, ואשר שם לו למטרה להביא ליישום אפקטיבי של תמחור פחמן. חברים בו 35 מדינות וריבוניות אזוריות, 176 חברות פרטיות ו-102 שותפים אסטרטגיים ובהם ארגונים בין-לאומיים, ארגונים לא ממשלתיים ואוניברסיטאות. מזכירות ה-</w:t>
      </w:r>
      <w:r w:rsidRPr="002A2A4E">
        <w:rPr>
          <w:rStyle w:val="7342"/>
          <w:color w:val="000000" w:themeColor="text1"/>
        </w:rPr>
        <w:t>CPLC</w:t>
      </w:r>
      <w:r w:rsidRPr="002A2A4E">
        <w:rPr>
          <w:rStyle w:val="7342"/>
          <w:color w:val="000000" w:themeColor="text1"/>
          <w:rtl/>
        </w:rPr>
        <w:t xml:space="preserve"> </w:t>
      </w:r>
      <w:r w:rsidRPr="002A2A4E">
        <w:rPr>
          <w:rStyle w:val="7342"/>
          <w:rFonts w:hint="cs"/>
          <w:color w:val="000000" w:themeColor="text1"/>
          <w:rtl/>
        </w:rPr>
        <w:t xml:space="preserve">מנוהלת על ידי הבנק העולמי. </w:t>
      </w:r>
    </w:p>
  </w:footnote>
  <w:footnote w:id="68">
    <w:p w:rsidR="00F20E3F" w:rsidRPr="002A2A4E" w:rsidP="007649F0" w14:paraId="3CB26864" w14:textId="77777777">
      <w:pPr>
        <w:pStyle w:val="00"/>
        <w:rPr>
          <w:rStyle w:val="7342"/>
          <w:color w:val="000000" w:themeColor="text1"/>
          <w:rtl/>
        </w:rPr>
      </w:pPr>
      <w:r w:rsidRPr="002A2A4E">
        <w:rPr>
          <w:rStyle w:val="7342"/>
          <w:color w:val="000000" w:themeColor="text1"/>
        </w:rPr>
        <w:footnoteRef/>
      </w:r>
      <w:r w:rsidRPr="002A2A4E">
        <w:rPr>
          <w:rStyle w:val="7342"/>
          <w:color w:val="000000" w:themeColor="text1"/>
          <w:rtl/>
        </w:rPr>
        <w:t xml:space="preserve"> </w:t>
      </w:r>
      <w:r w:rsidRPr="002A2A4E">
        <w:rPr>
          <w:rStyle w:val="7342"/>
          <w:color w:val="000000" w:themeColor="text1"/>
        </w:rPr>
        <w:tab/>
      </w:r>
      <w:r w:rsidRPr="002A2A4E">
        <w:rPr>
          <w:rStyle w:val="7342"/>
          <w:rFonts w:hint="cs"/>
          <w:color w:val="000000" w:themeColor="text1"/>
          <w:rtl/>
        </w:rPr>
        <w:t xml:space="preserve">מתוך אתר המרשתת של </w:t>
      </w:r>
      <w:r w:rsidRPr="002A2A4E">
        <w:rPr>
          <w:rStyle w:val="7342"/>
          <w:color w:val="000000" w:themeColor="text1"/>
        </w:rPr>
        <w:t>CPLC</w:t>
      </w:r>
      <w:r w:rsidRPr="002A2A4E">
        <w:rPr>
          <w:rStyle w:val="7342"/>
          <w:rFonts w:hint="cs"/>
          <w:color w:val="000000" w:themeColor="text1"/>
          <w:rtl/>
        </w:rPr>
        <w:t xml:space="preserve">. שם ציינה הקואליציה בהקשר של שימוש לא אפקטיבי בתקבולים ממס פחמן כי כלים לתמחור פחמן יכולים להשיא תקבולים משמעותיים אולם האפקטיביות של תמחור פחמן תלויה באפן שבו ייעשה השימוש בהם. תקבולים אלו יכולים לשמש לצורך הפחתת מיסים, תמיכה במשקי בית בעלי הכנסה נמוכה, תמיכה בטכנולוגיות נקיות, לסייע בפתרון בעיות של תחרות הוגנת או לצורך מטרות ציבוריות אחרות. </w:t>
      </w:r>
    </w:p>
  </w:footnote>
  <w:footnote w:id="69">
    <w:p w:rsidR="00F20E3F" w:rsidRPr="002A2A4E" w:rsidP="00F271A9" w14:paraId="235B89CA" w14:textId="77777777">
      <w:pPr>
        <w:pStyle w:val="00"/>
        <w:spacing w:after="0"/>
        <w:rPr>
          <w:rStyle w:val="7342"/>
          <w:color w:val="000000" w:themeColor="text1"/>
          <w:rtl/>
        </w:rPr>
      </w:pPr>
      <w:r w:rsidRPr="002A2A4E">
        <w:rPr>
          <w:rStyle w:val="7342"/>
          <w:color w:val="000000" w:themeColor="text1"/>
        </w:rPr>
        <w:footnoteRef/>
      </w:r>
      <w:r w:rsidRPr="002A2A4E">
        <w:rPr>
          <w:rStyle w:val="7342"/>
          <w:color w:val="000000" w:themeColor="text1"/>
          <w:rtl/>
        </w:rPr>
        <w:t xml:space="preserve"> </w:t>
      </w:r>
      <w:r w:rsidRPr="002A2A4E">
        <w:rPr>
          <w:rStyle w:val="7342"/>
          <w:color w:val="000000" w:themeColor="text1"/>
          <w:rtl/>
        </w:rPr>
        <w:tab/>
      </w:r>
      <w:r w:rsidRPr="002A2A4E">
        <w:rPr>
          <w:rStyle w:val="7342"/>
          <w:rFonts w:hint="cs"/>
          <w:color w:val="000000" w:themeColor="text1"/>
          <w:rtl/>
        </w:rPr>
        <w:t>מסמך ה-</w:t>
      </w:r>
      <w:r w:rsidRPr="002A2A4E">
        <w:rPr>
          <w:rStyle w:val="7342"/>
          <w:color w:val="000000" w:themeColor="text1"/>
        </w:rPr>
        <w:t>OECD</w:t>
      </w:r>
      <w:r w:rsidRPr="002A2A4E">
        <w:rPr>
          <w:rStyle w:val="7342"/>
          <w:color w:val="000000" w:themeColor="text1"/>
          <w:rtl/>
        </w:rPr>
        <w:t xml:space="preserve"> </w:t>
      </w:r>
      <w:r w:rsidRPr="002A2A4E">
        <w:rPr>
          <w:rStyle w:val="7342"/>
          <w:rFonts w:hint="cs"/>
          <w:color w:val="000000" w:themeColor="text1"/>
          <w:rtl/>
        </w:rPr>
        <w:t>בנושא הכנסות מתמחור פחמן:</w:t>
      </w:r>
    </w:p>
    <w:p w:rsidR="00F20E3F" w:rsidRPr="002A2A4E" w:rsidP="00F271A9" w14:paraId="09C1CC79" w14:textId="77777777">
      <w:pPr>
        <w:pStyle w:val="00"/>
        <w:bidi w:val="0"/>
        <w:ind w:left="0" w:right="397" w:firstLine="0"/>
        <w:rPr>
          <w:color w:val="000000" w:themeColor="text1"/>
        </w:rPr>
      </w:pPr>
      <w:r w:rsidRPr="002A2A4E">
        <w:rPr>
          <w:rStyle w:val="7342"/>
          <w:color w:val="000000" w:themeColor="text1"/>
        </w:rPr>
        <w:t xml:space="preserve">Melanie Marten, Kurt van </w:t>
      </w:r>
      <w:r w:rsidRPr="002A2A4E">
        <w:rPr>
          <w:rStyle w:val="7342"/>
          <w:color w:val="000000" w:themeColor="text1"/>
        </w:rPr>
        <w:t>Dender</w:t>
      </w:r>
      <w:r w:rsidRPr="002A2A4E">
        <w:rPr>
          <w:rStyle w:val="7342"/>
          <w:color w:val="000000" w:themeColor="text1"/>
        </w:rPr>
        <w:t>, The use of Revenues from Carbon Pricing, OECD Taxation Working Papers No. 43, OECD</w:t>
      </w:r>
      <w:r w:rsidRPr="002A2A4E">
        <w:rPr>
          <w:color w:val="000000" w:themeColor="text1"/>
          <w:sz w:val="18"/>
          <w:szCs w:val="18"/>
        </w:rPr>
        <w:t xml:space="preserve"> </w:t>
      </w:r>
      <w:r w:rsidRPr="002A2A4E">
        <w:rPr>
          <w:color w:val="000000" w:themeColor="text1"/>
        </w:rPr>
        <w:t xml:space="preserve">2019, </w:t>
      </w:r>
      <w:hyperlink r:id="rId20" w:history="1">
        <w:r w:rsidRPr="002A2A4E">
          <w:rPr>
            <w:rStyle w:val="7334"/>
            <w:color w:val="000000" w:themeColor="text1"/>
            <w:u w:val="none"/>
          </w:rPr>
          <w:t>https://dx.doi.org/10.1787/3cb265e4-en</w:t>
        </w:r>
      </w:hyperlink>
      <w:r w:rsidRPr="002A2A4E">
        <w:rPr>
          <w:color w:val="000000" w:themeColor="text1"/>
        </w:rPr>
        <w:t xml:space="preserve"> </w:t>
      </w:r>
    </w:p>
  </w:footnote>
  <w:footnote w:id="70">
    <w:p w:rsidR="00F20E3F" w:rsidRPr="002A2A4E" w:rsidP="007649F0" w14:paraId="6ACDF95F" w14:textId="77777777">
      <w:pPr>
        <w:pStyle w:val="00"/>
        <w:rPr>
          <w:color w:val="000000" w:themeColor="text1"/>
          <w:rtl/>
        </w:rPr>
      </w:pPr>
      <w:r w:rsidRPr="002A2A4E">
        <w:rPr>
          <w:rStyle w:val="7342"/>
          <w:color w:val="000000" w:themeColor="text1"/>
        </w:rPr>
        <w:footnoteRef/>
      </w:r>
      <w:r w:rsidRPr="002A2A4E">
        <w:rPr>
          <w:rStyle w:val="7342"/>
          <w:color w:val="000000" w:themeColor="text1"/>
          <w:rtl/>
        </w:rPr>
        <w:t xml:space="preserve"> </w:t>
      </w:r>
      <w:r w:rsidRPr="002A2A4E">
        <w:rPr>
          <w:rStyle w:val="7342"/>
          <w:color w:val="000000" w:themeColor="text1"/>
          <w:rtl/>
        </w:rPr>
        <w:tab/>
      </w:r>
      <w:r w:rsidRPr="002A2A4E">
        <w:rPr>
          <w:color w:val="000000" w:themeColor="text1"/>
          <w:rtl/>
        </w:rPr>
        <w:t>דוח הוועדה למיסוי ירוק 3</w:t>
      </w:r>
      <w:r w:rsidRPr="002A2A4E">
        <w:rPr>
          <w:rFonts w:hint="cs"/>
          <w:color w:val="000000" w:themeColor="text1"/>
          <w:rtl/>
        </w:rPr>
        <w:t xml:space="preserve">, </w:t>
      </w:r>
      <w:r w:rsidRPr="002A2A4E">
        <w:rPr>
          <w:color w:val="000000" w:themeColor="text1"/>
          <w:rtl/>
        </w:rPr>
        <w:t>תחליפי נפט לתחבורה</w:t>
      </w:r>
      <w:r w:rsidRPr="002A2A4E">
        <w:rPr>
          <w:rFonts w:hint="cs"/>
          <w:color w:val="000000" w:themeColor="text1"/>
          <w:rtl/>
        </w:rPr>
        <w:t xml:space="preserve">, </w:t>
      </w:r>
      <w:r w:rsidRPr="002A2A4E">
        <w:rPr>
          <w:color w:val="000000" w:themeColor="text1"/>
          <w:rtl/>
        </w:rPr>
        <w:t>רשות המ</w:t>
      </w:r>
      <w:r w:rsidRPr="002A2A4E">
        <w:rPr>
          <w:rFonts w:hint="cs"/>
          <w:color w:val="000000" w:themeColor="text1"/>
          <w:rtl/>
        </w:rPr>
        <w:t>י</w:t>
      </w:r>
      <w:r w:rsidRPr="002A2A4E">
        <w:rPr>
          <w:color w:val="000000" w:themeColor="text1"/>
          <w:rtl/>
        </w:rPr>
        <w:t>סים</w:t>
      </w:r>
      <w:r w:rsidRPr="002A2A4E">
        <w:rPr>
          <w:rFonts w:hint="cs"/>
          <w:color w:val="000000" w:themeColor="text1"/>
          <w:rtl/>
        </w:rPr>
        <w:t>,</w:t>
      </w:r>
      <w:r w:rsidRPr="002A2A4E">
        <w:rPr>
          <w:color w:val="000000" w:themeColor="text1"/>
          <w:rtl/>
        </w:rPr>
        <w:t xml:space="preserve"> משרד האוצר</w:t>
      </w:r>
      <w:r w:rsidRPr="002A2A4E">
        <w:rPr>
          <w:rFonts w:hint="cs"/>
          <w:color w:val="000000" w:themeColor="text1"/>
          <w:rtl/>
        </w:rPr>
        <w:t xml:space="preserve">, משרד ראש הממשלה, המשרד </w:t>
      </w:r>
      <w:r w:rsidRPr="002A2A4E">
        <w:rPr>
          <w:rFonts w:hint="cs"/>
          <w:color w:val="000000" w:themeColor="text1"/>
          <w:rtl/>
        </w:rPr>
        <w:t>להג"ס</w:t>
      </w:r>
      <w:r w:rsidRPr="002A2A4E">
        <w:rPr>
          <w:rFonts w:hint="cs"/>
          <w:color w:val="000000" w:themeColor="text1"/>
          <w:rtl/>
        </w:rPr>
        <w:t xml:space="preserve">, משרד התחבורה ומשרד </w:t>
      </w:r>
      <w:r w:rsidRPr="002A2A4E">
        <w:rPr>
          <w:rFonts w:hint="cs"/>
          <w:color w:val="000000" w:themeColor="text1"/>
          <w:rtl/>
        </w:rPr>
        <w:t>האנרגייה</w:t>
      </w:r>
      <w:r w:rsidRPr="002A2A4E">
        <w:rPr>
          <w:rFonts w:hint="cs"/>
          <w:color w:val="000000" w:themeColor="text1"/>
          <w:rtl/>
        </w:rPr>
        <w:t xml:space="preserve"> (מרץ 2016), עמ' 75. </w:t>
      </w:r>
    </w:p>
  </w:footnote>
  <w:footnote w:id="71">
    <w:p w:rsidR="00F20E3F" w:rsidRPr="002A2A4E" w:rsidP="007649F0" w14:paraId="7AE4B349" w14:textId="77777777">
      <w:pPr>
        <w:pStyle w:val="00"/>
        <w:rPr>
          <w:rStyle w:val="7334"/>
          <w:color w:val="000000" w:themeColor="text1"/>
          <w:u w:val="none"/>
          <w:rtl/>
        </w:rPr>
      </w:pPr>
      <w:r w:rsidRPr="002A2A4E">
        <w:rPr>
          <w:rStyle w:val="7342"/>
          <w:color w:val="000000" w:themeColor="text1"/>
        </w:rPr>
        <w:footnoteRef/>
      </w:r>
      <w:r w:rsidRPr="002A2A4E">
        <w:rPr>
          <w:rStyle w:val="7342"/>
          <w:color w:val="000000" w:themeColor="text1"/>
        </w:rPr>
        <w:t xml:space="preserve"> </w:t>
      </w:r>
      <w:r w:rsidRPr="002A2A4E">
        <w:rPr>
          <w:color w:val="000000" w:themeColor="text1"/>
          <w:rtl/>
        </w:rPr>
        <w:tab/>
        <w:t>ראו</w:t>
      </w:r>
      <w:r w:rsidRPr="002A2A4E">
        <w:rPr>
          <w:rFonts w:asciiTheme="majorBidi" w:hAnsiTheme="majorBidi"/>
          <w:color w:val="000000" w:themeColor="text1"/>
          <w:rtl/>
        </w:rPr>
        <w:t xml:space="preserve">: </w:t>
      </w:r>
      <w:r w:rsidRPr="002A2A4E">
        <w:rPr>
          <w:rStyle w:val="7342"/>
          <w:color w:val="000000" w:themeColor="text1"/>
        </w:rPr>
        <w:t>OECD, 2019</w:t>
      </w:r>
      <w:r w:rsidRPr="002A2A4E">
        <w:rPr>
          <w:rStyle w:val="7334"/>
          <w:color w:val="000000" w:themeColor="text1"/>
          <w:u w:val="none"/>
        </w:rPr>
        <w:t xml:space="preserve">, </w:t>
      </w:r>
      <w:hyperlink r:id="rId21" w:history="1">
        <w:r w:rsidRPr="002A2A4E">
          <w:rPr>
            <w:rStyle w:val="7334"/>
            <w:color w:val="000000" w:themeColor="text1"/>
            <w:u w:val="none"/>
          </w:rPr>
          <w:t>Few countries are pricing carbon high enough to meet climate targets, Tax Policy Analysis</w:t>
        </w:r>
      </w:hyperlink>
      <w:r w:rsidRPr="002A2A4E">
        <w:rPr>
          <w:rStyle w:val="7334"/>
          <w:color w:val="000000" w:themeColor="text1"/>
          <w:u w:val="none"/>
        </w:rPr>
        <w:t>.</w:t>
      </w:r>
    </w:p>
  </w:footnote>
  <w:footnote w:id="72">
    <w:p w:rsidR="00F20E3F" w:rsidRPr="002A2A4E" w:rsidP="007649F0" w14:paraId="32BEE870" w14:textId="77777777">
      <w:pPr>
        <w:pStyle w:val="00"/>
        <w:rPr>
          <w:rFonts w:asciiTheme="majorBidi" w:hAnsiTheme="majorBidi"/>
          <w:color w:val="000000" w:themeColor="text1"/>
          <w:rtl/>
        </w:rPr>
      </w:pPr>
      <w:r w:rsidRPr="002A2A4E">
        <w:rPr>
          <w:rStyle w:val="7342"/>
          <w:color w:val="000000" w:themeColor="text1"/>
        </w:rPr>
        <w:footnoteRef/>
      </w:r>
      <w:r w:rsidRPr="002A2A4E">
        <w:rPr>
          <w:rStyle w:val="7342"/>
          <w:color w:val="000000" w:themeColor="text1"/>
        </w:rPr>
        <w:t xml:space="preserve"> </w:t>
      </w:r>
      <w:r w:rsidRPr="002A2A4E">
        <w:rPr>
          <w:rFonts w:asciiTheme="majorBidi" w:hAnsiTheme="majorBidi"/>
          <w:color w:val="000000" w:themeColor="text1"/>
          <w:rtl/>
        </w:rPr>
        <w:tab/>
        <w:t xml:space="preserve">המחיר הסופי שנקבע לטונה פחמן תלוי בהנחות שונות שמובאות בבסיס התחשיב, למשל בנוגע לשיעור הריבית החלה באותה עת והצפויה בעתיד. </w:t>
      </w:r>
    </w:p>
  </w:footnote>
  <w:footnote w:id="73">
    <w:p w:rsidR="00E33B91" w:rsidRPr="002A2A4E" w:rsidP="00E33B91" w14:paraId="5D3BB003" w14:textId="77777777">
      <w:pPr>
        <w:pStyle w:val="7341"/>
        <w:rPr>
          <w:rStyle w:val="7334"/>
          <w:color w:val="000000" w:themeColor="text1"/>
          <w:u w:val="none"/>
          <w:rtl/>
        </w:rPr>
      </w:pPr>
      <w:r w:rsidRPr="002A2A4E">
        <w:rPr>
          <w:color w:val="000000" w:themeColor="text1"/>
        </w:rPr>
        <w:footnoteRef/>
      </w:r>
      <w:r w:rsidRPr="002A2A4E">
        <w:rPr>
          <w:color w:val="000000" w:themeColor="text1"/>
        </w:rPr>
        <w:t xml:space="preserve"> </w:t>
      </w:r>
      <w:r w:rsidRPr="002A2A4E">
        <w:rPr>
          <w:color w:val="000000" w:themeColor="text1"/>
          <w:rtl/>
        </w:rPr>
        <w:tab/>
        <w:t xml:space="preserve">"קואליציית המנהיגות לתמחור פחמן" (להלן- </w:t>
      </w:r>
      <w:r w:rsidRPr="002A2A4E">
        <w:rPr>
          <w:color w:val="000000" w:themeColor="text1"/>
        </w:rPr>
        <w:t>CPLC</w:t>
      </w:r>
      <w:r w:rsidRPr="002A2A4E">
        <w:rPr>
          <w:color w:val="000000" w:themeColor="text1"/>
          <w:rtl/>
        </w:rPr>
        <w:t>) מטעם הבנק העולמי המליצה על מיסוי בגובה ממוצע בין 50$ ל-100$ לטון פחמן</w:t>
      </w:r>
      <w:r w:rsidRPr="002A2A4E">
        <w:rPr>
          <w:rFonts w:hint="cs"/>
          <w:color w:val="000000" w:themeColor="text1"/>
          <w:rtl/>
        </w:rPr>
        <w:t xml:space="preserve"> </w:t>
      </w:r>
      <w:r w:rsidRPr="002A2A4E">
        <w:rPr>
          <w:color w:val="000000" w:themeColor="text1"/>
          <w:rtl/>
        </w:rPr>
        <w:t>קואליציה זו מורכבת מארגונים לא ממשלתיים, ממשלות לאומיות ותת לאומיות, ארגונים עסקיים ממגזרים רבים ואוניברסיטאות ראו את נספח א׳ בדוח של הבנק העולמי</w:t>
      </w:r>
      <w:r w:rsidRPr="002A2A4E">
        <w:rPr>
          <w:rFonts w:hint="cs"/>
          <w:color w:val="000000" w:themeColor="text1"/>
          <w:rtl/>
        </w:rPr>
        <w:t xml:space="preserve">. </w:t>
      </w:r>
      <w:hyperlink r:id="rId22" w:history="1">
        <w:r w:rsidRPr="002A2A4E">
          <w:rPr>
            <w:rStyle w:val="7334"/>
            <w:color w:val="000000" w:themeColor="text1"/>
            <w:u w:val="none"/>
          </w:rPr>
          <w:t>High-Level Commission on Carbon Prices, 2017, Report of the High-Level Commission on Carbon Prices, World Bank, Washington, D.C</w:t>
        </w:r>
      </w:hyperlink>
      <w:r w:rsidRPr="002A2A4E">
        <w:rPr>
          <w:rStyle w:val="7334"/>
          <w:color w:val="000000" w:themeColor="text1"/>
          <w:u w:val="none"/>
        </w:rPr>
        <w:t xml:space="preserve">. </w:t>
      </w:r>
    </w:p>
  </w:footnote>
  <w:footnote w:id="74">
    <w:p w:rsidR="00E33B91" w:rsidRPr="002A2A4E" w:rsidP="00E33B91" w14:paraId="55DC5714" w14:textId="77777777">
      <w:pPr>
        <w:pStyle w:val="7341"/>
        <w:rPr>
          <w:color w:val="000000" w:themeColor="text1"/>
        </w:rPr>
      </w:pPr>
      <w:r w:rsidRPr="002A2A4E">
        <w:rPr>
          <w:color w:val="000000" w:themeColor="text1"/>
        </w:rPr>
        <w:footnoteRef/>
      </w:r>
      <w:r w:rsidRPr="002A2A4E">
        <w:rPr>
          <w:color w:val="000000" w:themeColor="text1"/>
          <w:rtl/>
        </w:rPr>
        <w:t xml:space="preserve"> </w:t>
      </w:r>
      <w:r w:rsidRPr="002A2A4E">
        <w:rPr>
          <w:color w:val="000000" w:themeColor="text1"/>
          <w:rtl/>
        </w:rPr>
        <w:tab/>
        <w:t xml:space="preserve">מתוך מסמך </w:t>
      </w:r>
      <w:r w:rsidRPr="002A2A4E">
        <w:rPr>
          <w:color w:val="000000" w:themeColor="text1"/>
        </w:rPr>
        <w:t>Fiscal Monitor – How to Mitigate Climate Change</w:t>
      </w:r>
      <w:r w:rsidRPr="002A2A4E">
        <w:rPr>
          <w:color w:val="000000" w:themeColor="text1"/>
          <w:rtl/>
        </w:rPr>
        <w:t>, מסמך סקירה חצי-שנתי של ה-</w:t>
      </w:r>
      <w:r w:rsidRPr="002A2A4E">
        <w:rPr>
          <w:color w:val="000000" w:themeColor="text1"/>
        </w:rPr>
        <w:t>IMF</w:t>
      </w:r>
      <w:r w:rsidRPr="002A2A4E">
        <w:rPr>
          <w:color w:val="000000" w:themeColor="text1"/>
          <w:rtl/>
        </w:rPr>
        <w:t xml:space="preserve">, אוקטובר 2019. </w:t>
      </w:r>
    </w:p>
  </w:footnote>
  <w:footnote w:id="75">
    <w:p w:rsidR="00E33B91" w:rsidRPr="002A2A4E" w:rsidP="00E33B91" w14:paraId="01057B01" w14:textId="77777777">
      <w:pPr>
        <w:pStyle w:val="7341"/>
        <w:rPr>
          <w:color w:val="000000" w:themeColor="text1"/>
        </w:rPr>
      </w:pPr>
      <w:r w:rsidRPr="002A2A4E">
        <w:rPr>
          <w:color w:val="000000" w:themeColor="text1"/>
        </w:rPr>
        <w:footnoteRef/>
      </w:r>
      <w:r w:rsidRPr="002A2A4E">
        <w:rPr>
          <w:color w:val="000000" w:themeColor="text1"/>
          <w:rtl/>
        </w:rPr>
        <w:t xml:space="preserve"> </w:t>
      </w:r>
      <w:r w:rsidRPr="002A2A4E">
        <w:rPr>
          <w:color w:val="000000" w:themeColor="text1"/>
          <w:rtl/>
        </w:rPr>
        <w:tab/>
      </w:r>
      <w:r w:rsidRPr="002A2A4E">
        <w:rPr>
          <w:rFonts w:hint="cs"/>
          <w:color w:val="000000" w:themeColor="text1"/>
          <w:rtl/>
        </w:rPr>
        <w:t>בשנים האחרונות פרסום ארגון ה-</w:t>
      </w:r>
      <w:r w:rsidRPr="002A2A4E">
        <w:rPr>
          <w:rFonts w:hint="cs"/>
          <w:color w:val="000000" w:themeColor="text1"/>
        </w:rPr>
        <w:t>OECD</w:t>
      </w:r>
      <w:r w:rsidRPr="002A2A4E">
        <w:rPr>
          <w:rFonts w:hint="cs"/>
          <w:color w:val="000000" w:themeColor="text1"/>
          <w:rtl/>
        </w:rPr>
        <w:t xml:space="preserve"> כמה מסמכי מדיניות והמלצות בנושאים אלה. ראו: </w:t>
      </w:r>
      <w:r w:rsidRPr="002A2A4E">
        <w:rPr>
          <w:color w:val="000000" w:themeColor="text1"/>
        </w:rPr>
        <w:t xml:space="preserve">OECD (2021). </w:t>
      </w:r>
      <w:hyperlink r:id="rId23" w:history="1">
        <w:r w:rsidRPr="002A2A4E">
          <w:rPr>
            <w:color w:val="000000" w:themeColor="text1"/>
          </w:rPr>
          <w:t>Effective Carbon Rates 2021, Pricing Carbon Emissions Through Taxes and Emissions Trading</w:t>
        </w:r>
      </w:hyperlink>
      <w:r w:rsidRPr="002A2A4E">
        <w:rPr>
          <w:rFonts w:hint="cs"/>
          <w:color w:val="000000" w:themeColor="text1"/>
          <w:rtl/>
        </w:rPr>
        <w:t>.</w:t>
      </w:r>
    </w:p>
  </w:footnote>
  <w:footnote w:id="76">
    <w:p w:rsidR="00E33B91" w:rsidRPr="002A2A4E" w:rsidP="00E33B91" w14:paraId="4A4C7595" w14:textId="77777777">
      <w:pPr>
        <w:pStyle w:val="7341"/>
        <w:rPr>
          <w:color w:val="000000" w:themeColor="text1"/>
        </w:rPr>
      </w:pPr>
      <w:r w:rsidRPr="002A2A4E">
        <w:rPr>
          <w:color w:val="000000" w:themeColor="text1"/>
        </w:rPr>
        <w:footnoteRef/>
      </w:r>
      <w:r w:rsidRPr="002A2A4E">
        <w:rPr>
          <w:color w:val="000000" w:themeColor="text1"/>
          <w:rtl/>
        </w:rPr>
        <w:t xml:space="preserve"> </w:t>
      </w:r>
      <w:r w:rsidRPr="002A2A4E">
        <w:rPr>
          <w:color w:val="000000" w:themeColor="text1"/>
          <w:rtl/>
        </w:rPr>
        <w:tab/>
        <w:t>המשרד להגנת הסביבה, מסמך מדיניות בנושא "תמחור פחמן בישראל", אוגוסט 2021</w:t>
      </w:r>
      <w:r w:rsidRPr="002A2A4E">
        <w:rPr>
          <w:rFonts w:hint="cs"/>
          <w:color w:val="000000" w:themeColor="text1"/>
          <w:rtl/>
        </w:rPr>
        <w:t>.</w:t>
      </w:r>
    </w:p>
  </w:footnote>
  <w:footnote w:id="77">
    <w:p w:rsidR="00F20E3F" w:rsidRPr="002A2A4E" w:rsidP="00E33B91" w14:paraId="43F4ADBB" w14:textId="77777777">
      <w:pPr>
        <w:pStyle w:val="7341"/>
        <w:spacing w:after="0"/>
        <w:rPr>
          <w:color w:val="000000" w:themeColor="text1"/>
          <w:rtl/>
        </w:rPr>
      </w:pPr>
      <w:r w:rsidRPr="002A2A4E">
        <w:rPr>
          <w:rStyle w:val="FootnoteReference2"/>
          <w:color w:val="000000" w:themeColor="text1"/>
          <w:vertAlign w:val="baseline"/>
        </w:rPr>
        <w:footnoteRef/>
      </w:r>
      <w:r w:rsidRPr="002A2A4E">
        <w:rPr>
          <w:color w:val="000000" w:themeColor="text1"/>
          <w:rtl/>
        </w:rPr>
        <w:t xml:space="preserve"> </w:t>
      </w:r>
      <w:r w:rsidRPr="002A2A4E">
        <w:rPr>
          <w:color w:val="000000" w:themeColor="text1"/>
          <w:rtl/>
        </w:rPr>
        <w:tab/>
      </w:r>
      <w:r w:rsidRPr="002A2A4E">
        <w:rPr>
          <w:rFonts w:hint="cs"/>
          <w:color w:val="000000" w:themeColor="text1"/>
          <w:rtl/>
        </w:rPr>
        <w:t xml:space="preserve">ראו את נתוני הבנק העולמי - </w:t>
      </w:r>
      <w:r w:rsidRPr="002A2A4E">
        <w:rPr>
          <w:color w:val="000000" w:themeColor="text1"/>
        </w:rPr>
        <w:t>World Bank Carbon Pricing Dashboard</w:t>
      </w:r>
      <w:r w:rsidRPr="002A2A4E">
        <w:rPr>
          <w:rFonts w:hint="cs"/>
          <w:color w:val="000000" w:themeColor="text1"/>
          <w:rtl/>
        </w:rPr>
        <w:t>:</w:t>
      </w:r>
    </w:p>
    <w:p w:rsidR="00F20E3F" w:rsidRPr="002A2A4E" w:rsidP="00E33B91" w14:paraId="1CB9ACB6" w14:textId="77777777">
      <w:pPr>
        <w:pStyle w:val="7333"/>
        <w:rPr>
          <w:color w:val="000000" w:themeColor="text1"/>
          <w:u w:val="none"/>
        </w:rPr>
      </w:pPr>
      <w:r w:rsidRPr="002A2A4E">
        <w:rPr>
          <w:rFonts w:hint="cs"/>
          <w:color w:val="000000" w:themeColor="text1"/>
          <w:u w:val="none"/>
          <w:rtl/>
        </w:rPr>
        <w:t xml:space="preserve"> </w:t>
      </w:r>
      <w:hyperlink r:id="rId24" w:history="1">
        <w:r w:rsidRPr="002A2A4E">
          <w:rPr>
            <w:rStyle w:val="Hyperlink"/>
            <w:color w:val="000000" w:themeColor="text1"/>
            <w:u w:val="none"/>
          </w:rPr>
          <w:t>https://carbonpricingdashboard.worldbank.org</w:t>
        </w:r>
        <w:r w:rsidRPr="002A2A4E">
          <w:rPr>
            <w:rStyle w:val="Hyperlink"/>
            <w:color w:val="000000" w:themeColor="text1"/>
            <w:u w:val="none"/>
            <w:rtl/>
          </w:rPr>
          <w:t>/</w:t>
        </w:r>
      </w:hyperlink>
      <w:r w:rsidRPr="002A2A4E">
        <w:rPr>
          <w:color w:val="000000" w:themeColor="text1"/>
          <w:u w:val="none"/>
        </w:rPr>
        <w:t xml:space="preserve"> </w:t>
      </w:r>
    </w:p>
  </w:footnote>
  <w:footnote w:id="78">
    <w:p w:rsidR="00F20E3F" w:rsidRPr="002A2A4E" w:rsidP="007649F0" w14:paraId="1A238A6D" w14:textId="77777777">
      <w:pPr>
        <w:pStyle w:val="00"/>
        <w:rPr>
          <w:rStyle w:val="7334"/>
          <w:color w:val="000000" w:themeColor="text1"/>
          <w:u w:val="none"/>
          <w:rtl/>
        </w:rPr>
      </w:pPr>
      <w:r w:rsidRPr="002A2A4E">
        <w:rPr>
          <w:rStyle w:val="7342"/>
          <w:color w:val="000000" w:themeColor="text1"/>
        </w:rPr>
        <w:footnoteRef/>
      </w:r>
      <w:r w:rsidRPr="002A2A4E">
        <w:rPr>
          <w:rStyle w:val="7342"/>
          <w:color w:val="000000" w:themeColor="text1"/>
          <w:rtl/>
        </w:rPr>
        <w:t xml:space="preserve"> </w:t>
      </w:r>
      <w:r w:rsidRPr="002A2A4E">
        <w:rPr>
          <w:color w:val="000000" w:themeColor="text1"/>
          <w:rtl/>
        </w:rPr>
        <w:tab/>
      </w:r>
      <w:r w:rsidRPr="002A2A4E">
        <w:rPr>
          <w:rFonts w:hint="cs"/>
          <w:color w:val="000000" w:themeColor="text1"/>
          <w:rtl/>
        </w:rPr>
        <w:t xml:space="preserve">ראו: </w:t>
      </w:r>
      <w:hyperlink r:id="rId25" w:history="1">
        <w:r w:rsidRPr="002A2A4E">
          <w:rPr>
            <w:rStyle w:val="7334"/>
            <w:color w:val="000000" w:themeColor="text1"/>
            <w:u w:val="none"/>
          </w:rPr>
          <w:t>Technical Support Document: Social Coast of Carbon, Methane and Nitrous Oxide - Interim Estimates under Executive Order 13990, Interagency Working Group on Social Cost of Greenhouse Gases, United States Government, February 2021</w:t>
        </w:r>
      </w:hyperlink>
      <w:r w:rsidRPr="002A2A4E">
        <w:rPr>
          <w:rStyle w:val="7334"/>
          <w:color w:val="000000" w:themeColor="text1"/>
          <w:u w:val="none"/>
        </w:rPr>
        <w:t>.</w:t>
      </w:r>
    </w:p>
  </w:footnote>
  <w:footnote w:id="79">
    <w:p w:rsidR="00F20E3F" w:rsidRPr="002A2A4E" w:rsidP="00E33B91" w14:paraId="608235F0" w14:textId="77777777">
      <w:pPr>
        <w:pStyle w:val="7341"/>
        <w:rPr>
          <w:color w:val="000000" w:themeColor="text1"/>
          <w:rtl/>
        </w:rPr>
      </w:pPr>
      <w:r w:rsidRPr="002A2A4E">
        <w:rPr>
          <w:rStyle w:val="FootnoteReference2"/>
          <w:color w:val="000000" w:themeColor="text1"/>
          <w:vertAlign w:val="baseline"/>
        </w:rPr>
        <w:footnoteRef/>
      </w:r>
      <w:r w:rsidRPr="002A2A4E">
        <w:rPr>
          <w:color w:val="000000" w:themeColor="text1"/>
          <w:rtl/>
        </w:rPr>
        <w:t xml:space="preserve"> </w:t>
      </w:r>
      <w:r w:rsidRPr="002A2A4E">
        <w:rPr>
          <w:color w:val="000000" w:themeColor="text1"/>
          <w:rtl/>
        </w:rPr>
        <w:tab/>
        <w:t xml:space="preserve">המשרד </w:t>
      </w:r>
      <w:r w:rsidRPr="002A2A4E">
        <w:rPr>
          <w:color w:val="000000" w:themeColor="text1"/>
          <w:rtl/>
        </w:rPr>
        <w:t>להג</w:t>
      </w:r>
      <w:r w:rsidRPr="002A2A4E">
        <w:rPr>
          <w:rFonts w:hint="cs"/>
          <w:color w:val="000000" w:themeColor="text1"/>
          <w:rtl/>
        </w:rPr>
        <w:t>"ס</w:t>
      </w:r>
      <w:r w:rsidRPr="002A2A4E">
        <w:rPr>
          <w:color w:val="000000" w:themeColor="text1"/>
          <w:rtl/>
        </w:rPr>
        <w:t xml:space="preserve">, מסמך מדיניות בנושא "תמחור פחמן בישראל" </w:t>
      </w:r>
      <w:r w:rsidRPr="002A2A4E">
        <w:rPr>
          <w:rFonts w:hint="cs"/>
          <w:color w:val="000000" w:themeColor="text1"/>
          <w:rtl/>
        </w:rPr>
        <w:t>(</w:t>
      </w:r>
      <w:r w:rsidRPr="002A2A4E">
        <w:rPr>
          <w:color w:val="000000" w:themeColor="text1"/>
          <w:rtl/>
        </w:rPr>
        <w:t>אוגוסט 2021</w:t>
      </w:r>
      <w:r w:rsidRPr="002A2A4E">
        <w:rPr>
          <w:rFonts w:hint="cs"/>
          <w:color w:val="000000" w:themeColor="text1"/>
          <w:rtl/>
        </w:rPr>
        <w:t>)</w:t>
      </w:r>
      <w:r w:rsidRPr="002A2A4E">
        <w:rPr>
          <w:color w:val="000000" w:themeColor="text1"/>
          <w:rtl/>
        </w:rPr>
        <w:t>.</w:t>
      </w:r>
    </w:p>
  </w:footnote>
  <w:footnote w:id="80">
    <w:p w:rsidR="00F20E3F" w:rsidRPr="002A2A4E" w:rsidP="00E33B91" w14:paraId="7E5C16D2" w14:textId="77777777">
      <w:pPr>
        <w:pStyle w:val="7341"/>
        <w:spacing w:after="0"/>
        <w:rPr>
          <w:color w:val="000000" w:themeColor="text1"/>
          <w:rtl/>
        </w:rPr>
      </w:pPr>
      <w:r w:rsidRPr="002A2A4E">
        <w:rPr>
          <w:rStyle w:val="FootnoteReference2"/>
          <w:color w:val="000000" w:themeColor="text1"/>
          <w:vertAlign w:val="baseline"/>
        </w:rPr>
        <w:footnoteRef/>
      </w:r>
      <w:r w:rsidRPr="002A2A4E">
        <w:rPr>
          <w:color w:val="000000" w:themeColor="text1"/>
          <w:rtl/>
        </w:rPr>
        <w:t xml:space="preserve"> </w:t>
      </w:r>
      <w:r w:rsidRPr="002A2A4E">
        <w:rPr>
          <w:color w:val="000000" w:themeColor="text1"/>
          <w:rtl/>
        </w:rPr>
        <w:tab/>
        <w:t xml:space="preserve">הספר הירוק </w:t>
      </w:r>
      <w:r w:rsidRPr="002A2A4E">
        <w:rPr>
          <w:rFonts w:hint="cs"/>
          <w:color w:val="000000" w:themeColor="text1"/>
          <w:rtl/>
        </w:rPr>
        <w:t>-</w:t>
      </w:r>
      <w:r w:rsidRPr="002A2A4E">
        <w:rPr>
          <w:color w:val="000000" w:themeColor="text1"/>
          <w:rtl/>
        </w:rPr>
        <w:t xml:space="preserve"> הערכה ומדידה של עלויות חיצוניות: עדכון ערכי עלויות חיצוניות של מזהמי אוויר וגזי חממה, 31.12.22</w:t>
      </w:r>
      <w:r w:rsidRPr="002A2A4E">
        <w:rPr>
          <w:rFonts w:hint="cs"/>
          <w:color w:val="000000" w:themeColor="text1"/>
          <w:rtl/>
        </w:rPr>
        <w:t xml:space="preserve">, פורסם ב-3.4.23. ראו: </w:t>
      </w:r>
    </w:p>
    <w:p w:rsidR="00F20E3F" w:rsidRPr="002A2A4E" w:rsidP="00E33B91" w14:paraId="2DE45FF0" w14:textId="77777777">
      <w:pPr>
        <w:pStyle w:val="7333"/>
        <w:ind w:left="0" w:firstLine="0"/>
        <w:rPr>
          <w:color w:val="000000" w:themeColor="text1"/>
          <w:u w:val="none"/>
        </w:rPr>
      </w:pPr>
      <w:hyperlink r:id="rId15" w:history="1">
        <w:r w:rsidRPr="002A2A4E">
          <w:rPr>
            <w:rStyle w:val="Hyperlink"/>
            <w:color w:val="000000" w:themeColor="text1"/>
            <w:u w:val="none"/>
          </w:rPr>
          <w:t>https://www.gov.il/he/departments/publications/reports/green_book_external_costs_air_pollutants_greenhouse_gases</w:t>
        </w:r>
      </w:hyperlink>
      <w:r w:rsidRPr="002A2A4E">
        <w:rPr>
          <w:rFonts w:hint="cs"/>
          <w:color w:val="000000" w:themeColor="text1"/>
          <w:u w:val="none"/>
          <w:rtl/>
        </w:rPr>
        <w:t xml:space="preserve"> </w:t>
      </w:r>
    </w:p>
  </w:footnote>
  <w:footnote w:id="81">
    <w:p w:rsidR="00F20E3F" w:rsidRPr="002A2A4E" w:rsidP="00E33B91" w14:paraId="2D415886" w14:textId="77777777">
      <w:pPr>
        <w:pStyle w:val="00"/>
        <w:spacing w:after="0"/>
        <w:rPr>
          <w:color w:val="000000" w:themeColor="text1"/>
          <w:rtl/>
        </w:rPr>
      </w:pPr>
      <w:r w:rsidRPr="002A2A4E">
        <w:rPr>
          <w:rStyle w:val="7342"/>
          <w:color w:val="000000" w:themeColor="text1"/>
        </w:rPr>
        <w:footnoteRef/>
      </w:r>
      <w:r w:rsidRPr="002A2A4E">
        <w:rPr>
          <w:rStyle w:val="7342"/>
          <w:color w:val="000000" w:themeColor="text1"/>
          <w:rtl/>
        </w:rPr>
        <w:t xml:space="preserve"> </w:t>
      </w:r>
      <w:r w:rsidRPr="002A2A4E">
        <w:rPr>
          <w:color w:val="000000" w:themeColor="text1"/>
          <w:rtl/>
        </w:rPr>
        <w:tab/>
      </w:r>
      <w:r w:rsidRPr="002A2A4E">
        <w:rPr>
          <w:rFonts w:hint="cs"/>
          <w:color w:val="000000" w:themeColor="text1"/>
          <w:rtl/>
        </w:rPr>
        <w:t xml:space="preserve">לפי המשרד </w:t>
      </w:r>
      <w:r w:rsidRPr="002A2A4E">
        <w:rPr>
          <w:rFonts w:hint="cs"/>
          <w:color w:val="000000" w:themeColor="text1"/>
          <w:rtl/>
        </w:rPr>
        <w:t>להג"ס</w:t>
      </w:r>
      <w:r w:rsidRPr="002A2A4E">
        <w:rPr>
          <w:rFonts w:hint="cs"/>
          <w:color w:val="000000" w:themeColor="text1"/>
          <w:rtl/>
        </w:rPr>
        <w:t xml:space="preserve">, </w:t>
      </w:r>
      <w:r w:rsidRPr="002A2A4E">
        <w:rPr>
          <w:color w:val="000000" w:themeColor="text1"/>
          <w:rtl/>
        </w:rPr>
        <w:t>עלויות חיצוניות מבטאות ערך כספי של אובדן רווחה החברתית מפליטת מזהמים וממפגעי סביבה שונים</w:t>
      </w:r>
      <w:r w:rsidRPr="002A2A4E">
        <w:rPr>
          <w:rFonts w:hint="cs"/>
          <w:color w:val="000000" w:themeColor="text1"/>
          <w:rtl/>
        </w:rPr>
        <w:t xml:space="preserve">. ראו באתר המשרד </w:t>
      </w:r>
      <w:r w:rsidRPr="002A2A4E">
        <w:rPr>
          <w:rFonts w:hint="cs"/>
          <w:color w:val="000000" w:themeColor="text1"/>
          <w:rtl/>
        </w:rPr>
        <w:t>להג"ס</w:t>
      </w:r>
      <w:r w:rsidRPr="002A2A4E">
        <w:rPr>
          <w:rFonts w:hint="cs"/>
          <w:color w:val="000000" w:themeColor="text1"/>
          <w:rtl/>
        </w:rPr>
        <w:t xml:space="preserve">: </w:t>
      </w:r>
    </w:p>
    <w:p w:rsidR="00F20E3F" w:rsidRPr="002A2A4E" w:rsidP="007649F0" w14:paraId="3EEDDA75" w14:textId="77777777">
      <w:pPr>
        <w:pStyle w:val="00"/>
        <w:bidi w:val="0"/>
        <w:rPr>
          <w:color w:val="000000" w:themeColor="text1"/>
        </w:rPr>
      </w:pPr>
      <w:r w:rsidRPr="002A2A4E">
        <w:rPr>
          <w:color w:val="000000" w:themeColor="text1"/>
        </w:rPr>
        <w:t>https://www.gov.il/he/departments/guides/external_costs.</w:t>
      </w:r>
    </w:p>
  </w:footnote>
  <w:footnote w:id="82">
    <w:p w:rsidR="00F20E3F" w:rsidRPr="002A2A4E" w:rsidP="007649F0" w14:paraId="45E282CF" w14:textId="77777777">
      <w:pPr>
        <w:pStyle w:val="00"/>
        <w:rPr>
          <w:color w:val="000000" w:themeColor="text1"/>
          <w:rtl/>
        </w:rPr>
      </w:pPr>
      <w:r w:rsidRPr="002A2A4E">
        <w:rPr>
          <w:rStyle w:val="7342"/>
          <w:color w:val="000000" w:themeColor="text1"/>
        </w:rPr>
        <w:footnoteRef/>
      </w:r>
      <w:r w:rsidRPr="002A2A4E">
        <w:rPr>
          <w:rStyle w:val="7342"/>
          <w:color w:val="000000" w:themeColor="text1"/>
          <w:rtl/>
        </w:rPr>
        <w:t xml:space="preserve"> </w:t>
      </w:r>
      <w:r w:rsidRPr="002A2A4E">
        <w:rPr>
          <w:rStyle w:val="7342"/>
          <w:color w:val="000000" w:themeColor="text1"/>
          <w:rtl/>
        </w:rPr>
        <w:tab/>
      </w:r>
      <w:r w:rsidRPr="002A2A4E">
        <w:rPr>
          <w:color w:val="000000" w:themeColor="text1"/>
          <w:rtl/>
        </w:rPr>
        <w:t>למשל</w:t>
      </w:r>
      <w:r w:rsidRPr="002A2A4E">
        <w:rPr>
          <w:rFonts w:hint="cs"/>
          <w:color w:val="000000" w:themeColor="text1"/>
          <w:rtl/>
        </w:rPr>
        <w:t>,</w:t>
      </w:r>
      <w:r w:rsidRPr="002A2A4E">
        <w:rPr>
          <w:color w:val="000000" w:themeColor="text1"/>
          <w:rtl/>
        </w:rPr>
        <w:t xml:space="preserve"> תמ</w:t>
      </w:r>
      <w:r w:rsidRPr="002A2A4E">
        <w:rPr>
          <w:rFonts w:hint="cs"/>
          <w:color w:val="000000" w:themeColor="text1"/>
          <w:rtl/>
        </w:rPr>
        <w:t>ח</w:t>
      </w:r>
      <w:r w:rsidRPr="002A2A4E">
        <w:rPr>
          <w:color w:val="000000" w:themeColor="text1"/>
          <w:rtl/>
        </w:rPr>
        <w:t xml:space="preserve">ור פחמן באמצעות </w:t>
      </w:r>
      <w:r w:rsidRPr="002A2A4E">
        <w:rPr>
          <w:rFonts w:hint="cs"/>
          <w:color w:val="000000" w:themeColor="text1"/>
          <w:rtl/>
        </w:rPr>
        <w:t xml:space="preserve">האסדרה של </w:t>
      </w:r>
      <w:r w:rsidRPr="002A2A4E">
        <w:rPr>
          <w:color w:val="000000" w:themeColor="text1"/>
          <w:rtl/>
        </w:rPr>
        <w:t>סחר בפליטות באיחוד האירופי, וכן מס פחמן מעוגן בחוק ב</w:t>
      </w:r>
      <w:r w:rsidRPr="002A2A4E">
        <w:rPr>
          <w:rFonts w:hint="cs"/>
          <w:color w:val="000000" w:themeColor="text1"/>
          <w:rtl/>
        </w:rPr>
        <w:t xml:space="preserve">מדינות כמו </w:t>
      </w:r>
      <w:r w:rsidRPr="002A2A4E">
        <w:rPr>
          <w:color w:val="000000" w:themeColor="text1"/>
          <w:rtl/>
        </w:rPr>
        <w:t>שוודיה, אירלנד, איסלנד וצ'ילה</w:t>
      </w:r>
      <w:r w:rsidRPr="002A2A4E">
        <w:rPr>
          <w:rFonts w:hint="cs"/>
          <w:color w:val="000000" w:themeColor="text1"/>
          <w:rtl/>
        </w:rPr>
        <w:t>.</w:t>
      </w:r>
    </w:p>
  </w:footnote>
  <w:footnote w:id="83">
    <w:p w:rsidR="00F20E3F" w:rsidRPr="002A2A4E" w:rsidP="00E33B91" w14:paraId="1DC123E8" w14:textId="77777777">
      <w:pPr>
        <w:pStyle w:val="00"/>
        <w:spacing w:after="0"/>
        <w:rPr>
          <w:color w:val="000000" w:themeColor="text1"/>
          <w:rtl/>
        </w:rPr>
      </w:pPr>
      <w:r w:rsidRPr="002A2A4E">
        <w:rPr>
          <w:rStyle w:val="7342"/>
          <w:color w:val="000000" w:themeColor="text1"/>
        </w:rPr>
        <w:footnoteRef/>
      </w:r>
      <w:r w:rsidRPr="002A2A4E">
        <w:rPr>
          <w:rStyle w:val="7342"/>
          <w:color w:val="000000" w:themeColor="text1"/>
          <w:rtl/>
        </w:rPr>
        <w:t xml:space="preserve"> </w:t>
      </w:r>
      <w:r w:rsidRPr="002A2A4E">
        <w:rPr>
          <w:rStyle w:val="7342"/>
          <w:color w:val="000000" w:themeColor="text1"/>
          <w:rtl/>
        </w:rPr>
        <w:tab/>
      </w:r>
      <w:r w:rsidRPr="002A2A4E">
        <w:rPr>
          <w:rStyle w:val="7342"/>
          <w:rFonts w:hint="cs"/>
          <w:color w:val="000000" w:themeColor="text1"/>
          <w:rtl/>
        </w:rPr>
        <w:t>סקר ביצועים סביבתיים של ה-</w:t>
      </w:r>
      <w:r w:rsidRPr="002A2A4E">
        <w:rPr>
          <w:rStyle w:val="7342"/>
          <w:rFonts w:hint="cs"/>
          <w:color w:val="000000" w:themeColor="text1"/>
        </w:rPr>
        <w:t>OECD</w:t>
      </w:r>
      <w:r w:rsidRPr="002A2A4E">
        <w:rPr>
          <w:rStyle w:val="7342"/>
          <w:rFonts w:hint="cs"/>
          <w:color w:val="000000" w:themeColor="text1"/>
          <w:rtl/>
        </w:rPr>
        <w:t xml:space="preserve"> על</w:t>
      </w:r>
      <w:r w:rsidRPr="002A2A4E">
        <w:rPr>
          <w:rFonts w:hint="cs"/>
          <w:color w:val="000000" w:themeColor="text1"/>
          <w:rtl/>
        </w:rPr>
        <w:t xml:space="preserve"> ישראל:</w:t>
      </w:r>
    </w:p>
    <w:p w:rsidR="00F20E3F" w:rsidRPr="002A2A4E" w:rsidP="001B7764" w14:paraId="158B338E" w14:textId="77777777">
      <w:pPr>
        <w:pStyle w:val="00"/>
        <w:bidi w:val="0"/>
        <w:ind w:left="0" w:right="397" w:firstLine="0"/>
        <w:rPr>
          <w:color w:val="000000" w:themeColor="text1"/>
        </w:rPr>
      </w:pPr>
      <w:r w:rsidRPr="002A2A4E">
        <w:rPr>
          <w:i/>
          <w:iCs/>
          <w:color w:val="000000" w:themeColor="text1"/>
        </w:rPr>
        <w:t>OECD Environmental Performance Reviews: Israel 2023</w:t>
      </w:r>
      <w:r w:rsidRPr="002A2A4E">
        <w:rPr>
          <w:color w:val="000000" w:themeColor="text1"/>
        </w:rPr>
        <w:t xml:space="preserve">, OECD Environmental Performance Reviews, 20203, OECD, p. 53. Publishing, Paris, </w:t>
      </w:r>
      <w:hyperlink r:id="rId12" w:history="1">
        <w:r w:rsidRPr="002A2A4E">
          <w:rPr>
            <w:rStyle w:val="7334"/>
            <w:color w:val="000000" w:themeColor="text1"/>
            <w:u w:val="none"/>
          </w:rPr>
          <w:t>https://doi.org/10.1787/0175ae95-en</w:t>
        </w:r>
      </w:hyperlink>
      <w:r w:rsidRPr="002A2A4E">
        <w:rPr>
          <w:color w:val="000000" w:themeColor="text1"/>
        </w:rPr>
        <w:t xml:space="preserve"> </w:t>
      </w:r>
    </w:p>
  </w:footnote>
  <w:footnote w:id="84">
    <w:p w:rsidR="00F20E3F" w:rsidRPr="002A2A4E" w:rsidP="007649F0" w14:paraId="184591E0" w14:textId="77777777">
      <w:pPr>
        <w:pStyle w:val="00"/>
        <w:rPr>
          <w:color w:val="000000" w:themeColor="text1"/>
        </w:rPr>
      </w:pPr>
      <w:r w:rsidRPr="002A2A4E">
        <w:rPr>
          <w:rStyle w:val="7342"/>
          <w:color w:val="000000" w:themeColor="text1"/>
        </w:rPr>
        <w:footnoteRef/>
      </w:r>
      <w:r w:rsidRPr="002A2A4E">
        <w:rPr>
          <w:rStyle w:val="7342"/>
          <w:color w:val="000000" w:themeColor="text1"/>
          <w:rtl/>
        </w:rPr>
        <w:t xml:space="preserve"> </w:t>
      </w:r>
      <w:r w:rsidRPr="002A2A4E">
        <w:rPr>
          <w:rStyle w:val="7342"/>
          <w:color w:val="000000" w:themeColor="text1"/>
          <w:rtl/>
        </w:rPr>
        <w:tab/>
      </w:r>
      <w:r w:rsidRPr="002A2A4E">
        <w:rPr>
          <w:rStyle w:val="7342"/>
          <w:rFonts w:hint="cs"/>
          <w:color w:val="000000" w:themeColor="text1"/>
          <w:rtl/>
        </w:rPr>
        <w:t>מדובר</w:t>
      </w:r>
      <w:r w:rsidRPr="002A2A4E">
        <w:rPr>
          <w:rFonts w:hint="cs"/>
          <w:color w:val="000000" w:themeColor="text1"/>
          <w:rtl/>
        </w:rPr>
        <w:t xml:space="preserve"> </w:t>
      </w:r>
      <w:r w:rsidRPr="002A2A4E">
        <w:rPr>
          <w:rFonts w:hint="cs"/>
          <w:color w:val="000000" w:themeColor="text1"/>
          <w:rtl/>
        </w:rPr>
        <w:t>בגז"ח</w:t>
      </w:r>
      <w:r w:rsidRPr="002A2A4E">
        <w:rPr>
          <w:rFonts w:hint="cs"/>
          <w:color w:val="000000" w:themeColor="text1"/>
          <w:rtl/>
        </w:rPr>
        <w:t xml:space="preserve"> מתאן (</w:t>
      </w:r>
      <w:r w:rsidRPr="002A2A4E">
        <w:rPr>
          <w:color w:val="000000" w:themeColor="text1"/>
        </w:rPr>
        <w:t>CH4</w:t>
      </w:r>
      <w:r w:rsidRPr="002A2A4E">
        <w:rPr>
          <w:rFonts w:hint="cs"/>
          <w:color w:val="000000" w:themeColor="text1"/>
          <w:rtl/>
        </w:rPr>
        <w:t>) וחמצן דו-חנקני (</w:t>
      </w:r>
      <w:r w:rsidRPr="002A2A4E">
        <w:rPr>
          <w:color w:val="000000" w:themeColor="text1"/>
        </w:rPr>
        <w:t>N</w:t>
      </w:r>
      <w:r w:rsidRPr="002A2A4E">
        <w:rPr>
          <w:color w:val="000000" w:themeColor="text1"/>
          <w:vertAlign w:val="subscript"/>
        </w:rPr>
        <w:t>2</w:t>
      </w:r>
      <w:r w:rsidRPr="002A2A4E">
        <w:rPr>
          <w:color w:val="000000" w:themeColor="text1"/>
        </w:rPr>
        <w:t>O</w:t>
      </w:r>
      <w:r w:rsidRPr="002A2A4E">
        <w:rPr>
          <w:rFonts w:hint="cs"/>
          <w:color w:val="000000" w:themeColor="text1"/>
          <w:rtl/>
        </w:rPr>
        <w:t xml:space="preserve">). </w:t>
      </w:r>
    </w:p>
  </w:footnote>
  <w:footnote w:id="85">
    <w:p w:rsidR="00F20E3F" w:rsidRPr="002A2A4E" w:rsidP="00AE058C" w14:paraId="3FF9F632" w14:textId="77777777">
      <w:pPr>
        <w:pStyle w:val="713"/>
        <w:rPr>
          <w:color w:val="000000" w:themeColor="text1"/>
        </w:rPr>
      </w:pPr>
      <w:r w:rsidRPr="002A2A4E">
        <w:rPr>
          <w:rStyle w:val="FootnoteReference2"/>
          <w:color w:val="000000" w:themeColor="text1"/>
          <w:vertAlign w:val="baseline"/>
        </w:rPr>
        <w:footnoteRef/>
      </w:r>
      <w:r w:rsidRPr="002A2A4E">
        <w:rPr>
          <w:color w:val="000000" w:themeColor="text1"/>
          <w:rtl/>
        </w:rPr>
        <w:t xml:space="preserve"> </w:t>
      </w:r>
      <w:r w:rsidRPr="002A2A4E">
        <w:rPr>
          <w:color w:val="000000" w:themeColor="text1"/>
          <w:rtl/>
        </w:rPr>
        <w:tab/>
      </w:r>
      <w:hyperlink r:id="rId17" w:history="1">
        <w:r w:rsidRPr="002A2A4E">
          <w:rPr>
            <w:rStyle w:val="7334"/>
            <w:color w:val="000000" w:themeColor="text1"/>
            <w:u w:val="none"/>
            <w:rtl/>
          </w:rPr>
          <w:t>החלטה 286</w:t>
        </w:r>
      </w:hyperlink>
      <w:r w:rsidRPr="002A2A4E">
        <w:rPr>
          <w:rFonts w:hint="cs"/>
          <w:color w:val="000000" w:themeColor="text1"/>
          <w:rtl/>
        </w:rPr>
        <w:t xml:space="preserve"> לתמחור פליטות גזי חממה. </w:t>
      </w:r>
    </w:p>
  </w:footnote>
  <w:footnote w:id="86">
    <w:p w:rsidR="006009D7" w:rsidRPr="002A2A4E" w:rsidP="00AE058C" w14:paraId="44A8E2C8" w14:textId="77777777">
      <w:pPr>
        <w:pStyle w:val="713"/>
        <w:rPr>
          <w:color w:val="000000" w:themeColor="text1"/>
        </w:rPr>
      </w:pPr>
      <w:r w:rsidRPr="002A2A4E">
        <w:rPr>
          <w:rStyle w:val="FootnoteReference2"/>
          <w:color w:val="000000" w:themeColor="text1"/>
          <w:vertAlign w:val="baseline"/>
        </w:rPr>
        <w:footnoteRef/>
      </w:r>
      <w:r w:rsidRPr="002A2A4E">
        <w:rPr>
          <w:color w:val="000000" w:themeColor="text1"/>
          <w:rtl/>
        </w:rPr>
        <w:t xml:space="preserve"> </w:t>
      </w:r>
      <w:r w:rsidRPr="002A2A4E">
        <w:rPr>
          <w:color w:val="000000" w:themeColor="text1"/>
          <w:rtl/>
        </w:rPr>
        <w:tab/>
        <w:t xml:space="preserve">גז פחמימני מעובה </w:t>
      </w:r>
      <w:r w:rsidRPr="002A2A4E">
        <w:rPr>
          <w:rFonts w:hint="cs"/>
          <w:color w:val="000000" w:themeColor="text1"/>
          <w:rtl/>
        </w:rPr>
        <w:t xml:space="preserve">- מוכר גם כגז בישול. בשימוש משקי בית, תחבורה ותעשייה. </w:t>
      </w:r>
    </w:p>
  </w:footnote>
  <w:footnote w:id="87">
    <w:p w:rsidR="006009D7" w:rsidRPr="002A2A4E" w:rsidP="00AE058C" w14:paraId="1E10DAE4" w14:textId="77777777">
      <w:pPr>
        <w:pStyle w:val="713"/>
        <w:rPr>
          <w:color w:val="000000" w:themeColor="text1"/>
          <w:rtl/>
        </w:rPr>
      </w:pPr>
      <w:r w:rsidRPr="002A2A4E">
        <w:rPr>
          <w:rStyle w:val="FootnoteReference2"/>
          <w:color w:val="000000" w:themeColor="text1"/>
          <w:vertAlign w:val="baseline"/>
        </w:rPr>
        <w:footnoteRef/>
      </w:r>
      <w:r w:rsidRPr="002A2A4E">
        <w:rPr>
          <w:color w:val="000000" w:themeColor="text1"/>
          <w:rtl/>
        </w:rPr>
        <w:t xml:space="preserve"> </w:t>
      </w:r>
      <w:r w:rsidRPr="002A2A4E">
        <w:rPr>
          <w:color w:val="000000" w:themeColor="text1"/>
          <w:rtl/>
        </w:rPr>
        <w:tab/>
      </w:r>
      <w:r w:rsidRPr="002A2A4E">
        <w:rPr>
          <w:rFonts w:hint="cs"/>
          <w:color w:val="000000" w:themeColor="text1"/>
          <w:rtl/>
        </w:rPr>
        <w:t>הפטקוק</w:t>
      </w:r>
      <w:r w:rsidRPr="002A2A4E">
        <w:rPr>
          <w:rFonts w:hint="cs"/>
          <w:color w:val="000000" w:themeColor="text1"/>
          <w:rtl/>
        </w:rPr>
        <w:t xml:space="preserve"> </w:t>
      </w:r>
      <w:r w:rsidRPr="002A2A4E">
        <w:rPr>
          <w:color w:val="000000" w:themeColor="text1"/>
          <w:rtl/>
        </w:rPr>
        <w:t>משמש כחומר הבעירה העיקרי בתהליכי יצור מלט</w:t>
      </w:r>
      <w:r w:rsidRPr="002A2A4E">
        <w:rPr>
          <w:rFonts w:hint="cs"/>
          <w:color w:val="000000" w:themeColor="text1"/>
          <w:rtl/>
        </w:rPr>
        <w:t>.</w:t>
      </w:r>
    </w:p>
  </w:footnote>
  <w:footnote w:id="88">
    <w:p w:rsidR="00F20E3F" w:rsidRPr="002A2A4E" w:rsidP="00AE058C" w14:paraId="28F970B2" w14:textId="77777777">
      <w:pPr>
        <w:pStyle w:val="713"/>
        <w:rPr>
          <w:color w:val="000000" w:themeColor="text1"/>
          <w:rtl/>
        </w:rPr>
      </w:pPr>
      <w:r w:rsidRPr="002A2A4E">
        <w:rPr>
          <w:rStyle w:val="FootnoteReference2"/>
          <w:color w:val="000000" w:themeColor="text1"/>
          <w:vertAlign w:val="baseline"/>
        </w:rPr>
        <w:footnoteRef/>
      </w:r>
      <w:r w:rsidRPr="002A2A4E">
        <w:rPr>
          <w:color w:val="000000" w:themeColor="text1"/>
          <w:rtl/>
        </w:rPr>
        <w:t xml:space="preserve"> </w:t>
      </w:r>
      <w:r w:rsidRPr="002A2A4E">
        <w:rPr>
          <w:color w:val="000000" w:themeColor="text1"/>
          <w:rtl/>
        </w:rPr>
        <w:tab/>
      </w:r>
      <w:r w:rsidRPr="002A2A4E">
        <w:rPr>
          <w:rFonts w:hint="cs"/>
          <w:color w:val="000000" w:themeColor="text1"/>
          <w:rtl/>
        </w:rPr>
        <w:t>תמחור באמצעות הטלת מס או היטל על הפקת דלקים או יבואם.</w:t>
      </w:r>
    </w:p>
  </w:footnote>
  <w:footnote w:id="89">
    <w:p w:rsidR="00F20E3F" w:rsidRPr="002A2A4E" w:rsidP="00AE058C" w14:paraId="046522F3" w14:textId="77777777">
      <w:pPr>
        <w:pStyle w:val="713"/>
        <w:rPr>
          <w:color w:val="000000" w:themeColor="text1"/>
        </w:rPr>
      </w:pPr>
      <w:r w:rsidRPr="002A2A4E">
        <w:rPr>
          <w:rStyle w:val="FootnoteReference2"/>
          <w:color w:val="000000" w:themeColor="text1"/>
          <w:vertAlign w:val="baseline"/>
        </w:rPr>
        <w:footnoteRef/>
      </w:r>
      <w:r w:rsidRPr="002A2A4E">
        <w:rPr>
          <w:color w:val="000000" w:themeColor="text1"/>
          <w:rtl/>
        </w:rPr>
        <w:t xml:space="preserve"> </w:t>
      </w:r>
      <w:r w:rsidRPr="002A2A4E">
        <w:rPr>
          <w:color w:val="000000" w:themeColor="text1"/>
          <w:rtl/>
        </w:rPr>
        <w:tab/>
      </w:r>
      <w:r w:rsidRPr="002A2A4E">
        <w:rPr>
          <w:rFonts w:hint="cs"/>
          <w:color w:val="000000" w:themeColor="text1"/>
          <w:rtl/>
        </w:rPr>
        <w:t xml:space="preserve">גורמים המחויבים לדווח על פליטות לפי </w:t>
      </w:r>
      <w:r w:rsidRPr="002A2A4E">
        <w:rPr>
          <w:color w:val="000000" w:themeColor="text1"/>
          <w:rtl/>
        </w:rPr>
        <w:t xml:space="preserve">חוק הגנת הסביבה (פליטות והעברות לסביבה </w:t>
      </w:r>
      <w:r w:rsidRPr="002A2A4E">
        <w:rPr>
          <w:rFonts w:hint="cs"/>
          <w:color w:val="000000" w:themeColor="text1"/>
          <w:rtl/>
        </w:rPr>
        <w:t>-</w:t>
      </w:r>
      <w:r w:rsidRPr="002A2A4E">
        <w:rPr>
          <w:color w:val="000000" w:themeColor="text1"/>
          <w:rtl/>
        </w:rPr>
        <w:t xml:space="preserve"> חובות דיווח ומרשם), </w:t>
      </w:r>
      <w:r w:rsidRPr="002A2A4E">
        <w:rPr>
          <w:rFonts w:hint="cs"/>
          <w:color w:val="000000" w:themeColor="text1"/>
          <w:rtl/>
        </w:rPr>
        <w:t>ה</w:t>
      </w:r>
      <w:r w:rsidRPr="002A2A4E">
        <w:rPr>
          <w:color w:val="000000" w:themeColor="text1"/>
          <w:rtl/>
        </w:rPr>
        <w:t>תשע"ב-2012</w:t>
      </w:r>
      <w:r w:rsidRPr="002A2A4E">
        <w:rPr>
          <w:rFonts w:hint="cs"/>
          <w:color w:val="000000" w:themeColor="text1"/>
          <w:rtl/>
        </w:rPr>
        <w:t xml:space="preserve">. לפי חוק אוויר נקי, המשרד </w:t>
      </w:r>
      <w:r w:rsidRPr="002A2A4E">
        <w:rPr>
          <w:rFonts w:hint="cs"/>
          <w:color w:val="000000" w:themeColor="text1"/>
          <w:rtl/>
        </w:rPr>
        <w:t>להג"ס</w:t>
      </w:r>
      <w:r w:rsidRPr="002A2A4E">
        <w:rPr>
          <w:rFonts w:hint="cs"/>
          <w:color w:val="000000" w:themeColor="text1"/>
          <w:rtl/>
        </w:rPr>
        <w:t xml:space="preserve"> יכול להטיל היטלים על גורמים החייבים בהיתרי פליטה. </w:t>
      </w:r>
    </w:p>
  </w:footnote>
  <w:footnote w:id="90">
    <w:p w:rsidR="00F20E3F" w:rsidRPr="002A2A4E" w:rsidP="004F2B67" w14:paraId="36FA864A" w14:textId="77777777">
      <w:pPr>
        <w:pStyle w:val="713"/>
        <w:rPr>
          <w:color w:val="000000" w:themeColor="text1"/>
          <w:rtl/>
        </w:rPr>
      </w:pPr>
      <w:r w:rsidRPr="002A2A4E">
        <w:rPr>
          <w:rStyle w:val="FootnoteReference2"/>
          <w:color w:val="000000" w:themeColor="text1"/>
          <w:vertAlign w:val="baseline"/>
        </w:rPr>
        <w:footnoteRef/>
      </w:r>
      <w:r w:rsidRPr="002A2A4E">
        <w:rPr>
          <w:color w:val="000000" w:themeColor="text1"/>
          <w:rtl/>
        </w:rPr>
        <w:t xml:space="preserve"> </w:t>
      </w:r>
      <w:r w:rsidRPr="002A2A4E">
        <w:rPr>
          <w:color w:val="000000" w:themeColor="text1"/>
          <w:rtl/>
        </w:rPr>
        <w:tab/>
      </w:r>
      <w:r w:rsidRPr="002A2A4E">
        <w:rPr>
          <w:rFonts w:hint="cs"/>
          <w:color w:val="000000" w:themeColor="text1"/>
          <w:rtl/>
        </w:rPr>
        <w:t>מרכז המחקר והמידע של הכנסת, נתונים על תמחור פחמן במדינות ה-</w:t>
      </w:r>
      <w:r w:rsidRPr="002A2A4E">
        <w:rPr>
          <w:color w:val="000000" w:themeColor="text1"/>
        </w:rPr>
        <w:t>OECD</w:t>
      </w:r>
      <w:r w:rsidRPr="002A2A4E">
        <w:rPr>
          <w:color w:val="000000" w:themeColor="text1"/>
          <w:rtl/>
        </w:rPr>
        <w:t xml:space="preserve"> </w:t>
      </w:r>
      <w:r w:rsidRPr="002A2A4E">
        <w:rPr>
          <w:rFonts w:hint="cs"/>
          <w:color w:val="000000" w:themeColor="text1"/>
          <w:rtl/>
        </w:rPr>
        <w:t>וה-</w:t>
      </w:r>
      <w:r w:rsidRPr="002A2A4E">
        <w:rPr>
          <w:rFonts w:hint="cs"/>
          <w:color w:val="000000" w:themeColor="text1"/>
        </w:rPr>
        <w:t>G</w:t>
      </w:r>
      <w:r w:rsidRPr="002A2A4E">
        <w:rPr>
          <w:color w:val="000000" w:themeColor="text1"/>
        </w:rPr>
        <w:t>20</w:t>
      </w:r>
      <w:r w:rsidRPr="002A2A4E">
        <w:rPr>
          <w:rFonts w:hint="cs"/>
          <w:color w:val="000000" w:themeColor="text1"/>
          <w:rtl/>
        </w:rPr>
        <w:t xml:space="preserve"> לפי ענפי משק (מרץ 2022).</w:t>
      </w:r>
    </w:p>
  </w:footnote>
  <w:footnote w:id="91">
    <w:p w:rsidR="00F20E3F" w:rsidRPr="002A2A4E" w:rsidP="004F2B67" w14:paraId="43FE9FB2" w14:textId="77777777">
      <w:pPr>
        <w:pStyle w:val="713"/>
        <w:spacing w:after="0"/>
        <w:rPr>
          <w:color w:val="000000" w:themeColor="text1"/>
        </w:rPr>
      </w:pPr>
      <w:r w:rsidRPr="002A2A4E">
        <w:rPr>
          <w:rStyle w:val="FootnoteReference2"/>
          <w:color w:val="000000" w:themeColor="text1"/>
          <w:vertAlign w:val="baseline"/>
        </w:rPr>
        <w:footnoteRef/>
      </w:r>
      <w:r w:rsidRPr="002A2A4E">
        <w:rPr>
          <w:color w:val="000000" w:themeColor="text1"/>
          <w:rtl/>
        </w:rPr>
        <w:t xml:space="preserve"> </w:t>
      </w:r>
      <w:r w:rsidRPr="002A2A4E">
        <w:rPr>
          <w:color w:val="000000" w:themeColor="text1"/>
          <w:rtl/>
        </w:rPr>
        <w:tab/>
      </w:r>
      <w:r w:rsidRPr="002A2A4E">
        <w:rPr>
          <w:rFonts w:hint="cs"/>
          <w:color w:val="000000" w:themeColor="text1"/>
          <w:rtl/>
        </w:rPr>
        <w:t>לפי הבנק העולמי:</w:t>
      </w:r>
      <w:r w:rsidRPr="002A2A4E">
        <w:rPr>
          <w:rStyle w:val="7334"/>
          <w:color w:val="000000" w:themeColor="text1"/>
          <w:u w:val="none"/>
        </w:rPr>
        <w:t xml:space="preserve"> </w:t>
      </w:r>
      <w:hyperlink r:id="rId26" w:history="1">
        <w:r w:rsidRPr="002A2A4E">
          <w:rPr>
            <w:rStyle w:val="7334"/>
            <w:color w:val="000000" w:themeColor="text1"/>
            <w:u w:val="none"/>
          </w:rPr>
          <w:t>https://carbonpricingdashboard.worldbank.org/what-carbon-pricing</w:t>
        </w:r>
      </w:hyperlink>
      <w:r w:rsidRPr="002A2A4E">
        <w:rPr>
          <w:color w:val="000000" w:themeColor="text1"/>
        </w:rPr>
        <w:t xml:space="preserve"> </w:t>
      </w:r>
    </w:p>
    <w:p w:rsidR="00F20E3F" w:rsidRPr="002A2A4E" w:rsidP="004F2B67" w14:paraId="1A414F33" w14:textId="77777777">
      <w:pPr>
        <w:pStyle w:val="00"/>
        <w:bidi w:val="0"/>
        <w:ind w:left="0" w:right="397" w:firstLine="0"/>
        <w:rPr>
          <w:color w:val="000000" w:themeColor="text1"/>
        </w:rPr>
      </w:pPr>
      <w:r w:rsidRPr="002A2A4E">
        <w:rPr>
          <w:color w:val="000000" w:themeColor="text1"/>
        </w:rPr>
        <w:t>"…carbon pricing refers to initiatives that put an explicit price on GHG emissions, i.e. a price expressed as a value per ton of carbon dioxide equivalent (tCO</w:t>
      </w:r>
      <w:r w:rsidRPr="006B77A8">
        <w:rPr>
          <w:color w:val="000000" w:themeColor="text1"/>
          <w:vertAlign w:val="subscript"/>
        </w:rPr>
        <w:t>2</w:t>
      </w:r>
      <w:r w:rsidRPr="002A2A4E">
        <w:rPr>
          <w:color w:val="000000" w:themeColor="text1"/>
        </w:rPr>
        <w:t>e)</w:t>
      </w:r>
      <w:r w:rsidRPr="002A2A4E">
        <w:rPr>
          <w:rFonts w:hint="cs"/>
          <w:color w:val="000000" w:themeColor="text1"/>
          <w:rtl/>
        </w:rPr>
        <w:t>"</w:t>
      </w:r>
      <w:r w:rsidRPr="002A2A4E">
        <w:rPr>
          <w:color w:val="000000" w:themeColor="text1"/>
        </w:rPr>
        <w:t>.</w:t>
      </w:r>
      <w:r w:rsidRPr="002A2A4E">
        <w:rPr>
          <w:color w:val="000000" w:themeColor="text1"/>
          <w:rtl/>
        </w:rPr>
        <w:tab/>
      </w:r>
    </w:p>
  </w:footnote>
  <w:footnote w:id="92">
    <w:p w:rsidR="00F20E3F" w:rsidRPr="002A2A4E" w:rsidP="007649F0" w14:paraId="568821B5" w14:textId="77777777">
      <w:pPr>
        <w:pStyle w:val="00"/>
        <w:rPr>
          <w:color w:val="000000" w:themeColor="text1"/>
          <w:rtl/>
        </w:rPr>
      </w:pPr>
      <w:r w:rsidRPr="002A2A4E">
        <w:rPr>
          <w:rStyle w:val="71Char"/>
          <w:color w:val="000000" w:themeColor="text1"/>
        </w:rPr>
        <w:footnoteRef/>
      </w:r>
      <w:r w:rsidRPr="002A2A4E">
        <w:rPr>
          <w:rStyle w:val="71Char"/>
          <w:color w:val="000000" w:themeColor="text1"/>
          <w:rtl/>
        </w:rPr>
        <w:t xml:space="preserve"> </w:t>
      </w:r>
      <w:r w:rsidRPr="002A2A4E">
        <w:rPr>
          <w:rStyle w:val="71Char"/>
          <w:color w:val="000000" w:themeColor="text1"/>
          <w:rtl/>
        </w:rPr>
        <w:tab/>
        <w:t>המשרד</w:t>
      </w:r>
      <w:r w:rsidRPr="002A2A4E">
        <w:rPr>
          <w:color w:val="000000" w:themeColor="text1"/>
          <w:rtl/>
        </w:rPr>
        <w:t xml:space="preserve"> </w:t>
      </w:r>
      <w:r w:rsidRPr="002A2A4E">
        <w:rPr>
          <w:color w:val="000000" w:themeColor="text1"/>
          <w:rtl/>
        </w:rPr>
        <w:t>להג</w:t>
      </w:r>
      <w:r w:rsidRPr="002A2A4E">
        <w:rPr>
          <w:rFonts w:hint="cs"/>
          <w:color w:val="000000" w:themeColor="text1"/>
          <w:rtl/>
        </w:rPr>
        <w:t>"ס</w:t>
      </w:r>
      <w:r w:rsidRPr="002A2A4E">
        <w:rPr>
          <w:color w:val="000000" w:themeColor="text1"/>
          <w:rtl/>
        </w:rPr>
        <w:t xml:space="preserve">, מסמך מדיניות בנושא "תמחור פחמן בישראל" </w:t>
      </w:r>
      <w:r w:rsidRPr="002A2A4E">
        <w:rPr>
          <w:rFonts w:hint="cs"/>
          <w:color w:val="000000" w:themeColor="text1"/>
          <w:rtl/>
        </w:rPr>
        <w:t>(</w:t>
      </w:r>
      <w:r w:rsidRPr="002A2A4E">
        <w:rPr>
          <w:color w:val="000000" w:themeColor="text1"/>
          <w:rtl/>
        </w:rPr>
        <w:t>אוגוסט 2021</w:t>
      </w:r>
      <w:r w:rsidRPr="002A2A4E">
        <w:rPr>
          <w:rFonts w:hint="cs"/>
          <w:color w:val="000000" w:themeColor="text1"/>
          <w:rtl/>
        </w:rPr>
        <w:t>)</w:t>
      </w:r>
      <w:r w:rsidRPr="002A2A4E">
        <w:rPr>
          <w:color w:val="000000" w:themeColor="text1"/>
          <w:rtl/>
        </w:rPr>
        <w:t>.</w:t>
      </w:r>
    </w:p>
  </w:footnote>
  <w:footnote w:id="93">
    <w:p w:rsidR="00F20E3F" w:rsidRPr="002A2A4E" w:rsidP="009133CE" w14:paraId="3F81EFDA" w14:textId="77777777">
      <w:pPr>
        <w:pStyle w:val="713"/>
        <w:rPr>
          <w:color w:val="000000" w:themeColor="text1"/>
          <w:rtl/>
        </w:rPr>
      </w:pPr>
      <w:r w:rsidRPr="002A2A4E">
        <w:rPr>
          <w:rStyle w:val="FootnoteReference2"/>
          <w:color w:val="000000" w:themeColor="text1"/>
          <w:vertAlign w:val="baseline"/>
        </w:rPr>
        <w:footnoteRef/>
      </w:r>
      <w:r w:rsidRPr="002A2A4E">
        <w:rPr>
          <w:color w:val="000000" w:themeColor="text1"/>
          <w:rtl/>
        </w:rPr>
        <w:t xml:space="preserve"> </w:t>
      </w:r>
      <w:r w:rsidRPr="002A2A4E">
        <w:rPr>
          <w:color w:val="000000" w:themeColor="text1"/>
          <w:rtl/>
        </w:rPr>
        <w:tab/>
        <w:t>דוח הוועדה למיסוי ירוק 3</w:t>
      </w:r>
      <w:r w:rsidRPr="002A2A4E">
        <w:rPr>
          <w:rFonts w:hint="cs"/>
          <w:color w:val="000000" w:themeColor="text1"/>
          <w:rtl/>
        </w:rPr>
        <w:t xml:space="preserve">, </w:t>
      </w:r>
      <w:r w:rsidRPr="002A2A4E">
        <w:rPr>
          <w:color w:val="000000" w:themeColor="text1"/>
          <w:rtl/>
        </w:rPr>
        <w:t>תחליפי נפט לתחבורה</w:t>
      </w:r>
      <w:r w:rsidRPr="002A2A4E">
        <w:rPr>
          <w:rFonts w:hint="cs"/>
          <w:color w:val="000000" w:themeColor="text1"/>
          <w:rtl/>
        </w:rPr>
        <w:t xml:space="preserve">, </w:t>
      </w:r>
      <w:r w:rsidRPr="002A2A4E">
        <w:rPr>
          <w:color w:val="000000" w:themeColor="text1"/>
          <w:rtl/>
        </w:rPr>
        <w:t>רשות המ</w:t>
      </w:r>
      <w:r w:rsidRPr="002A2A4E">
        <w:rPr>
          <w:rFonts w:hint="cs"/>
          <w:color w:val="000000" w:themeColor="text1"/>
          <w:rtl/>
        </w:rPr>
        <w:t>י</w:t>
      </w:r>
      <w:r w:rsidRPr="002A2A4E">
        <w:rPr>
          <w:color w:val="000000" w:themeColor="text1"/>
          <w:rtl/>
        </w:rPr>
        <w:t>סים</w:t>
      </w:r>
      <w:r w:rsidRPr="002A2A4E">
        <w:rPr>
          <w:rFonts w:hint="cs"/>
          <w:color w:val="000000" w:themeColor="text1"/>
          <w:rtl/>
        </w:rPr>
        <w:t>,</w:t>
      </w:r>
      <w:r w:rsidRPr="002A2A4E">
        <w:rPr>
          <w:color w:val="000000" w:themeColor="text1"/>
          <w:rtl/>
        </w:rPr>
        <w:t xml:space="preserve"> משרד האוצר</w:t>
      </w:r>
      <w:r w:rsidRPr="002A2A4E">
        <w:rPr>
          <w:rFonts w:hint="cs"/>
          <w:color w:val="000000" w:themeColor="text1"/>
          <w:rtl/>
        </w:rPr>
        <w:t xml:space="preserve">, משרד ראש הממשלה, המשרד </w:t>
      </w:r>
      <w:r w:rsidRPr="002A2A4E">
        <w:rPr>
          <w:rFonts w:hint="cs"/>
          <w:color w:val="000000" w:themeColor="text1"/>
          <w:rtl/>
        </w:rPr>
        <w:t>להג"ס</w:t>
      </w:r>
      <w:r w:rsidRPr="002A2A4E">
        <w:rPr>
          <w:rFonts w:hint="cs"/>
          <w:color w:val="000000" w:themeColor="text1"/>
          <w:rtl/>
        </w:rPr>
        <w:t xml:space="preserve">, משרד התחבורה ומשרד </w:t>
      </w:r>
      <w:r w:rsidRPr="002A2A4E">
        <w:rPr>
          <w:rFonts w:hint="cs"/>
          <w:color w:val="000000" w:themeColor="text1"/>
          <w:rtl/>
        </w:rPr>
        <w:t>האנרגייה</w:t>
      </w:r>
      <w:r w:rsidRPr="002A2A4E">
        <w:rPr>
          <w:rFonts w:hint="cs"/>
          <w:color w:val="000000" w:themeColor="text1"/>
          <w:rtl/>
        </w:rPr>
        <w:t xml:space="preserve"> (מרץ 2016), עמ' 187. </w:t>
      </w:r>
    </w:p>
  </w:footnote>
  <w:footnote w:id="94">
    <w:p w:rsidR="00F20E3F" w:rsidRPr="002A2A4E" w:rsidP="009133CE" w14:paraId="76DB4287" w14:textId="77777777">
      <w:pPr>
        <w:pStyle w:val="713"/>
        <w:rPr>
          <w:color w:val="000000" w:themeColor="text1"/>
          <w:rtl/>
        </w:rPr>
      </w:pPr>
      <w:r w:rsidRPr="002A2A4E">
        <w:rPr>
          <w:rStyle w:val="FootnoteReference2"/>
          <w:color w:val="000000" w:themeColor="text1"/>
          <w:vertAlign w:val="baseline"/>
        </w:rPr>
        <w:footnoteRef/>
      </w:r>
      <w:r w:rsidRPr="002A2A4E">
        <w:rPr>
          <w:color w:val="000000" w:themeColor="text1"/>
          <w:rtl/>
        </w:rPr>
        <w:t xml:space="preserve"> </w:t>
      </w:r>
      <w:r w:rsidRPr="002A2A4E">
        <w:rPr>
          <w:color w:val="000000" w:themeColor="text1"/>
          <w:rtl/>
        </w:rPr>
        <w:tab/>
      </w:r>
      <w:r w:rsidRPr="002A2A4E">
        <w:rPr>
          <w:rFonts w:hint="cs"/>
          <w:color w:val="000000" w:themeColor="text1"/>
          <w:rtl/>
        </w:rPr>
        <w:t xml:space="preserve">סכום זה אינו כולל הכנסות מהבלו על בנזין וסולר שחלקו של מס הפחמן לא מסומן. כמו כן, כדי לחשב את ההכנסות רק בגין פליטות פחמן, יש להפחית את ההכנסות בגין החלק בתמחור המזוט שמגלם הפנמת עלויות של תחמוצות גופרית. </w:t>
      </w:r>
    </w:p>
  </w:footnote>
  <w:footnote w:id="95">
    <w:p w:rsidR="00F20E3F" w:rsidRPr="002A2A4E" w:rsidP="009133CE" w14:paraId="5494280F" w14:textId="77777777">
      <w:pPr>
        <w:pStyle w:val="7313"/>
        <w:spacing w:after="0"/>
        <w:rPr>
          <w:color w:val="000000" w:themeColor="text1"/>
          <w:rtl/>
        </w:rPr>
      </w:pPr>
      <w:r w:rsidRPr="002A2A4E">
        <w:rPr>
          <w:rStyle w:val="FootnoteReference2"/>
          <w:color w:val="000000" w:themeColor="text1"/>
          <w:vertAlign w:val="baseline"/>
        </w:rPr>
        <w:footnoteRef/>
      </w:r>
      <w:r w:rsidRPr="002A2A4E">
        <w:rPr>
          <w:color w:val="000000" w:themeColor="text1"/>
          <w:rtl/>
        </w:rPr>
        <w:t xml:space="preserve"> </w:t>
      </w:r>
      <w:r w:rsidRPr="002A2A4E">
        <w:rPr>
          <w:color w:val="000000" w:themeColor="text1"/>
          <w:rtl/>
        </w:rPr>
        <w:tab/>
      </w:r>
      <w:r w:rsidRPr="002A2A4E">
        <w:rPr>
          <w:rFonts w:hint="cs"/>
          <w:color w:val="000000" w:themeColor="text1"/>
          <w:rtl/>
        </w:rPr>
        <w:t>ראו:</w:t>
      </w:r>
    </w:p>
    <w:p w:rsidR="00F20E3F" w:rsidRPr="002A2A4E" w:rsidP="006B4883" w14:paraId="52D19A65" w14:textId="77777777">
      <w:pPr>
        <w:pStyle w:val="00"/>
        <w:ind w:right="-170"/>
        <w:jc w:val="right"/>
        <w:rPr>
          <w:color w:val="000000" w:themeColor="text1"/>
          <w:rtl/>
        </w:rPr>
      </w:pPr>
      <w:hyperlink r:id="rId27" w:history="1">
        <w:r w:rsidRPr="002A2A4E">
          <w:rPr>
            <w:color w:val="000000" w:themeColor="text1"/>
          </w:rPr>
          <w:t>Aylor</w:t>
        </w:r>
      </w:hyperlink>
      <w:r w:rsidRPr="002A2A4E">
        <w:rPr>
          <w:color w:val="000000" w:themeColor="text1"/>
        </w:rPr>
        <w:t xml:space="preserve">, Ben, </w:t>
      </w:r>
      <w:hyperlink r:id="rId28" w:history="1">
        <w:r w:rsidRPr="002A2A4E">
          <w:rPr>
            <w:color w:val="000000" w:themeColor="text1"/>
          </w:rPr>
          <w:t>Gilbert</w:t>
        </w:r>
      </w:hyperlink>
      <w:r w:rsidRPr="002A2A4E">
        <w:rPr>
          <w:color w:val="000000" w:themeColor="text1"/>
        </w:rPr>
        <w:t xml:space="preserve">, Marc, et al., 2020, How an EU Carbon Border Tax Could Jolt World Trade, BCT, (June 20, 2020); </w:t>
      </w:r>
      <w:hyperlink r:id="rId29" w:history="1">
        <w:r w:rsidRPr="002A2A4E">
          <w:rPr>
            <w:rStyle w:val="7334"/>
            <w:color w:val="000000" w:themeColor="text1"/>
            <w:u w:val="none"/>
          </w:rPr>
          <w:t>https://www.bcg.com/en-il/publications/2020/how-an-eu-carbon-border-tax-could-jolt-world-trade</w:t>
        </w:r>
      </w:hyperlink>
      <w:r w:rsidRPr="002A2A4E">
        <w:rPr>
          <w:color w:val="000000" w:themeColor="text1"/>
        </w:rPr>
        <w:t xml:space="preserve">. </w:t>
      </w:r>
    </w:p>
  </w:footnote>
  <w:footnote w:id="96">
    <w:p w:rsidR="00F20E3F" w:rsidRPr="002A2A4E" w:rsidP="009133CE" w14:paraId="4E1CF174" w14:textId="77777777">
      <w:pPr>
        <w:pStyle w:val="7313"/>
        <w:spacing w:after="0"/>
        <w:rPr>
          <w:color w:val="000000" w:themeColor="text1"/>
          <w:rtl/>
        </w:rPr>
      </w:pPr>
      <w:r w:rsidRPr="002A2A4E">
        <w:rPr>
          <w:color w:val="000000" w:themeColor="text1"/>
        </w:rPr>
        <w:footnoteRef/>
      </w:r>
      <w:r w:rsidRPr="002A2A4E">
        <w:rPr>
          <w:color w:val="000000" w:themeColor="text1"/>
          <w:rtl/>
        </w:rPr>
        <w:t xml:space="preserve"> </w:t>
      </w:r>
      <w:r w:rsidRPr="002A2A4E">
        <w:rPr>
          <w:color w:val="000000" w:themeColor="text1"/>
          <w:rtl/>
        </w:rPr>
        <w:tab/>
      </w:r>
      <w:r w:rsidRPr="002A2A4E">
        <w:rPr>
          <w:rFonts w:hint="cs"/>
          <w:color w:val="000000" w:themeColor="text1"/>
          <w:rtl/>
        </w:rPr>
        <w:t>ראו:</w:t>
      </w:r>
    </w:p>
    <w:p w:rsidR="00F20E3F" w:rsidRPr="002A2A4E" w:rsidP="006B4883" w14:paraId="4767C409" w14:textId="77777777">
      <w:pPr>
        <w:pStyle w:val="00"/>
        <w:spacing w:after="0"/>
        <w:ind w:right="-170"/>
        <w:jc w:val="right"/>
        <w:rPr>
          <w:color w:val="000000" w:themeColor="text1"/>
        </w:rPr>
      </w:pPr>
      <w:r w:rsidRPr="002A2A4E">
        <w:rPr>
          <w:rFonts w:hint="cs"/>
          <w:color w:val="000000" w:themeColor="text1"/>
          <w:rtl/>
        </w:rPr>
        <w:t xml:space="preserve"> </w:t>
      </w:r>
      <w:r w:rsidRPr="002A2A4E">
        <w:rPr>
          <w:color w:val="000000" w:themeColor="text1"/>
        </w:rPr>
        <w:t>Barker, T.; et al. (2007). "11.7.2 Carbon leakage. In (book chapter): Mitigation from a cross-sectoral perspective. In (book): Climate Change 2007: Mitigation. Contribution of Working Group III to the Fourth Assessment Report of the Intergovernmental Panel on Climate Change.</w:t>
      </w:r>
    </w:p>
    <w:p w:rsidR="00F20E3F" w:rsidRPr="002A2A4E" w:rsidP="006B4883" w14:paraId="72D85F63" w14:textId="77777777">
      <w:pPr>
        <w:pStyle w:val="00"/>
        <w:spacing w:after="0"/>
        <w:ind w:left="794"/>
        <w:rPr>
          <w:color w:val="000000" w:themeColor="text1"/>
          <w:rtl/>
        </w:rPr>
      </w:pPr>
      <w:r w:rsidRPr="002A2A4E">
        <w:rPr>
          <w:rFonts w:hint="cs"/>
          <w:color w:val="000000" w:themeColor="text1"/>
          <w:rtl/>
        </w:rPr>
        <w:t>ראו בעניין התקדמות ההליך והשלבים השונים בו:</w:t>
      </w:r>
    </w:p>
    <w:p w:rsidR="00F20E3F" w:rsidRPr="002A2A4E" w:rsidP="009133CE" w14:paraId="71D05C29" w14:textId="77777777">
      <w:pPr>
        <w:pStyle w:val="7333"/>
        <w:bidi/>
        <w:jc w:val="right"/>
        <w:rPr>
          <w:color w:val="000000" w:themeColor="text1"/>
          <w:u w:val="none"/>
        </w:rPr>
      </w:pPr>
      <w:hyperlink r:id="rId30" w:history="1">
        <w:r w:rsidRPr="002A2A4E">
          <w:rPr>
            <w:rStyle w:val="Hyperlink"/>
            <w:color w:val="000000" w:themeColor="text1"/>
            <w:u w:val="none"/>
          </w:rPr>
          <w:t>https://www.europarl.europa.eu/legislative-train/theme-a-european-green-deal/file-carbon-border-adjustment-mechanism</w:t>
        </w:r>
      </w:hyperlink>
      <w:r w:rsidRPr="002A2A4E">
        <w:rPr>
          <w:rStyle w:val="Hyperlink"/>
          <w:color w:val="000000" w:themeColor="text1"/>
          <w:u w:val="none"/>
        </w:rPr>
        <w:t xml:space="preserve"> </w:t>
      </w:r>
    </w:p>
  </w:footnote>
  <w:footnote w:id="97">
    <w:p w:rsidR="00F20E3F" w:rsidRPr="002A2A4E" w:rsidP="008D40F9" w14:paraId="616C9331" w14:textId="77777777">
      <w:pPr>
        <w:pStyle w:val="713"/>
        <w:rPr>
          <w:color w:val="000000" w:themeColor="text1"/>
          <w:rtl/>
        </w:rPr>
      </w:pPr>
      <w:r w:rsidRPr="002A2A4E">
        <w:rPr>
          <w:rStyle w:val="FootnoteReference2"/>
          <w:color w:val="000000" w:themeColor="text1"/>
          <w:vertAlign w:val="baseline"/>
        </w:rPr>
        <w:footnoteRef/>
      </w:r>
      <w:r w:rsidRPr="002A2A4E">
        <w:rPr>
          <w:color w:val="000000" w:themeColor="text1"/>
          <w:rtl/>
        </w:rPr>
        <w:t xml:space="preserve"> </w:t>
      </w:r>
      <w:r w:rsidRPr="002A2A4E">
        <w:rPr>
          <w:color w:val="000000" w:themeColor="text1"/>
          <w:rtl/>
        </w:rPr>
        <w:tab/>
      </w:r>
      <w:r w:rsidRPr="002A2A4E">
        <w:rPr>
          <w:rFonts w:hint="cs"/>
          <w:color w:val="000000" w:themeColor="text1"/>
          <w:rtl/>
        </w:rPr>
        <w:t>נכון לינואר 2023, מחיר הפחמן בבריטניה הוא 83 פאונד.</w:t>
      </w:r>
    </w:p>
  </w:footnote>
  <w:footnote w:id="98">
    <w:p w:rsidR="00F20E3F" w:rsidRPr="002A2A4E" w:rsidP="008D40F9" w14:paraId="1D57BA36" w14:textId="77777777">
      <w:pPr>
        <w:pStyle w:val="713"/>
        <w:spacing w:after="0"/>
        <w:rPr>
          <w:color w:val="000000" w:themeColor="text1"/>
          <w:rtl/>
        </w:rPr>
      </w:pPr>
      <w:r w:rsidRPr="002A2A4E">
        <w:rPr>
          <w:rStyle w:val="FootnoteReference2"/>
          <w:color w:val="000000" w:themeColor="text1"/>
          <w:vertAlign w:val="baseline"/>
        </w:rPr>
        <w:footnoteRef/>
      </w:r>
      <w:r w:rsidRPr="002A2A4E">
        <w:rPr>
          <w:color w:val="000000" w:themeColor="text1"/>
          <w:rtl/>
        </w:rPr>
        <w:t xml:space="preserve"> </w:t>
      </w:r>
      <w:r w:rsidRPr="002A2A4E">
        <w:rPr>
          <w:color w:val="000000" w:themeColor="text1"/>
          <w:rtl/>
        </w:rPr>
        <w:tab/>
      </w:r>
      <w:r w:rsidRPr="002A2A4E">
        <w:rPr>
          <w:rFonts w:hint="cs"/>
          <w:color w:val="000000" w:themeColor="text1"/>
          <w:rtl/>
        </w:rPr>
        <w:t>ראו את הודעת ממשלת בריטניה בעניין:</w:t>
      </w:r>
    </w:p>
    <w:p w:rsidR="00F20E3F" w:rsidRPr="002A2A4E" w:rsidP="007649F0" w14:paraId="498F6350" w14:textId="77777777">
      <w:pPr>
        <w:pStyle w:val="00"/>
        <w:bidi w:val="0"/>
        <w:rPr>
          <w:color w:val="000000" w:themeColor="text1"/>
        </w:rPr>
      </w:pPr>
      <w:r w:rsidRPr="002A2A4E">
        <w:rPr>
          <w:rStyle w:val="7334"/>
          <w:rFonts w:hint="cs"/>
          <w:color w:val="000000" w:themeColor="text1"/>
          <w:u w:val="none"/>
          <w:rtl/>
        </w:rPr>
        <w:t xml:space="preserve"> </w:t>
      </w:r>
      <w:hyperlink r:id="rId31" w:history="1">
        <w:r w:rsidRPr="002A2A4E">
          <w:rPr>
            <w:rStyle w:val="7334"/>
            <w:color w:val="000000" w:themeColor="text1"/>
            <w:u w:val="none"/>
          </w:rPr>
          <w:t>https://www.gov.uk/government/consultations/addressing-carbon-leakage-risk-to-support-decarbonisation</w:t>
        </w:r>
      </w:hyperlink>
      <w:r w:rsidRPr="002A2A4E">
        <w:rPr>
          <w:color w:val="000000" w:themeColor="text1"/>
        </w:rPr>
        <w:t>.</w:t>
      </w:r>
    </w:p>
  </w:footnote>
  <w:footnote w:id="99">
    <w:p w:rsidR="00F20E3F" w:rsidRPr="002A2A4E" w:rsidP="007649F0" w14:paraId="1CE1C8A9" w14:textId="77777777">
      <w:pPr>
        <w:pStyle w:val="00"/>
        <w:rPr>
          <w:color w:val="000000" w:themeColor="text1"/>
        </w:rPr>
      </w:pPr>
      <w:r w:rsidRPr="002A2A4E">
        <w:rPr>
          <w:rStyle w:val="71Char"/>
          <w:color w:val="000000" w:themeColor="text1"/>
        </w:rPr>
        <w:footnoteRef/>
      </w:r>
      <w:r w:rsidRPr="002A2A4E">
        <w:rPr>
          <w:rStyle w:val="71Char"/>
          <w:color w:val="000000" w:themeColor="text1"/>
          <w:rtl/>
        </w:rPr>
        <w:t xml:space="preserve"> </w:t>
      </w:r>
      <w:r w:rsidRPr="002A2A4E">
        <w:rPr>
          <w:rStyle w:val="71Char"/>
          <w:color w:val="000000" w:themeColor="text1"/>
          <w:rtl/>
        </w:rPr>
        <w:tab/>
      </w:r>
      <w:r w:rsidRPr="002A2A4E">
        <w:rPr>
          <w:rFonts w:hint="cs"/>
          <w:color w:val="000000" w:themeColor="text1"/>
          <w:rtl/>
        </w:rPr>
        <w:t xml:space="preserve">המשרד </w:t>
      </w:r>
      <w:r w:rsidRPr="002A2A4E">
        <w:rPr>
          <w:rFonts w:hint="cs"/>
          <w:color w:val="000000" w:themeColor="text1"/>
          <w:rtl/>
        </w:rPr>
        <w:t>להג"ס</w:t>
      </w:r>
      <w:r w:rsidRPr="002A2A4E">
        <w:rPr>
          <w:rFonts w:hint="cs"/>
          <w:color w:val="000000" w:themeColor="text1"/>
          <w:rtl/>
        </w:rPr>
        <w:t xml:space="preserve">, </w:t>
      </w:r>
      <w:hyperlink r:id="rId16" w:history="1">
        <w:r w:rsidRPr="002A2A4E">
          <w:rPr>
            <w:rStyle w:val="7334"/>
            <w:color w:val="000000" w:themeColor="text1"/>
            <w:u w:val="none"/>
            <w:rtl/>
          </w:rPr>
          <w:t>עבודת מדיניות בנושא תמחור פחמן בישראל</w:t>
        </w:r>
      </w:hyperlink>
      <w:r w:rsidRPr="002A2A4E">
        <w:rPr>
          <w:rFonts w:hint="cs"/>
          <w:color w:val="000000" w:themeColor="text1"/>
          <w:rtl/>
        </w:rPr>
        <w:t xml:space="preserve"> (אוגוסט 2021).</w:t>
      </w:r>
    </w:p>
  </w:footnote>
  <w:footnote w:id="100">
    <w:p w:rsidR="00F20E3F" w:rsidRPr="002A2A4E" w:rsidP="008D40F9" w14:paraId="1CDBB1A5" w14:textId="77777777">
      <w:pPr>
        <w:pStyle w:val="713"/>
        <w:spacing w:after="0"/>
        <w:rPr>
          <w:color w:val="000000" w:themeColor="text1"/>
          <w:rtl/>
        </w:rPr>
      </w:pPr>
      <w:r w:rsidRPr="002A2A4E">
        <w:rPr>
          <w:rStyle w:val="FootnoteReference2"/>
          <w:color w:val="000000" w:themeColor="text1"/>
          <w:vertAlign w:val="baseline"/>
        </w:rPr>
        <w:footnoteRef/>
      </w:r>
      <w:r w:rsidRPr="002A2A4E">
        <w:rPr>
          <w:color w:val="000000" w:themeColor="text1"/>
          <w:rtl/>
        </w:rPr>
        <w:t xml:space="preserve"> </w:t>
      </w:r>
      <w:r w:rsidRPr="002A2A4E">
        <w:rPr>
          <w:color w:val="000000" w:themeColor="text1"/>
          <w:rtl/>
        </w:rPr>
        <w:tab/>
        <w:t>סקירת</w:t>
      </w:r>
      <w:r w:rsidRPr="002A2A4E">
        <w:rPr>
          <w:rFonts w:hint="cs"/>
          <w:color w:val="000000" w:themeColor="text1"/>
          <w:rtl/>
        </w:rPr>
        <w:t xml:space="preserve"> </w:t>
      </w:r>
      <w:r w:rsidRPr="002A2A4E">
        <w:rPr>
          <w:color w:val="000000" w:themeColor="text1"/>
          <w:rtl/>
        </w:rPr>
        <w:t>ביצועים סביבתיים</w:t>
      </w:r>
      <w:r w:rsidRPr="002A2A4E">
        <w:rPr>
          <w:rFonts w:hint="cs"/>
          <w:color w:val="000000" w:themeColor="text1"/>
          <w:rtl/>
        </w:rPr>
        <w:t xml:space="preserve"> </w:t>
      </w:r>
      <w:r w:rsidRPr="002A2A4E">
        <w:rPr>
          <w:color w:val="000000" w:themeColor="text1"/>
          <w:rtl/>
        </w:rPr>
        <w:t>של ה-</w:t>
      </w:r>
      <w:r w:rsidRPr="002A2A4E">
        <w:rPr>
          <w:rFonts w:hint="cs"/>
          <w:color w:val="000000" w:themeColor="text1"/>
        </w:rPr>
        <w:t>OECD</w:t>
      </w:r>
      <w:r w:rsidRPr="002A2A4E">
        <w:rPr>
          <w:rFonts w:hint="cs"/>
          <w:color w:val="000000" w:themeColor="text1"/>
          <w:rtl/>
        </w:rPr>
        <w:t xml:space="preserve">: </w:t>
      </w:r>
    </w:p>
    <w:p w:rsidR="00F20E3F" w:rsidRPr="002A2A4E" w:rsidP="008D40F9" w14:paraId="333ACDE6" w14:textId="77777777">
      <w:pPr>
        <w:pStyle w:val="00"/>
        <w:bidi w:val="0"/>
        <w:ind w:left="0" w:right="397" w:firstLine="0"/>
        <w:rPr>
          <w:color w:val="000000" w:themeColor="text1"/>
          <w:rtl/>
        </w:rPr>
      </w:pPr>
      <w:r w:rsidRPr="002A2A4E">
        <w:rPr>
          <w:i/>
          <w:iCs/>
          <w:color w:val="000000" w:themeColor="text1"/>
        </w:rPr>
        <w:t>OECD Environmental Performance Reviews: Israel 2023</w:t>
      </w:r>
      <w:r w:rsidRPr="002A2A4E">
        <w:rPr>
          <w:color w:val="000000" w:themeColor="text1"/>
        </w:rPr>
        <w:t xml:space="preserve">, OECD Environmental Performance Reviews, 20203, OECD, p. </w:t>
      </w:r>
      <w:r w:rsidRPr="002A2A4E">
        <w:rPr>
          <w:rFonts w:hint="cs"/>
          <w:color w:val="000000" w:themeColor="text1"/>
          <w:rtl/>
        </w:rPr>
        <w:t>26</w:t>
      </w:r>
      <w:r w:rsidRPr="002A2A4E">
        <w:rPr>
          <w:color w:val="000000" w:themeColor="text1"/>
        </w:rPr>
        <w:t xml:space="preserve">, </w:t>
      </w:r>
      <w:r w:rsidRPr="002A2A4E">
        <w:rPr>
          <w:rFonts w:hint="cs"/>
          <w:color w:val="000000" w:themeColor="text1"/>
          <w:rtl/>
        </w:rPr>
        <w:t>91</w:t>
      </w:r>
      <w:r w:rsidRPr="002A2A4E">
        <w:rPr>
          <w:color w:val="000000" w:themeColor="text1"/>
        </w:rPr>
        <w:t xml:space="preserve">. Publishing, Paris, </w:t>
      </w:r>
      <w:hyperlink r:id="rId12" w:history="1">
        <w:r w:rsidRPr="002A2A4E">
          <w:rPr>
            <w:rStyle w:val="7334"/>
            <w:color w:val="000000" w:themeColor="text1"/>
            <w:u w:val="none"/>
          </w:rPr>
          <w:t>https://doi.org/10.1787/0175ae95-en</w:t>
        </w:r>
      </w:hyperlink>
      <w:r w:rsidRPr="002A2A4E">
        <w:rPr>
          <w:rFonts w:hint="cs"/>
          <w:color w:val="000000" w:themeColor="text1"/>
          <w:rtl/>
        </w:rPr>
        <w:t xml:space="preserve"> </w:t>
      </w:r>
    </w:p>
  </w:footnote>
  <w:footnote w:id="101">
    <w:p w:rsidR="00F20E3F" w:rsidRPr="002A2A4E" w:rsidP="008D40F9" w14:paraId="71F9CAEA" w14:textId="77777777">
      <w:pPr>
        <w:pStyle w:val="713"/>
        <w:rPr>
          <w:color w:val="000000" w:themeColor="text1"/>
          <w:rtl/>
        </w:rPr>
      </w:pPr>
      <w:r w:rsidRPr="002A2A4E">
        <w:rPr>
          <w:rStyle w:val="FootnoteReference2"/>
          <w:color w:val="000000" w:themeColor="text1"/>
          <w:vertAlign w:val="baseline"/>
        </w:rPr>
        <w:footnoteRef/>
      </w:r>
      <w:r w:rsidRPr="002A2A4E">
        <w:rPr>
          <w:color w:val="000000" w:themeColor="text1"/>
          <w:rtl/>
        </w:rPr>
        <w:t xml:space="preserve"> </w:t>
      </w:r>
      <w:r w:rsidRPr="002A2A4E">
        <w:rPr>
          <w:color w:val="000000" w:themeColor="text1"/>
          <w:rtl/>
        </w:rPr>
        <w:tab/>
      </w:r>
      <w:r w:rsidRPr="002A2A4E">
        <w:rPr>
          <w:rFonts w:hint="cs"/>
          <w:color w:val="000000" w:themeColor="text1"/>
          <w:rtl/>
        </w:rPr>
        <w:t>ראו את מסמך "</w:t>
      </w:r>
      <w:r w:rsidRPr="002A2A4E">
        <w:rPr>
          <w:color w:val="000000" w:themeColor="text1"/>
          <w:rtl/>
        </w:rPr>
        <w:t xml:space="preserve">מתווה ביטול הישבון הבלו על הסולר לתחבורה </w:t>
      </w:r>
      <w:r w:rsidRPr="002A2A4E">
        <w:rPr>
          <w:rFonts w:hint="cs"/>
          <w:color w:val="000000" w:themeColor="text1"/>
          <w:rtl/>
        </w:rPr>
        <w:t>(</w:t>
      </w:r>
      <w:r w:rsidRPr="002A2A4E">
        <w:rPr>
          <w:color w:val="000000" w:themeColor="text1"/>
          <w:rtl/>
        </w:rPr>
        <w:t>הישבון בלו באחוזים</w:t>
      </w:r>
      <w:r w:rsidRPr="002A2A4E">
        <w:rPr>
          <w:rFonts w:hint="cs"/>
          <w:color w:val="000000" w:themeColor="text1"/>
          <w:rtl/>
        </w:rPr>
        <w:t>)", רשות המיסים (2018).</w:t>
      </w:r>
    </w:p>
  </w:footnote>
  <w:footnote w:id="102">
    <w:p w:rsidR="00F20E3F" w:rsidRPr="002A2A4E" w:rsidP="008D40F9" w14:paraId="16EA7576" w14:textId="77777777">
      <w:pPr>
        <w:pStyle w:val="713"/>
        <w:rPr>
          <w:color w:val="000000" w:themeColor="text1"/>
        </w:rPr>
      </w:pPr>
      <w:r w:rsidRPr="002A2A4E">
        <w:rPr>
          <w:rStyle w:val="FootnoteReference2"/>
          <w:color w:val="000000" w:themeColor="text1"/>
          <w:vertAlign w:val="baseline"/>
        </w:rPr>
        <w:footnoteRef/>
      </w:r>
      <w:r w:rsidRPr="002A2A4E">
        <w:rPr>
          <w:color w:val="000000" w:themeColor="text1"/>
          <w:rtl/>
        </w:rPr>
        <w:t xml:space="preserve"> </w:t>
      </w:r>
      <w:r w:rsidRPr="002A2A4E">
        <w:rPr>
          <w:color w:val="000000" w:themeColor="text1"/>
          <w:rtl/>
        </w:rPr>
        <w:tab/>
      </w:r>
      <w:r w:rsidRPr="002A2A4E">
        <w:rPr>
          <w:rFonts w:hint="cs"/>
          <w:color w:val="000000" w:themeColor="text1"/>
          <w:rtl/>
        </w:rPr>
        <w:t>ראו את מסמך צעדים להפחתת יוקר המחיה, פברואר 2022, של משרד האוצר:</w:t>
      </w:r>
    </w:p>
    <w:p w:rsidR="00F20E3F" w:rsidRPr="002A2A4E" w:rsidP="008D40F9" w14:paraId="3BA8EC7C" w14:textId="77777777">
      <w:pPr>
        <w:pStyle w:val="7333"/>
        <w:rPr>
          <w:color w:val="000000" w:themeColor="text1"/>
          <w:u w:val="none"/>
        </w:rPr>
      </w:pPr>
      <w:hyperlink r:id="rId32" w:history="1">
        <w:r w:rsidRPr="002A2A4E">
          <w:rPr>
            <w:rStyle w:val="Hyperlink"/>
            <w:color w:val="000000" w:themeColor="text1"/>
            <w:u w:val="none"/>
          </w:rPr>
          <w:t>https://www.gov.il/he/departments/news/press_09022022</w:t>
        </w:r>
      </w:hyperlink>
    </w:p>
  </w:footnote>
  <w:footnote w:id="103">
    <w:p w:rsidR="00F20E3F" w:rsidRPr="002A2A4E" w:rsidP="008D40F9" w14:paraId="5A8528DD" w14:textId="77777777">
      <w:pPr>
        <w:pStyle w:val="7313"/>
        <w:rPr>
          <w:color w:val="000000" w:themeColor="text1"/>
        </w:rPr>
      </w:pPr>
      <w:r w:rsidRPr="002A2A4E">
        <w:rPr>
          <w:rStyle w:val="FootnoteReference2"/>
          <w:color w:val="000000" w:themeColor="text1"/>
          <w:vertAlign w:val="baseline"/>
        </w:rPr>
        <w:footnoteRef/>
      </w:r>
      <w:r w:rsidRPr="002A2A4E">
        <w:rPr>
          <w:color w:val="000000" w:themeColor="text1"/>
          <w:rtl/>
        </w:rPr>
        <w:t xml:space="preserve"> </w:t>
      </w:r>
      <w:r w:rsidRPr="002A2A4E">
        <w:rPr>
          <w:color w:val="000000" w:themeColor="text1"/>
          <w:rtl/>
        </w:rPr>
        <w:tab/>
      </w:r>
      <w:r w:rsidRPr="002A2A4E">
        <w:rPr>
          <w:rFonts w:hint="cs"/>
          <w:color w:val="000000" w:themeColor="text1"/>
          <w:rtl/>
        </w:rPr>
        <w:t xml:space="preserve">המלחמה באוקראינה הביאה לעלייה במחירי </w:t>
      </w:r>
      <w:r w:rsidRPr="002A2A4E">
        <w:rPr>
          <w:rFonts w:hint="cs"/>
          <w:color w:val="000000" w:themeColor="text1"/>
          <w:rtl/>
        </w:rPr>
        <w:t>האנרגייה</w:t>
      </w:r>
      <w:r w:rsidRPr="002A2A4E">
        <w:rPr>
          <w:rFonts w:hint="cs"/>
          <w:color w:val="000000" w:themeColor="text1"/>
          <w:rtl/>
        </w:rPr>
        <w:t xml:space="preserve"> והמזון ברחבי העולם. בישראל מחיר החשמל עלה בשיעור של 8.6% באוגוסט 2022 ושוב בשיעור של 6.5% בתחילת שנת 2023, וזאת בשל עליית מחיר הפחם המיובא לייצור חשמל. </w:t>
      </w:r>
    </w:p>
  </w:footnote>
  <w:footnote w:id="104">
    <w:p w:rsidR="00F20E3F" w:rsidRPr="002A2A4E" w:rsidP="008D40F9" w14:paraId="417D7BA1" w14:textId="77777777">
      <w:pPr>
        <w:pStyle w:val="7313"/>
        <w:rPr>
          <w:color w:val="000000" w:themeColor="text1"/>
          <w:rtl/>
        </w:rPr>
      </w:pPr>
      <w:r w:rsidRPr="002A2A4E">
        <w:rPr>
          <w:rStyle w:val="FootnoteReference2"/>
          <w:color w:val="000000" w:themeColor="text1"/>
          <w:vertAlign w:val="baseline"/>
        </w:rPr>
        <w:footnoteRef/>
      </w:r>
      <w:r w:rsidRPr="002A2A4E">
        <w:rPr>
          <w:color w:val="000000" w:themeColor="text1"/>
          <w:rtl/>
        </w:rPr>
        <w:t xml:space="preserve"> </w:t>
      </w:r>
      <w:r w:rsidRPr="002A2A4E">
        <w:rPr>
          <w:color w:val="000000" w:themeColor="text1"/>
          <w:rtl/>
        </w:rPr>
        <w:tab/>
      </w:r>
      <w:r w:rsidRPr="002A2A4E">
        <w:rPr>
          <w:rFonts w:hint="cs"/>
          <w:color w:val="000000" w:themeColor="text1"/>
          <w:rtl/>
        </w:rPr>
        <w:t>מרכז המחקר והמידע של הכנסת,</w:t>
      </w:r>
      <w:r w:rsidRPr="002A2A4E">
        <w:rPr>
          <w:color w:val="000000" w:themeColor="text1"/>
          <w:rtl/>
        </w:rPr>
        <w:t xml:space="preserve"> </w:t>
      </w:r>
      <w:r w:rsidRPr="002A2A4E">
        <w:rPr>
          <w:rFonts w:hint="cs"/>
          <w:color w:val="000000" w:themeColor="text1"/>
          <w:rtl/>
        </w:rPr>
        <w:t>"</w:t>
      </w:r>
      <w:r w:rsidRPr="002A2A4E">
        <w:rPr>
          <w:color w:val="000000" w:themeColor="text1"/>
          <w:rtl/>
        </w:rPr>
        <w:t>השפעת השימוש בפחם על משק החשמל ותעריף החשמל</w:t>
      </w:r>
      <w:r w:rsidRPr="002A2A4E">
        <w:rPr>
          <w:rFonts w:hint="cs"/>
          <w:color w:val="000000" w:themeColor="text1"/>
          <w:rtl/>
        </w:rPr>
        <w:t xml:space="preserve">" (פברואר 2023). וכן מידע ונתונים שמסרו לצוות הביקורת רשות החשמל וחברת נגה. </w:t>
      </w:r>
    </w:p>
  </w:footnote>
  <w:footnote w:id="105">
    <w:p w:rsidR="00F20E3F" w:rsidRPr="002A2A4E" w:rsidP="008D40F9" w14:paraId="05FCA50F" w14:textId="77777777">
      <w:pPr>
        <w:pStyle w:val="7313"/>
        <w:spacing w:after="0"/>
        <w:rPr>
          <w:color w:val="000000" w:themeColor="text1"/>
          <w:rtl/>
        </w:rPr>
      </w:pPr>
      <w:r w:rsidRPr="002A2A4E">
        <w:rPr>
          <w:rStyle w:val="FootnoteReference2"/>
          <w:color w:val="000000" w:themeColor="text1"/>
          <w:vertAlign w:val="baseline"/>
        </w:rPr>
        <w:footnoteRef/>
      </w:r>
      <w:r w:rsidRPr="002A2A4E">
        <w:rPr>
          <w:color w:val="000000" w:themeColor="text1"/>
          <w:rtl/>
        </w:rPr>
        <w:t xml:space="preserve"> </w:t>
      </w:r>
      <w:r w:rsidRPr="002A2A4E">
        <w:rPr>
          <w:color w:val="000000" w:themeColor="text1"/>
          <w:rtl/>
        </w:rPr>
        <w:tab/>
      </w:r>
      <w:r w:rsidRPr="002A2A4E">
        <w:rPr>
          <w:rFonts w:hint="cs"/>
          <w:color w:val="000000" w:themeColor="text1"/>
          <w:rtl/>
        </w:rPr>
        <w:t>סקר ביצועים סביבתיים של ה-</w:t>
      </w:r>
      <w:r w:rsidRPr="002A2A4E">
        <w:rPr>
          <w:rFonts w:hint="cs"/>
          <w:color w:val="000000" w:themeColor="text1"/>
        </w:rPr>
        <w:t>OECD</w:t>
      </w:r>
      <w:r w:rsidRPr="002A2A4E">
        <w:rPr>
          <w:rFonts w:hint="cs"/>
          <w:color w:val="000000" w:themeColor="text1"/>
          <w:rtl/>
        </w:rPr>
        <w:t xml:space="preserve"> על ישראל:</w:t>
      </w:r>
    </w:p>
    <w:p w:rsidR="00F20E3F" w:rsidRPr="002A2A4E" w:rsidP="008D40F9" w14:paraId="4854F48F" w14:textId="77777777">
      <w:pPr>
        <w:pStyle w:val="00"/>
        <w:bidi w:val="0"/>
        <w:ind w:left="0" w:right="397" w:firstLine="0"/>
        <w:rPr>
          <w:color w:val="000000" w:themeColor="text1"/>
        </w:rPr>
      </w:pPr>
      <w:r w:rsidRPr="002A2A4E">
        <w:rPr>
          <w:i/>
          <w:iCs/>
          <w:color w:val="000000" w:themeColor="text1"/>
        </w:rPr>
        <w:t>OECD Environmental Performance Reviews: Israel 2023</w:t>
      </w:r>
      <w:r w:rsidRPr="002A2A4E">
        <w:rPr>
          <w:color w:val="000000" w:themeColor="text1"/>
        </w:rPr>
        <w:t>, OECD Environmental Performance Reviews, 20203, OECD, pp. 20, 30, 5</w:t>
      </w:r>
      <w:r w:rsidRPr="002A2A4E">
        <w:rPr>
          <w:rFonts w:hint="cs"/>
          <w:color w:val="000000" w:themeColor="text1"/>
          <w:rtl/>
        </w:rPr>
        <w:t>4</w:t>
      </w:r>
      <w:r w:rsidRPr="002A2A4E">
        <w:rPr>
          <w:color w:val="000000" w:themeColor="text1"/>
        </w:rPr>
        <w:t xml:space="preserve"> Publishing, Paris</w:t>
      </w:r>
      <w:r w:rsidRPr="002A2A4E">
        <w:rPr>
          <w:rStyle w:val="7334"/>
          <w:color w:val="000000" w:themeColor="text1"/>
          <w:u w:val="none"/>
        </w:rPr>
        <w:t xml:space="preserve">, </w:t>
      </w:r>
      <w:hyperlink r:id="rId12" w:history="1">
        <w:r w:rsidRPr="002A2A4E">
          <w:rPr>
            <w:rStyle w:val="7334"/>
            <w:color w:val="000000" w:themeColor="text1"/>
            <w:u w:val="none"/>
          </w:rPr>
          <w:t>https://doi.org/10.1787/0175ae95-en</w:t>
        </w:r>
      </w:hyperlink>
      <w:r w:rsidRPr="002A2A4E">
        <w:rPr>
          <w:color w:val="000000" w:themeColor="text1"/>
        </w:rPr>
        <w:t xml:space="preserve"> </w:t>
      </w:r>
    </w:p>
  </w:footnote>
  <w:footnote w:id="106">
    <w:p w:rsidR="00F20E3F" w:rsidRPr="002A2A4E" w:rsidP="008D40F9" w14:paraId="7E36F00E" w14:textId="77777777">
      <w:pPr>
        <w:pStyle w:val="7313"/>
        <w:rPr>
          <w:color w:val="000000" w:themeColor="text1"/>
        </w:rPr>
      </w:pPr>
      <w:r w:rsidRPr="002A2A4E">
        <w:rPr>
          <w:color w:val="000000" w:themeColor="text1"/>
        </w:rPr>
        <w:footnoteRef/>
      </w:r>
      <w:r w:rsidRPr="002A2A4E">
        <w:rPr>
          <w:color w:val="000000" w:themeColor="text1"/>
          <w:rtl/>
        </w:rPr>
        <w:t xml:space="preserve"> </w:t>
      </w:r>
      <w:r w:rsidRPr="002A2A4E">
        <w:rPr>
          <w:color w:val="000000" w:themeColor="text1"/>
          <w:rtl/>
        </w:rPr>
        <w:tab/>
      </w:r>
      <w:r w:rsidRPr="002A2A4E">
        <w:rPr>
          <w:rFonts w:hint="cs"/>
          <w:color w:val="000000" w:themeColor="text1"/>
          <w:rtl/>
        </w:rPr>
        <w:t xml:space="preserve">לפי חוק הנפט, </w:t>
      </w:r>
      <w:r w:rsidRPr="002A2A4E">
        <w:rPr>
          <w:color w:val="000000" w:themeColor="text1"/>
          <w:rtl/>
        </w:rPr>
        <w:t xml:space="preserve">"נפט" פירושו </w:t>
      </w:r>
      <w:r w:rsidRPr="002A2A4E">
        <w:rPr>
          <w:rFonts w:hint="cs"/>
          <w:color w:val="000000" w:themeColor="text1"/>
          <w:rtl/>
        </w:rPr>
        <w:t>-</w:t>
      </w:r>
      <w:r w:rsidRPr="002A2A4E">
        <w:rPr>
          <w:color w:val="000000" w:themeColor="text1"/>
          <w:rtl/>
        </w:rPr>
        <w:t xml:space="preserve"> נפט ניגר, בין נוזלי ובין אדי, לרבות שמן, גז טבעי, </w:t>
      </w:r>
      <w:r w:rsidRPr="002A2A4E">
        <w:rPr>
          <w:color w:val="000000" w:themeColor="text1"/>
          <w:rtl/>
        </w:rPr>
        <w:t>גזולין</w:t>
      </w:r>
      <w:r w:rsidRPr="002A2A4E">
        <w:rPr>
          <w:color w:val="000000" w:themeColor="text1"/>
          <w:rtl/>
        </w:rPr>
        <w:t xml:space="preserve"> טבעי, </w:t>
      </w:r>
      <w:r w:rsidRPr="002A2A4E">
        <w:rPr>
          <w:color w:val="000000" w:themeColor="text1"/>
          <w:rtl/>
        </w:rPr>
        <w:t>קונדנסאטים</w:t>
      </w:r>
      <w:r w:rsidRPr="002A2A4E">
        <w:rPr>
          <w:color w:val="000000" w:themeColor="text1"/>
          <w:rtl/>
        </w:rPr>
        <w:t xml:space="preserve"> ופחמימנים (</w:t>
      </w:r>
      <w:r w:rsidRPr="002A2A4E">
        <w:rPr>
          <w:color w:val="000000" w:themeColor="text1"/>
          <w:rtl/>
        </w:rPr>
        <w:t>הידרוקרבונים</w:t>
      </w:r>
      <w:r w:rsidRPr="002A2A4E">
        <w:rPr>
          <w:color w:val="000000" w:themeColor="text1"/>
          <w:rtl/>
        </w:rPr>
        <w:t xml:space="preserve">) ניגרים קרובים להם, וכן אספלט ופחמימנים של נפט מוצקים אחרים כשהם מומסים בתוך נפט ניגר וניתנים להפקה יחד </w:t>
      </w:r>
      <w:r w:rsidRPr="002A2A4E">
        <w:rPr>
          <w:color w:val="000000" w:themeColor="text1"/>
          <w:rtl/>
        </w:rPr>
        <w:t>א</w:t>
      </w:r>
      <w:r w:rsidRPr="002A2A4E">
        <w:rPr>
          <w:rFonts w:hint="cs"/>
          <w:color w:val="000000" w:themeColor="text1"/>
          <w:rtl/>
        </w:rPr>
        <w:t>י</w:t>
      </w:r>
      <w:r w:rsidRPr="002A2A4E">
        <w:rPr>
          <w:color w:val="000000" w:themeColor="text1"/>
          <w:rtl/>
        </w:rPr>
        <w:t>תו</w:t>
      </w:r>
      <w:r w:rsidRPr="002A2A4E">
        <w:rPr>
          <w:rFonts w:hint="cs"/>
          <w:color w:val="000000" w:themeColor="text1"/>
          <w:rtl/>
        </w:rPr>
        <w:t>, ו"זכות נפט" פירושו רישיון או חזקה.</w:t>
      </w:r>
    </w:p>
  </w:footnote>
  <w:footnote w:id="107">
    <w:p w:rsidR="00F20E3F" w:rsidRPr="002A2A4E" w:rsidP="00AF2544" w14:paraId="1CA44EB0" w14:textId="77777777">
      <w:pPr>
        <w:pStyle w:val="7313"/>
        <w:spacing w:after="0"/>
        <w:rPr>
          <w:color w:val="000000" w:themeColor="text1"/>
          <w:rtl/>
        </w:rPr>
      </w:pPr>
      <w:r w:rsidRPr="002A2A4E">
        <w:rPr>
          <w:color w:val="000000" w:themeColor="text1"/>
        </w:rPr>
        <w:footnoteRef/>
      </w:r>
      <w:r w:rsidRPr="002A2A4E">
        <w:rPr>
          <w:color w:val="000000" w:themeColor="text1"/>
          <w:rtl/>
        </w:rPr>
        <w:t xml:space="preserve"> </w:t>
      </w:r>
      <w:r w:rsidRPr="002A2A4E">
        <w:rPr>
          <w:color w:val="000000" w:themeColor="text1"/>
          <w:rtl/>
        </w:rPr>
        <w:tab/>
      </w:r>
      <w:r w:rsidRPr="002A2A4E">
        <w:rPr>
          <w:rFonts w:hint="cs"/>
          <w:color w:val="000000" w:themeColor="text1"/>
          <w:rtl/>
        </w:rPr>
        <w:t>סקר ביצועים סביבתיים של ה-</w:t>
      </w:r>
      <w:r w:rsidRPr="002A2A4E">
        <w:rPr>
          <w:rFonts w:hint="cs"/>
          <w:color w:val="000000" w:themeColor="text1"/>
        </w:rPr>
        <w:t>OECD</w:t>
      </w:r>
      <w:r w:rsidRPr="002A2A4E">
        <w:rPr>
          <w:rFonts w:hint="cs"/>
          <w:color w:val="000000" w:themeColor="text1"/>
          <w:rtl/>
        </w:rPr>
        <w:t xml:space="preserve"> על ישראל, עמ' 57. וכן: </w:t>
      </w:r>
    </w:p>
    <w:p w:rsidR="00F20E3F" w:rsidRPr="002A2A4E" w:rsidP="00AF2544" w14:paraId="666B6451" w14:textId="77777777">
      <w:pPr>
        <w:pStyle w:val="00"/>
        <w:bidi w:val="0"/>
        <w:spacing w:after="0"/>
        <w:rPr>
          <w:color w:val="000000" w:themeColor="text1"/>
        </w:rPr>
      </w:pPr>
      <w:r w:rsidRPr="002A2A4E">
        <w:rPr>
          <w:color w:val="000000" w:themeColor="text1"/>
        </w:rPr>
        <w:t>Inventory of Support Measures for Fossil Fuels, 2022</w:t>
      </w:r>
    </w:p>
    <w:p w:rsidR="00F20E3F" w:rsidRPr="002A2A4E" w:rsidP="00AF2544" w14:paraId="40F461F9" w14:textId="77777777">
      <w:pPr>
        <w:pStyle w:val="7333"/>
        <w:ind w:left="0" w:firstLine="0"/>
        <w:rPr>
          <w:color w:val="000000" w:themeColor="text1"/>
          <w:u w:val="none"/>
        </w:rPr>
      </w:pPr>
      <w:hyperlink r:id="rId33" w:history="1">
        <w:r w:rsidRPr="002A2A4E">
          <w:rPr>
            <w:rStyle w:val="Hyperlink"/>
            <w:color w:val="000000" w:themeColor="text1"/>
            <w:u w:val="none"/>
          </w:rPr>
          <w:t>https://www.oecd-ilibrary.org/sites/5a3efe65-en/1/3/27/index.html?itemId=/content/publication/5a3efe65-en&amp;_csp_=2ffa7a733148fec42dccf926d7619e1c&amp;itemIGO=oecd&amp;itemContentType=book</w:t>
        </w:r>
      </w:hyperlink>
      <w:r w:rsidRPr="002A2A4E">
        <w:rPr>
          <w:color w:val="000000" w:themeColor="text1"/>
          <w:u w:val="none"/>
        </w:rPr>
        <w:t xml:space="preserve"> </w:t>
      </w:r>
    </w:p>
  </w:footnote>
  <w:footnote w:id="108">
    <w:p w:rsidR="00F20E3F" w:rsidRPr="002A2A4E" w:rsidP="00F7128C" w14:paraId="7A5F7288" w14:textId="77777777">
      <w:pPr>
        <w:pStyle w:val="7313"/>
        <w:spacing w:after="0"/>
        <w:rPr>
          <w:color w:val="000000" w:themeColor="text1"/>
          <w:rtl/>
        </w:rPr>
      </w:pPr>
      <w:r w:rsidRPr="002A2A4E">
        <w:rPr>
          <w:rStyle w:val="FootnoteReference2"/>
          <w:color w:val="000000" w:themeColor="text1"/>
          <w:vertAlign w:val="baseline"/>
        </w:rPr>
        <w:footnoteRef/>
      </w:r>
      <w:r w:rsidRPr="002A2A4E">
        <w:rPr>
          <w:color w:val="000000" w:themeColor="text1"/>
          <w:rtl/>
        </w:rPr>
        <w:t xml:space="preserve"> </w:t>
      </w:r>
      <w:r w:rsidRPr="002A2A4E">
        <w:rPr>
          <w:color w:val="000000" w:themeColor="text1"/>
          <w:rtl/>
        </w:rPr>
        <w:tab/>
      </w:r>
      <w:r w:rsidRPr="002A2A4E">
        <w:rPr>
          <w:rFonts w:hint="cs"/>
          <w:color w:val="000000" w:themeColor="text1"/>
          <w:rtl/>
        </w:rPr>
        <w:t>ההמלצה מופיע לראשונה בסקר ביצועים סביבתיים של ה-</w:t>
      </w:r>
      <w:r w:rsidRPr="002A2A4E">
        <w:rPr>
          <w:color w:val="000000" w:themeColor="text1"/>
        </w:rPr>
        <w:t>OECD</w:t>
      </w:r>
      <w:r w:rsidRPr="002A2A4E">
        <w:rPr>
          <w:color w:val="000000" w:themeColor="text1"/>
          <w:rtl/>
        </w:rPr>
        <w:t xml:space="preserve"> </w:t>
      </w:r>
      <w:r w:rsidRPr="002A2A4E">
        <w:rPr>
          <w:rFonts w:hint="cs"/>
          <w:color w:val="000000" w:themeColor="text1"/>
          <w:rtl/>
        </w:rPr>
        <w:t>על ישראל משנת 2011. וגם בסקר 2023:</w:t>
      </w:r>
    </w:p>
    <w:p w:rsidR="00F20E3F" w:rsidRPr="002A2A4E" w:rsidP="00F7128C" w14:paraId="3AB9CCE2" w14:textId="77777777">
      <w:pPr>
        <w:pStyle w:val="00"/>
        <w:bidi w:val="0"/>
        <w:ind w:left="0" w:right="397" w:firstLine="0"/>
        <w:rPr>
          <w:color w:val="000000" w:themeColor="text1"/>
          <w:rtl/>
        </w:rPr>
      </w:pPr>
      <w:r w:rsidRPr="002A2A4E">
        <w:rPr>
          <w:i/>
          <w:iCs/>
          <w:color w:val="000000" w:themeColor="text1"/>
        </w:rPr>
        <w:t>OECD Environmental Performance Reviews: Israel 2023</w:t>
      </w:r>
      <w:r w:rsidRPr="002A2A4E">
        <w:rPr>
          <w:color w:val="000000" w:themeColor="text1"/>
        </w:rPr>
        <w:t xml:space="preserve">, OECD Environmental Performance Reviews, 20203, OECD, pp. 23, 30. Publishing, Paris, </w:t>
      </w:r>
      <w:hyperlink r:id="rId12" w:history="1">
        <w:r w:rsidRPr="002A2A4E">
          <w:rPr>
            <w:rStyle w:val="7334"/>
            <w:color w:val="000000" w:themeColor="text1"/>
            <w:u w:val="none"/>
          </w:rPr>
          <w:t>https://doi.org/10.1787/0175ae95-en</w:t>
        </w:r>
      </w:hyperlink>
      <w:r w:rsidRPr="002A2A4E">
        <w:rPr>
          <w:rFonts w:hint="cs"/>
          <w:color w:val="000000" w:themeColor="text1"/>
          <w:rtl/>
        </w:rPr>
        <w:t xml:space="preserve"> </w:t>
      </w:r>
    </w:p>
  </w:footnote>
  <w:footnote w:id="109">
    <w:p w:rsidR="00F20E3F" w:rsidRPr="002A2A4E" w:rsidP="007649F0" w14:paraId="04F5CF26" w14:textId="77777777">
      <w:pPr>
        <w:pStyle w:val="00"/>
        <w:rPr>
          <w:color w:val="000000" w:themeColor="text1"/>
          <w:rtl/>
        </w:rPr>
      </w:pPr>
      <w:r w:rsidRPr="002A2A4E">
        <w:rPr>
          <w:rStyle w:val="FootnoteReference2"/>
          <w:color w:val="000000" w:themeColor="text1"/>
          <w:vertAlign w:val="baseline"/>
        </w:rPr>
        <w:footnoteRef/>
      </w:r>
      <w:r w:rsidRPr="002A2A4E">
        <w:rPr>
          <w:rFonts w:hint="cs"/>
          <w:color w:val="000000" w:themeColor="text1"/>
          <w:rtl/>
        </w:rPr>
        <w:t xml:space="preserve"> </w:t>
      </w:r>
      <w:r w:rsidRPr="002A2A4E">
        <w:rPr>
          <w:rFonts w:hint="cs"/>
          <w:color w:val="000000" w:themeColor="text1"/>
          <w:rtl/>
        </w:rPr>
        <w:tab/>
      </w:r>
      <w:r w:rsidRPr="002A2A4E">
        <w:rPr>
          <w:rFonts w:hint="eastAsia"/>
          <w:color w:val="000000" w:themeColor="text1"/>
          <w:rtl/>
        </w:rPr>
        <w:t>מבקר</w:t>
      </w:r>
      <w:r w:rsidRPr="002A2A4E">
        <w:rPr>
          <w:color w:val="000000" w:themeColor="text1"/>
          <w:rtl/>
        </w:rPr>
        <w:t xml:space="preserve"> </w:t>
      </w:r>
      <w:r w:rsidRPr="002A2A4E">
        <w:rPr>
          <w:rFonts w:hint="eastAsia"/>
          <w:color w:val="000000" w:themeColor="text1"/>
          <w:rtl/>
        </w:rPr>
        <w:t>המדינה</w:t>
      </w:r>
      <w:r w:rsidRPr="002A2A4E">
        <w:rPr>
          <w:color w:val="000000" w:themeColor="text1"/>
          <w:rtl/>
        </w:rPr>
        <w:t>,</w:t>
      </w:r>
      <w:r w:rsidRPr="002A2A4E">
        <w:rPr>
          <w:rFonts w:hint="cs"/>
          <w:b/>
          <w:bCs/>
          <w:color w:val="000000" w:themeColor="text1"/>
          <w:rtl/>
        </w:rPr>
        <w:t xml:space="preserve"> דוח ביקורת מיוחד - פעולות ממשלת ישראל והיערכותה למשבר האקלים</w:t>
      </w:r>
      <w:r w:rsidRPr="002A2A4E">
        <w:rPr>
          <w:rFonts w:hint="cs"/>
          <w:color w:val="000000" w:themeColor="text1"/>
          <w:rtl/>
        </w:rPr>
        <w:t xml:space="preserve"> (2021), עמ' 480 - 481.</w:t>
      </w:r>
    </w:p>
  </w:footnote>
  <w:footnote w:id="110">
    <w:p w:rsidR="00F20E3F" w:rsidRPr="002A2A4E" w:rsidP="00086C6B" w14:paraId="65189E7F" w14:textId="77777777">
      <w:pPr>
        <w:pStyle w:val="7313"/>
        <w:rPr>
          <w:color w:val="000000" w:themeColor="text1"/>
          <w:rtl/>
        </w:rPr>
      </w:pPr>
      <w:r w:rsidRPr="002A2A4E">
        <w:rPr>
          <w:color w:val="000000" w:themeColor="text1"/>
        </w:rPr>
        <w:footnoteRef/>
      </w:r>
      <w:r w:rsidRPr="002A2A4E">
        <w:rPr>
          <w:color w:val="000000" w:themeColor="text1"/>
          <w:rtl/>
        </w:rPr>
        <w:t xml:space="preserve"> </w:t>
      </w:r>
      <w:r w:rsidRPr="002A2A4E">
        <w:rPr>
          <w:color w:val="000000" w:themeColor="text1"/>
          <w:rtl/>
        </w:rPr>
        <w:tab/>
      </w:r>
      <w:r w:rsidRPr="002A2A4E">
        <w:rPr>
          <w:rFonts w:hint="cs"/>
          <w:color w:val="000000" w:themeColor="text1"/>
          <w:rtl/>
        </w:rPr>
        <w:t>החלטת הממשלה 171, "מעבר לכלכלה דלת פחמן" (25.7.21); החלטת הממשלה 544, "עידוד חדשנות טכנולוגית למאבק בשינויי האקלים" (24.10.21); החלטת הממשלה 1685, "עידוד חדשנות טכנולוגית ישראלית ורתימת תעשיית ההייטק למאבק בשינויי האקלים ולעמידה ביעדים הלאומיים" (26.6.22).</w:t>
      </w:r>
    </w:p>
  </w:footnote>
  <w:footnote w:id="111">
    <w:p w:rsidR="00F20E3F" w:rsidRPr="002A2A4E" w:rsidP="007649F0" w14:paraId="7C856917" w14:textId="77777777">
      <w:pPr>
        <w:pStyle w:val="00"/>
        <w:rPr>
          <w:color w:val="000000" w:themeColor="text1"/>
        </w:rPr>
      </w:pPr>
      <w:r w:rsidRPr="002A2A4E">
        <w:rPr>
          <w:rStyle w:val="71Char"/>
          <w:color w:val="000000" w:themeColor="text1"/>
        </w:rPr>
        <w:footnoteRef/>
      </w:r>
      <w:r w:rsidRPr="002A2A4E">
        <w:rPr>
          <w:rStyle w:val="71Char"/>
          <w:color w:val="000000" w:themeColor="text1"/>
          <w:rtl/>
        </w:rPr>
        <w:t xml:space="preserve"> </w:t>
      </w:r>
      <w:r w:rsidRPr="002A2A4E">
        <w:rPr>
          <w:color w:val="000000" w:themeColor="text1"/>
          <w:rtl/>
        </w:rPr>
        <w:tab/>
      </w:r>
      <w:r w:rsidRPr="002A2A4E">
        <w:rPr>
          <w:rFonts w:hint="cs"/>
          <w:color w:val="000000" w:themeColor="text1"/>
          <w:rtl/>
        </w:rPr>
        <w:t>הלמ"ס</w:t>
      </w:r>
      <w:r w:rsidRPr="002A2A4E">
        <w:rPr>
          <w:rFonts w:hint="cs"/>
          <w:color w:val="000000" w:themeColor="text1"/>
          <w:rtl/>
        </w:rPr>
        <w:t xml:space="preserve">, </w:t>
      </w:r>
      <w:hyperlink r:id="rId34" w:history="1">
        <w:r w:rsidRPr="002A2A4E">
          <w:rPr>
            <w:rStyle w:val="7334"/>
            <w:rFonts w:hint="cs"/>
            <w:color w:val="000000" w:themeColor="text1"/>
            <w:u w:val="none"/>
            <w:rtl/>
          </w:rPr>
          <w:t>הסביבה - שנתון סטטיסטי לשנת 2017, לוח 27.7 - פליטות גזי חממה לפי מקור</w:t>
        </w:r>
      </w:hyperlink>
      <w:r w:rsidRPr="002A2A4E">
        <w:rPr>
          <w:rFonts w:hint="cs"/>
          <w:color w:val="000000" w:themeColor="text1"/>
          <w:rtl/>
        </w:rPr>
        <w:t xml:space="preserve"> (15.9.17). בעדכון החישוב לשנת 2020 עולה כי סקטור החקלאות אחראי לכ-3.9% מסך הפליטות בישראל והוא כ-3.021 מיליון טונה. סקטור החקלאות מינורי בישראל ואחראי בעיקר לפליטות של גז מתאן ותחמוצת חנקן. ראו: המשרד </w:t>
      </w:r>
      <w:r w:rsidRPr="002A2A4E">
        <w:rPr>
          <w:rFonts w:hint="cs"/>
          <w:color w:val="000000" w:themeColor="text1"/>
          <w:rtl/>
        </w:rPr>
        <w:t>להג"ס</w:t>
      </w:r>
      <w:r w:rsidRPr="002A2A4E">
        <w:rPr>
          <w:rFonts w:hint="cs"/>
          <w:color w:val="000000" w:themeColor="text1"/>
          <w:rtl/>
        </w:rPr>
        <w:t>, "פליטות גזי חממה בישראל - סקירת המצב הקיים ובחינת אמצעים להפחתה" (ינואר 2009), עמ' 10 ו-35.</w:t>
      </w:r>
    </w:p>
  </w:footnote>
  <w:footnote w:id="112">
    <w:p w:rsidR="00F20E3F" w:rsidRPr="002A2A4E" w:rsidP="00086C6B" w14:paraId="251D9A55" w14:textId="77777777">
      <w:pPr>
        <w:pStyle w:val="713"/>
        <w:rPr>
          <w:color w:val="000000" w:themeColor="text1"/>
          <w:rtl/>
        </w:rPr>
      </w:pPr>
      <w:r w:rsidRPr="002A2A4E">
        <w:rPr>
          <w:rStyle w:val="FootnoteReference2"/>
          <w:color w:val="000000" w:themeColor="text1"/>
          <w:vertAlign w:val="baseline"/>
        </w:rPr>
        <w:footnoteRef/>
      </w:r>
      <w:r w:rsidRPr="002A2A4E">
        <w:rPr>
          <w:color w:val="000000" w:themeColor="text1"/>
          <w:rtl/>
        </w:rPr>
        <w:t xml:space="preserve"> </w:t>
      </w:r>
      <w:r w:rsidRPr="002A2A4E">
        <w:rPr>
          <w:color w:val="000000" w:themeColor="text1"/>
          <w:rtl/>
        </w:rPr>
        <w:tab/>
      </w:r>
      <w:r w:rsidRPr="002A2A4E">
        <w:rPr>
          <w:rStyle w:val="7334"/>
          <w:color w:val="000000" w:themeColor="text1"/>
          <w:u w:val="none"/>
          <w:rtl/>
        </w:rPr>
        <w:t xml:space="preserve">דוח </w:t>
      </w:r>
      <w:hyperlink r:id="rId35" w:history="1">
        <w:r w:rsidRPr="002A2A4E">
          <w:rPr>
            <w:rStyle w:val="7334"/>
            <w:color w:val="000000" w:themeColor="text1"/>
            <w:u w:val="none"/>
            <w:rtl/>
          </w:rPr>
          <w:t>שנתי</w:t>
        </w:r>
        <w:r w:rsidRPr="002A2A4E">
          <w:rPr>
            <w:rStyle w:val="7334"/>
            <w:rFonts w:hint="cs"/>
            <w:color w:val="000000" w:themeColor="text1"/>
            <w:u w:val="none"/>
            <w:rtl/>
          </w:rPr>
          <w:t>,</w:t>
        </w:r>
        <w:r w:rsidRPr="002A2A4E">
          <w:rPr>
            <w:rStyle w:val="7334"/>
            <w:color w:val="000000" w:themeColor="text1"/>
            <w:u w:val="none"/>
            <w:rtl/>
          </w:rPr>
          <w:t xml:space="preserve"> מצב ההיי-טק הישראלי 2022</w:t>
        </w:r>
      </w:hyperlink>
      <w:r w:rsidRPr="002A2A4E">
        <w:rPr>
          <w:rFonts w:hint="cs"/>
          <w:color w:val="000000" w:themeColor="text1"/>
          <w:rtl/>
        </w:rPr>
        <w:t xml:space="preserve">. </w:t>
      </w:r>
    </w:p>
  </w:footnote>
  <w:footnote w:id="113">
    <w:p w:rsidR="00F20E3F" w:rsidRPr="002A2A4E" w:rsidP="00086C6B" w14:paraId="7BB675D5" w14:textId="77777777">
      <w:pPr>
        <w:pStyle w:val="713"/>
        <w:rPr>
          <w:color w:val="000000" w:themeColor="text1"/>
        </w:rPr>
      </w:pPr>
      <w:r w:rsidRPr="002A2A4E">
        <w:rPr>
          <w:rStyle w:val="FootnoteReference2"/>
          <w:color w:val="000000" w:themeColor="text1"/>
          <w:vertAlign w:val="baseline"/>
        </w:rPr>
        <w:footnoteRef/>
      </w:r>
      <w:r w:rsidRPr="002A2A4E">
        <w:rPr>
          <w:color w:val="000000" w:themeColor="text1"/>
          <w:rtl/>
        </w:rPr>
        <w:t xml:space="preserve"> </w:t>
      </w:r>
      <w:r w:rsidRPr="002A2A4E">
        <w:rPr>
          <w:color w:val="000000" w:themeColor="text1"/>
          <w:rtl/>
        </w:rPr>
        <w:tab/>
      </w:r>
      <w:r w:rsidRPr="002A2A4E">
        <w:rPr>
          <w:rStyle w:val="7334"/>
          <w:color w:val="000000" w:themeColor="text1"/>
          <w:u w:val="none"/>
          <w:rtl/>
        </w:rPr>
        <w:t xml:space="preserve">דוח </w:t>
      </w:r>
      <w:hyperlink r:id="rId35" w:history="1">
        <w:r w:rsidRPr="002A2A4E">
          <w:rPr>
            <w:rStyle w:val="7334"/>
            <w:color w:val="000000" w:themeColor="text1"/>
            <w:u w:val="none"/>
            <w:rtl/>
          </w:rPr>
          <w:t>שנתי</w:t>
        </w:r>
        <w:r w:rsidRPr="002A2A4E">
          <w:rPr>
            <w:rStyle w:val="7334"/>
            <w:rFonts w:hint="cs"/>
            <w:color w:val="000000" w:themeColor="text1"/>
            <w:u w:val="none"/>
            <w:rtl/>
          </w:rPr>
          <w:t>,</w:t>
        </w:r>
        <w:r w:rsidRPr="002A2A4E">
          <w:rPr>
            <w:rStyle w:val="7334"/>
            <w:color w:val="000000" w:themeColor="text1"/>
            <w:u w:val="none"/>
            <w:rtl/>
          </w:rPr>
          <w:t xml:space="preserve"> מצב ההיי-טק הישראלי 2022</w:t>
        </w:r>
      </w:hyperlink>
      <w:r w:rsidRPr="002A2A4E">
        <w:rPr>
          <w:rFonts w:hint="cs"/>
          <w:color w:val="000000" w:themeColor="text1"/>
          <w:rtl/>
        </w:rPr>
        <w:t>.</w:t>
      </w:r>
    </w:p>
  </w:footnote>
  <w:footnote w:id="114">
    <w:p w:rsidR="00D617B3" w:rsidRPr="002A2A4E" w:rsidP="00D617B3" w14:paraId="17738399" w14:textId="77777777">
      <w:pPr>
        <w:pStyle w:val="7313"/>
        <w:rPr>
          <w:color w:val="000000" w:themeColor="text1"/>
        </w:rPr>
      </w:pPr>
      <w:r w:rsidRPr="002A2A4E">
        <w:rPr>
          <w:color w:val="000000" w:themeColor="text1"/>
        </w:rPr>
        <w:footnoteRef/>
      </w:r>
      <w:r w:rsidRPr="002A2A4E">
        <w:rPr>
          <w:color w:val="000000" w:themeColor="text1"/>
          <w:rtl/>
        </w:rPr>
        <w:t xml:space="preserve"> </w:t>
      </w:r>
      <w:r w:rsidRPr="002A2A4E">
        <w:rPr>
          <w:color w:val="000000" w:themeColor="text1"/>
          <w:rtl/>
        </w:rPr>
        <w:tab/>
        <w:t>במסגרת מסלול תמיכה מס</w:t>
      </w:r>
      <w:r w:rsidRPr="002A2A4E">
        <w:rPr>
          <w:rFonts w:hint="cs"/>
          <w:color w:val="000000" w:themeColor="text1"/>
          <w:rtl/>
        </w:rPr>
        <w:t>'</w:t>
      </w:r>
      <w:r w:rsidRPr="002A2A4E">
        <w:rPr>
          <w:color w:val="000000" w:themeColor="text1"/>
          <w:rtl/>
        </w:rPr>
        <w:t xml:space="preserve"> 2 - תמיכה בחדשנות טכנולוגית של התעשייה בשיתוף גורמי ממשל</w:t>
      </w:r>
      <w:r w:rsidRPr="002A2A4E">
        <w:rPr>
          <w:rFonts w:hint="cs"/>
          <w:color w:val="000000" w:themeColor="text1"/>
          <w:rtl/>
        </w:rPr>
        <w:t>.</w:t>
      </w:r>
    </w:p>
  </w:footnote>
  <w:footnote w:id="115">
    <w:p w:rsidR="00F20E3F" w:rsidRPr="002A2A4E" w:rsidP="007649F0" w14:paraId="470D810C" w14:textId="77777777">
      <w:pPr>
        <w:pStyle w:val="00"/>
        <w:rPr>
          <w:color w:val="000000" w:themeColor="text1"/>
          <w:rtl/>
        </w:rPr>
      </w:pPr>
      <w:r w:rsidRPr="00D617B3">
        <w:rPr>
          <w:rStyle w:val="7342"/>
        </w:rPr>
        <w:footnoteRef/>
      </w:r>
      <w:r w:rsidRPr="00D617B3">
        <w:rPr>
          <w:rStyle w:val="7342"/>
          <w:rtl/>
        </w:rPr>
        <w:t xml:space="preserve"> </w:t>
      </w:r>
      <w:r w:rsidRPr="002A2A4E">
        <w:rPr>
          <w:color w:val="000000" w:themeColor="text1"/>
          <w:rtl/>
        </w:rPr>
        <w:tab/>
      </w:r>
      <w:r w:rsidRPr="002A2A4E">
        <w:rPr>
          <w:rFonts w:hint="cs"/>
          <w:color w:val="000000" w:themeColor="text1"/>
          <w:rtl/>
        </w:rPr>
        <w:t xml:space="preserve">צוות משימה </w:t>
      </w:r>
      <w:r w:rsidRPr="002A2A4E">
        <w:rPr>
          <w:color w:val="000000" w:themeColor="text1"/>
          <w:rtl/>
        </w:rPr>
        <w:t>בראשות מנכ"ל משרד ראש הממשלה ובהשתתפות החשב הכללי במשרד האוצר והממונה על התקציבים או נציגיהם</w:t>
      </w:r>
      <w:r w:rsidRPr="002A2A4E">
        <w:rPr>
          <w:rFonts w:hint="cs"/>
          <w:color w:val="000000" w:themeColor="text1"/>
          <w:rtl/>
        </w:rPr>
        <w:t>, סעיף 1 בהחלטת הממשלה 544.</w:t>
      </w:r>
    </w:p>
  </w:footnote>
  <w:footnote w:id="116">
    <w:p w:rsidR="00545D29" w:rsidRPr="002A2A4E" w:rsidP="00545D29" w14:paraId="09E73D70" w14:textId="77777777">
      <w:pPr>
        <w:pStyle w:val="7313"/>
        <w:rPr>
          <w:color w:val="000000" w:themeColor="text1"/>
          <w:rtl/>
        </w:rPr>
      </w:pPr>
      <w:r w:rsidRPr="002A2A4E">
        <w:rPr>
          <w:color w:val="000000" w:themeColor="text1"/>
        </w:rPr>
        <w:footnoteRef/>
      </w:r>
      <w:r w:rsidRPr="002A2A4E">
        <w:rPr>
          <w:color w:val="000000" w:themeColor="text1"/>
          <w:rtl/>
        </w:rPr>
        <w:t xml:space="preserve"> </w:t>
      </w:r>
      <w:r w:rsidRPr="002A2A4E">
        <w:rPr>
          <w:color w:val="000000" w:themeColor="text1"/>
          <w:rtl/>
        </w:rPr>
        <w:tab/>
      </w:r>
      <w:r w:rsidRPr="00D617B3">
        <w:rPr>
          <w:color w:val="000000" w:themeColor="text1"/>
          <w:rtl/>
        </w:rPr>
        <w:t xml:space="preserve">המושג סיכונים פיזיים מתייחס לסיכונים </w:t>
      </w:r>
      <w:r w:rsidRPr="00D617B3">
        <w:rPr>
          <w:b/>
          <w:bCs/>
          <w:color w:val="000000" w:themeColor="text1"/>
          <w:rtl/>
        </w:rPr>
        <w:t>אקוטיים</w:t>
      </w:r>
      <w:r w:rsidRPr="00D617B3">
        <w:rPr>
          <w:color w:val="000000" w:themeColor="text1"/>
          <w:rtl/>
        </w:rPr>
        <w:t xml:space="preserve"> הנובעים מהתרחשות אירועי קיצון במזג האוויר או קטסטרופות, כגון שריפות, הצפות, רוחות עזות, משקעים חזקים ועוד, שלפי הערכות יהפכו לקיצוניים יותר, ממושכים יותר ובתדירות רבה יותר, ועלולים לגרום לנזקים פיזיים לתשתיות, רכוש ונכסים של המדינה ושל גופים פרטיים - וכן השפעות </w:t>
      </w:r>
      <w:r w:rsidRPr="00D617B3">
        <w:rPr>
          <w:b/>
          <w:bCs/>
          <w:color w:val="000000" w:themeColor="text1"/>
          <w:rtl/>
        </w:rPr>
        <w:t>כרוניות</w:t>
      </w:r>
      <w:r w:rsidRPr="00D617B3">
        <w:rPr>
          <w:color w:val="000000" w:themeColor="text1"/>
          <w:rtl/>
        </w:rPr>
        <w:t xml:space="preserve"> של שינויים ארוכי טווח בדפוסי מזג האוויר - המשפיעים על הרכוש, ההון הפיזי, התשתיות, החקלאות והנדל"ן</w:t>
      </w:r>
      <w:r w:rsidRPr="002A2A4E">
        <w:rPr>
          <w:rFonts w:hint="cs"/>
          <w:color w:val="000000" w:themeColor="text1"/>
          <w:rtl/>
        </w:rPr>
        <w:t>.</w:t>
      </w:r>
    </w:p>
  </w:footnote>
  <w:footnote w:id="117">
    <w:p w:rsidR="00545D29" w:rsidRPr="002A2A4E" w:rsidP="00545D29" w14:paraId="40F658F4" w14:textId="77777777">
      <w:pPr>
        <w:pStyle w:val="00"/>
        <w:rPr>
          <w:color w:val="000000" w:themeColor="text1"/>
          <w:rtl/>
        </w:rPr>
      </w:pPr>
      <w:r w:rsidRPr="002A2A4E">
        <w:rPr>
          <w:color w:val="000000" w:themeColor="text1"/>
        </w:rPr>
        <w:footnoteRef/>
      </w:r>
      <w:r w:rsidRPr="002A2A4E">
        <w:rPr>
          <w:color w:val="000000" w:themeColor="text1"/>
          <w:rtl/>
        </w:rPr>
        <w:t xml:space="preserve"> </w:t>
      </w:r>
      <w:r w:rsidRPr="002A2A4E">
        <w:rPr>
          <w:color w:val="000000" w:themeColor="text1"/>
          <w:rtl/>
        </w:rPr>
        <w:tab/>
      </w:r>
      <w:r w:rsidRPr="002A2A4E">
        <w:rPr>
          <w:rFonts w:hint="cs"/>
          <w:color w:val="000000" w:themeColor="text1"/>
          <w:rtl/>
        </w:rPr>
        <w:t xml:space="preserve">המושג </w:t>
      </w:r>
      <w:r w:rsidRPr="002A2A4E">
        <w:rPr>
          <w:color w:val="000000" w:themeColor="text1"/>
          <w:rtl/>
        </w:rPr>
        <w:t xml:space="preserve">סיכוני מעבר מתייחס בעיקר לירידת ערך הנכסים אשר יישארו בידי בעליהם כאשר כבר לא יהיה בהם עוד שימוש או כשהביקוש אליהם ירד בשל אחד או יותר בשל שינויים ברגולציה או החמרתה כדי להתאימה למאבק בשינויי האקלים. השפעות אלו מתורגמות בשוק ההון לסיכונים פיננסיים מתחומים שונים ומשמעותיים: סיכוני אשראי, סיכוני שוק בשל שינויים בהיצע </w:t>
      </w:r>
      <w:r w:rsidRPr="002A2A4E">
        <w:rPr>
          <w:color w:val="000000" w:themeColor="text1"/>
          <w:rtl/>
        </w:rPr>
        <w:t>ובביקושים</w:t>
      </w:r>
      <w:r w:rsidRPr="002A2A4E">
        <w:rPr>
          <w:color w:val="000000" w:themeColor="text1"/>
          <w:rtl/>
        </w:rPr>
        <w:t>, סיכוני ביטוח, סיכונים תפעוליים, סיכוני נזילות</w:t>
      </w:r>
      <w:r w:rsidRPr="002A2A4E">
        <w:rPr>
          <w:rFonts w:hint="cs"/>
          <w:color w:val="000000" w:themeColor="text1"/>
          <w:rtl/>
        </w:rPr>
        <w:t>, ולצידם שינויים טכנולוגיים ומגמות בהתנהגות הציבור,</w:t>
      </w:r>
      <w:r w:rsidRPr="002A2A4E">
        <w:rPr>
          <w:color w:val="000000" w:themeColor="text1"/>
          <w:rtl/>
        </w:rPr>
        <w:t xml:space="preserve"> ועוד.</w:t>
      </w:r>
    </w:p>
  </w:footnote>
  <w:footnote w:id="118">
    <w:p w:rsidR="00F20E3F" w:rsidRPr="002A2A4E" w:rsidP="007649F0" w14:paraId="58BE6B68" w14:textId="5B68814C">
      <w:pPr>
        <w:pStyle w:val="00"/>
        <w:rPr>
          <w:color w:val="000000" w:themeColor="text1"/>
          <w:rtl/>
        </w:rPr>
      </w:pPr>
      <w:r w:rsidRPr="002A2A4E">
        <w:rPr>
          <w:color w:val="000000" w:themeColor="text1"/>
        </w:rPr>
        <w:footnoteRef/>
      </w:r>
      <w:r w:rsidRPr="002A2A4E">
        <w:rPr>
          <w:color w:val="000000" w:themeColor="text1"/>
          <w:rtl/>
        </w:rPr>
        <w:t xml:space="preserve"> </w:t>
      </w:r>
      <w:r w:rsidRPr="002A2A4E">
        <w:rPr>
          <w:color w:val="000000" w:themeColor="text1"/>
          <w:rtl/>
        </w:rPr>
        <w:tab/>
      </w:r>
      <w:r w:rsidRPr="002A2A4E">
        <w:rPr>
          <w:rFonts w:hint="cs"/>
          <w:color w:val="000000" w:themeColor="text1"/>
          <w:rtl/>
        </w:rPr>
        <w:t xml:space="preserve">מדובר בכללי אחריות תאגידית מסוגים שונים שפורסמו בשנים האחרונות. </w:t>
      </w:r>
      <w:r w:rsidRPr="002A2A4E">
        <w:rPr>
          <w:rFonts w:hint="cs"/>
          <w:color w:val="000000" w:themeColor="text1"/>
        </w:rPr>
        <w:t>CSR</w:t>
      </w:r>
      <w:r w:rsidRPr="002A2A4E">
        <w:rPr>
          <w:rFonts w:hint="cs"/>
          <w:color w:val="000000" w:themeColor="text1"/>
          <w:rtl/>
        </w:rPr>
        <w:t xml:space="preserve"> - </w:t>
      </w:r>
      <w:r w:rsidRPr="002A2A4E">
        <w:rPr>
          <w:color w:val="000000" w:themeColor="text1"/>
        </w:rPr>
        <w:t>Corporate social responsibility</w:t>
      </w:r>
      <w:r w:rsidRPr="002A2A4E">
        <w:rPr>
          <w:rFonts w:hint="cs"/>
          <w:color w:val="000000" w:themeColor="text1"/>
          <w:rtl/>
        </w:rPr>
        <w:t xml:space="preserve">; </w:t>
      </w:r>
      <w:r w:rsidRPr="002A2A4E">
        <w:rPr>
          <w:rFonts w:hint="cs"/>
          <w:color w:val="000000" w:themeColor="text1"/>
        </w:rPr>
        <w:t>SRI</w:t>
      </w:r>
      <w:r w:rsidRPr="002A2A4E">
        <w:rPr>
          <w:rFonts w:hint="cs"/>
          <w:color w:val="000000" w:themeColor="text1"/>
          <w:rtl/>
        </w:rPr>
        <w:t xml:space="preserve"> - </w:t>
      </w:r>
      <w:r w:rsidRPr="002A2A4E">
        <w:rPr>
          <w:color w:val="000000" w:themeColor="text1"/>
        </w:rPr>
        <w:t>Socially Responsible Investment</w:t>
      </w:r>
      <w:r w:rsidRPr="002A2A4E">
        <w:rPr>
          <w:rFonts w:hint="cs"/>
          <w:color w:val="000000" w:themeColor="text1"/>
          <w:rtl/>
        </w:rPr>
        <w:t xml:space="preserve">; </w:t>
      </w:r>
      <w:r w:rsidRPr="002A2A4E">
        <w:rPr>
          <w:rFonts w:hint="cs"/>
          <w:color w:val="000000" w:themeColor="text1"/>
        </w:rPr>
        <w:t>SASB</w:t>
      </w:r>
      <w:r w:rsidRPr="002A2A4E">
        <w:rPr>
          <w:rFonts w:hint="cs"/>
          <w:color w:val="000000" w:themeColor="text1"/>
          <w:rtl/>
        </w:rPr>
        <w:t xml:space="preserve"> - </w:t>
      </w:r>
      <w:r w:rsidRPr="002A2A4E">
        <w:rPr>
          <w:color w:val="000000" w:themeColor="text1"/>
        </w:rPr>
        <w:t>Sustainability Accounting Standards Board</w:t>
      </w:r>
    </w:p>
  </w:footnote>
  <w:footnote w:id="119">
    <w:p w:rsidR="00F20E3F" w:rsidRPr="002A2A4E" w:rsidP="007649F0" w14:paraId="1C2B49E7" w14:textId="77777777">
      <w:pPr>
        <w:pStyle w:val="00"/>
        <w:rPr>
          <w:color w:val="000000" w:themeColor="text1"/>
          <w:rtl/>
        </w:rPr>
      </w:pPr>
      <w:r w:rsidRPr="002A2A4E">
        <w:rPr>
          <w:color w:val="000000" w:themeColor="text1"/>
        </w:rPr>
        <w:footnoteRef/>
      </w:r>
      <w:r w:rsidRPr="002A2A4E">
        <w:rPr>
          <w:color w:val="000000" w:themeColor="text1"/>
          <w:rtl/>
        </w:rPr>
        <w:t xml:space="preserve"> </w:t>
      </w:r>
      <w:r w:rsidRPr="002A2A4E">
        <w:rPr>
          <w:color w:val="000000" w:themeColor="text1"/>
          <w:rtl/>
        </w:rPr>
        <w:tab/>
      </w:r>
      <w:r w:rsidRPr="002A2A4E">
        <w:rPr>
          <w:rFonts w:hint="cs"/>
          <w:color w:val="000000" w:themeColor="text1"/>
          <w:rtl/>
        </w:rPr>
        <w:t>ראו למשל את דוח מבקר המדינה בנושא "מניעת נזקי מינים פולשים ושמירה על המגוון הביולוגי" (2022), עמ' 136.</w:t>
      </w:r>
    </w:p>
  </w:footnote>
  <w:footnote w:id="120">
    <w:p w:rsidR="00F20E3F" w:rsidRPr="002A2A4E" w:rsidP="007649F0" w14:paraId="43BEE395" w14:textId="77777777">
      <w:pPr>
        <w:pStyle w:val="00"/>
        <w:rPr>
          <w:color w:val="000000" w:themeColor="text1"/>
          <w:rtl/>
        </w:rPr>
      </w:pPr>
      <w:r w:rsidRPr="002A2A4E">
        <w:rPr>
          <w:color w:val="000000" w:themeColor="text1"/>
        </w:rPr>
        <w:footnoteRef/>
      </w:r>
      <w:r w:rsidRPr="002A2A4E">
        <w:rPr>
          <w:color w:val="000000" w:themeColor="text1"/>
          <w:rtl/>
        </w:rPr>
        <w:t xml:space="preserve"> </w:t>
      </w:r>
      <w:r w:rsidRPr="002A2A4E">
        <w:rPr>
          <w:color w:val="000000" w:themeColor="text1"/>
          <w:rtl/>
        </w:rPr>
        <w:tab/>
        <w:t>ארגון הבנק להסדרי סליקה בין-לאומיים (</w:t>
      </w:r>
      <w:r w:rsidRPr="002A2A4E">
        <w:rPr>
          <w:color w:val="000000" w:themeColor="text1"/>
        </w:rPr>
        <w:t>Bank for International Settlements</w:t>
      </w:r>
      <w:r w:rsidRPr="002A2A4E">
        <w:rPr>
          <w:color w:val="000000" w:themeColor="text1"/>
          <w:rtl/>
        </w:rPr>
        <w:t>) (</w:t>
      </w:r>
      <w:r w:rsidRPr="002A2A4E">
        <w:rPr>
          <w:color w:val="000000" w:themeColor="text1"/>
        </w:rPr>
        <w:t>BIS</w:t>
      </w:r>
      <w:r w:rsidRPr="002A2A4E">
        <w:rPr>
          <w:color w:val="000000" w:themeColor="text1"/>
          <w:rtl/>
        </w:rPr>
        <w:t>)</w:t>
      </w:r>
      <w:r w:rsidRPr="002A2A4E">
        <w:rPr>
          <w:rFonts w:hint="cs"/>
          <w:color w:val="000000" w:themeColor="text1"/>
          <w:rtl/>
        </w:rPr>
        <w:t xml:space="preserve"> הוא ארגון של בנקים מרכזיים הקובע עקרונות בין-לאומיים לניהול בנקאי, שעליהם מתבססים בנקים מרכזיים רבים בעולם.</w:t>
      </w:r>
    </w:p>
  </w:footnote>
  <w:footnote w:id="121">
    <w:p w:rsidR="00F20E3F" w:rsidRPr="002A2A4E" w:rsidP="0096627E" w14:paraId="0D2D9B9B" w14:textId="77777777">
      <w:pPr>
        <w:pStyle w:val="713"/>
        <w:spacing w:after="0"/>
        <w:rPr>
          <w:color w:val="000000" w:themeColor="text1"/>
          <w:rtl/>
        </w:rPr>
      </w:pPr>
      <w:r w:rsidRPr="002A2A4E">
        <w:rPr>
          <w:rStyle w:val="FootnoteReference2"/>
          <w:color w:val="000000" w:themeColor="text1"/>
          <w:vertAlign w:val="baseline"/>
        </w:rPr>
        <w:footnoteRef/>
      </w:r>
      <w:r w:rsidRPr="002A2A4E">
        <w:rPr>
          <w:color w:val="000000" w:themeColor="text1"/>
          <w:rtl/>
        </w:rPr>
        <w:t xml:space="preserve"> </w:t>
      </w:r>
      <w:r w:rsidRPr="002A2A4E">
        <w:rPr>
          <w:color w:val="000000" w:themeColor="text1"/>
          <w:rtl/>
        </w:rPr>
        <w:tab/>
      </w:r>
      <w:r w:rsidRPr="002A2A4E">
        <w:rPr>
          <w:rFonts w:hint="cs"/>
          <w:color w:val="000000" w:themeColor="text1"/>
          <w:rtl/>
        </w:rPr>
        <w:t>מדובר ב</w:t>
      </w:r>
      <w:r w:rsidRPr="002A2A4E">
        <w:rPr>
          <w:color w:val="000000" w:themeColor="text1"/>
          <w:rtl/>
        </w:rPr>
        <w:t>כוח המשימה לגילוי פיננסי בתחום האקלים</w:t>
      </w:r>
      <w:r w:rsidRPr="002A2A4E">
        <w:rPr>
          <w:rFonts w:hint="cs"/>
          <w:color w:val="000000" w:themeColor="text1"/>
          <w:rtl/>
        </w:rPr>
        <w:t xml:space="preserve">, </w:t>
      </w:r>
      <w:r w:rsidRPr="002A2A4E">
        <w:rPr>
          <w:color w:val="000000" w:themeColor="text1"/>
        </w:rPr>
        <w:t>TCFD - Task Force on Climate-related Financial Disclosures</w:t>
      </w:r>
      <w:r w:rsidRPr="002A2A4E">
        <w:rPr>
          <w:rFonts w:hint="cs"/>
          <w:color w:val="000000" w:themeColor="text1"/>
          <w:rtl/>
        </w:rPr>
        <w:t>.</w:t>
      </w:r>
      <w:r w:rsidRPr="002A2A4E">
        <w:rPr>
          <w:color w:val="000000" w:themeColor="text1"/>
          <w:rtl/>
        </w:rPr>
        <w:t xml:space="preserve"> מועצת היציבות הפיננסית (</w:t>
      </w:r>
      <w:r w:rsidRPr="002A2A4E">
        <w:rPr>
          <w:color w:val="000000" w:themeColor="text1"/>
        </w:rPr>
        <w:t>FSB</w:t>
      </w:r>
      <w:r w:rsidRPr="002A2A4E">
        <w:rPr>
          <w:color w:val="000000" w:themeColor="text1"/>
          <w:rtl/>
        </w:rPr>
        <w:t xml:space="preserve">) </w:t>
      </w:r>
      <w:r w:rsidRPr="002A2A4E">
        <w:rPr>
          <w:rFonts w:hint="cs"/>
          <w:color w:val="000000" w:themeColor="text1"/>
          <w:rtl/>
        </w:rPr>
        <w:t>הפועלת במסגרת ה-</w:t>
      </w:r>
      <w:r w:rsidRPr="002A2A4E">
        <w:rPr>
          <w:rFonts w:hint="cs"/>
          <w:color w:val="000000" w:themeColor="text1"/>
        </w:rPr>
        <w:t>BIS</w:t>
      </w:r>
      <w:r w:rsidRPr="002A2A4E">
        <w:rPr>
          <w:rFonts w:hint="cs"/>
          <w:color w:val="000000" w:themeColor="text1"/>
          <w:rtl/>
        </w:rPr>
        <w:t>,</w:t>
      </w:r>
      <w:r w:rsidRPr="002A2A4E">
        <w:rPr>
          <w:color w:val="000000" w:themeColor="text1"/>
          <w:rtl/>
        </w:rPr>
        <w:t xml:space="preserve"> הקימה את ה-</w:t>
      </w:r>
      <w:r w:rsidRPr="002A2A4E">
        <w:rPr>
          <w:color w:val="000000" w:themeColor="text1"/>
        </w:rPr>
        <w:t>TCFD</w:t>
      </w:r>
      <w:r w:rsidRPr="002A2A4E">
        <w:rPr>
          <w:color w:val="000000" w:themeColor="text1"/>
          <w:rtl/>
        </w:rPr>
        <w:t xml:space="preserve"> כדי לגבש המלצות לדיווחים יעילים ואמינים שיאפשרו למשקיעים, מבטחים, חתמים, נותני אשראי ובעלי עניין אחרים לקבל החלטות מושכלות יותר בנוגע לחשיפה שלהם לסיכוני אקלים. המלצות ה-</w:t>
      </w:r>
      <w:r w:rsidRPr="002A2A4E">
        <w:rPr>
          <w:color w:val="000000" w:themeColor="text1"/>
        </w:rPr>
        <w:t>TCFD</w:t>
      </w:r>
      <w:r w:rsidRPr="002A2A4E">
        <w:rPr>
          <w:color w:val="000000" w:themeColor="text1"/>
          <w:rtl/>
        </w:rPr>
        <w:t xml:space="preserve"> המתייחסות לגילוי נאות בדיווחים הפיננסיים הולכות ומתבססות כתקן עולמי.</w:t>
      </w:r>
    </w:p>
    <w:p w:rsidR="00F20E3F" w:rsidRPr="002A2A4E" w:rsidP="007649F0" w14:paraId="29B73FEF" w14:textId="77777777">
      <w:pPr>
        <w:pStyle w:val="00"/>
        <w:rPr>
          <w:color w:val="000000" w:themeColor="text1"/>
          <w:rtl/>
        </w:rPr>
      </w:pPr>
      <w:r w:rsidRPr="002A2A4E">
        <w:rPr>
          <w:color w:val="000000" w:themeColor="text1"/>
          <w:rtl/>
        </w:rPr>
        <w:tab/>
      </w:r>
      <w:r w:rsidRPr="002A2A4E">
        <w:rPr>
          <w:rFonts w:hint="cs"/>
          <w:color w:val="000000" w:themeColor="text1"/>
          <w:rtl/>
        </w:rPr>
        <w:t xml:space="preserve">ראו: </w:t>
      </w:r>
      <w:hyperlink r:id="rId36" w:history="1">
        <w:r w:rsidRPr="002A2A4E">
          <w:rPr>
            <w:rStyle w:val="7334"/>
            <w:color w:val="000000" w:themeColor="text1"/>
            <w:u w:val="none"/>
          </w:rPr>
          <w:t>https://assets.bbhub.io/company/sites/60/2020/10/TCFD_Booklet_FNL_Digital_March-2020.pdf</w:t>
        </w:r>
      </w:hyperlink>
    </w:p>
  </w:footnote>
  <w:footnote w:id="122">
    <w:p w:rsidR="00F20E3F" w:rsidRPr="002A2A4E" w:rsidP="0096627E" w14:paraId="761C7742" w14:textId="3CCCFDCE">
      <w:pPr>
        <w:pStyle w:val="713"/>
        <w:rPr>
          <w:color w:val="000000" w:themeColor="text1"/>
          <w:rtl/>
        </w:rPr>
      </w:pPr>
      <w:r w:rsidRPr="002A2A4E">
        <w:rPr>
          <w:rStyle w:val="FootnoteReference2"/>
          <w:color w:val="000000" w:themeColor="text1"/>
          <w:vertAlign w:val="baseline"/>
        </w:rPr>
        <w:footnoteRef/>
      </w:r>
      <w:r w:rsidRPr="002A2A4E">
        <w:rPr>
          <w:color w:val="000000" w:themeColor="text1"/>
          <w:rtl/>
        </w:rPr>
        <w:t xml:space="preserve"> </w:t>
      </w:r>
      <w:r w:rsidRPr="002A2A4E">
        <w:rPr>
          <w:color w:val="000000" w:themeColor="text1"/>
          <w:rtl/>
        </w:rPr>
        <w:tab/>
      </w:r>
      <w:r w:rsidRPr="00D617B3" w:rsidR="00D617B3">
        <w:rPr>
          <w:color w:val="000000" w:themeColor="text1"/>
          <w:rtl/>
        </w:rPr>
        <w:t>ה-</w:t>
      </w:r>
      <w:r w:rsidRPr="00D617B3" w:rsidR="00D617B3">
        <w:rPr>
          <w:color w:val="000000" w:themeColor="text1"/>
        </w:rPr>
        <w:t>IFRS</w:t>
      </w:r>
      <w:r w:rsidRPr="00D617B3" w:rsidR="00D617B3">
        <w:rPr>
          <w:color w:val="000000" w:themeColor="text1"/>
          <w:rtl/>
        </w:rPr>
        <w:t xml:space="preserve"> היא קרן המפתחת תקנים חשבונאיים הבנויה באמצעות שתי מועצות תקינה המרכיבות את הקרן - המועצה הבין-לאומית לתקינה בחשבונאות (</w:t>
      </w:r>
      <w:r w:rsidRPr="00D617B3" w:rsidR="00D617B3">
        <w:rPr>
          <w:color w:val="000000" w:themeColor="text1"/>
        </w:rPr>
        <w:t>IASB</w:t>
      </w:r>
      <w:r w:rsidRPr="00D617B3" w:rsidR="00D617B3">
        <w:rPr>
          <w:color w:val="000000" w:themeColor="text1"/>
          <w:rtl/>
        </w:rPr>
        <w:t xml:space="preserve">) והמועצה הבין לאומית לתקני קיימות </w:t>
      </w:r>
      <w:r w:rsidRPr="00D617B3" w:rsidR="00D617B3">
        <w:rPr>
          <w:color w:val="000000" w:themeColor="text1"/>
        </w:rPr>
        <w:t>International Sustainability Standards Board (ISSB</w:t>
      </w:r>
      <w:r w:rsidRPr="00D617B3" w:rsidR="00D617B3">
        <w:rPr>
          <w:color w:val="000000" w:themeColor="text1"/>
          <w:rtl/>
        </w:rPr>
        <w:t>)</w:t>
      </w:r>
      <w:r w:rsidRPr="002A2A4E">
        <w:rPr>
          <w:color w:val="000000" w:themeColor="text1"/>
          <w:rtl/>
        </w:rPr>
        <w:t>.</w:t>
      </w:r>
    </w:p>
  </w:footnote>
  <w:footnote w:id="123">
    <w:p w:rsidR="00F20E3F" w:rsidRPr="002A2A4E" w:rsidP="007649F0" w14:paraId="3D180B19" w14:textId="77777777">
      <w:pPr>
        <w:pStyle w:val="00"/>
        <w:rPr>
          <w:color w:val="000000" w:themeColor="text1"/>
        </w:rPr>
      </w:pPr>
      <w:r w:rsidRPr="002A2A4E">
        <w:rPr>
          <w:rStyle w:val="71Char"/>
          <w:color w:val="000000" w:themeColor="text1"/>
        </w:rPr>
        <w:footnoteRef/>
      </w:r>
      <w:r w:rsidRPr="002A2A4E">
        <w:rPr>
          <w:rStyle w:val="71Char"/>
          <w:color w:val="000000" w:themeColor="text1"/>
          <w:rtl/>
        </w:rPr>
        <w:t xml:space="preserve"> </w:t>
      </w:r>
      <w:r w:rsidRPr="002A2A4E">
        <w:rPr>
          <w:rStyle w:val="71Char"/>
          <w:color w:val="000000" w:themeColor="text1"/>
          <w:rtl/>
        </w:rPr>
        <w:tab/>
      </w:r>
      <w:r w:rsidRPr="002A2A4E">
        <w:rPr>
          <w:rFonts w:hint="cs"/>
          <w:color w:val="000000" w:themeColor="text1"/>
          <w:rtl/>
        </w:rPr>
        <w:t xml:space="preserve">ראו: </w:t>
      </w:r>
      <w:hyperlink r:id="rId37" w:history="1">
        <w:r w:rsidRPr="002A2A4E">
          <w:rPr>
            <w:rStyle w:val="7334"/>
            <w:color w:val="000000" w:themeColor="text1"/>
            <w:u w:val="none"/>
          </w:rPr>
          <w:t>https://www.ifrs.org/news-and-events/news/2023/06/issb-issues-ifrs-s1-ifrs-s2</w:t>
        </w:r>
        <w:r w:rsidRPr="002A2A4E">
          <w:rPr>
            <w:rStyle w:val="7334"/>
            <w:color w:val="000000" w:themeColor="text1"/>
            <w:u w:val="none"/>
            <w:rtl/>
          </w:rPr>
          <w:t>/</w:t>
        </w:r>
      </w:hyperlink>
      <w:r w:rsidRPr="002A2A4E">
        <w:rPr>
          <w:rStyle w:val="7334"/>
          <w:rFonts w:hint="cs"/>
          <w:color w:val="000000" w:themeColor="text1"/>
          <w:u w:val="none"/>
          <w:rtl/>
        </w:rPr>
        <w:t xml:space="preserve"> </w:t>
      </w:r>
    </w:p>
  </w:footnote>
  <w:footnote w:id="124">
    <w:p w:rsidR="00F20E3F" w:rsidRPr="002A2A4E" w:rsidP="0096627E" w14:paraId="5E6E9C1E" w14:textId="77777777">
      <w:pPr>
        <w:pStyle w:val="00"/>
        <w:spacing w:after="0"/>
        <w:rPr>
          <w:color w:val="000000" w:themeColor="text1"/>
          <w:rtl/>
        </w:rPr>
      </w:pPr>
      <w:r w:rsidRPr="002A2A4E">
        <w:rPr>
          <w:rStyle w:val="71Char"/>
          <w:color w:val="000000" w:themeColor="text1"/>
        </w:rPr>
        <w:footnoteRef/>
      </w:r>
      <w:r w:rsidRPr="002A2A4E">
        <w:rPr>
          <w:rStyle w:val="71Char"/>
          <w:color w:val="000000" w:themeColor="text1"/>
          <w:rtl/>
        </w:rPr>
        <w:t xml:space="preserve"> </w:t>
      </w:r>
      <w:r w:rsidRPr="002A2A4E">
        <w:rPr>
          <w:rStyle w:val="71Char"/>
          <w:color w:val="000000" w:themeColor="text1"/>
          <w:rtl/>
        </w:rPr>
        <w:tab/>
      </w:r>
      <w:r w:rsidRPr="002A2A4E">
        <w:rPr>
          <w:rFonts w:hint="cs"/>
          <w:color w:val="000000" w:themeColor="text1"/>
          <w:rtl/>
        </w:rPr>
        <w:t xml:space="preserve">ראו: </w:t>
      </w:r>
      <w:r w:rsidRPr="002A2A4E">
        <w:rPr>
          <w:color w:val="000000" w:themeColor="text1"/>
        </w:rPr>
        <w:t>Regulation (EU) 2019/2088 of the European Parliament and of the Council of 27 November 2019 on sustainability‐related disclosures in the financial services sector</w:t>
      </w:r>
      <w:r w:rsidRPr="002A2A4E">
        <w:rPr>
          <w:rFonts w:hint="cs"/>
          <w:color w:val="000000" w:themeColor="text1"/>
          <w:rtl/>
        </w:rPr>
        <w:t xml:space="preserve">, כאן: </w:t>
      </w:r>
    </w:p>
    <w:p w:rsidR="00F20E3F" w:rsidRPr="002A2A4E" w:rsidP="0096627E" w14:paraId="5468032A" w14:textId="77777777">
      <w:pPr>
        <w:pStyle w:val="00"/>
        <w:bidi w:val="0"/>
        <w:ind w:left="0" w:right="424" w:firstLine="0"/>
        <w:rPr>
          <w:color w:val="000000" w:themeColor="text1"/>
        </w:rPr>
      </w:pPr>
      <w:r w:rsidRPr="002A2A4E">
        <w:rPr>
          <w:color w:val="000000" w:themeColor="text1"/>
        </w:rPr>
        <w:t>https://finance.ec.europa.eu/sustainable-finance/disclosures/sustainability-related-disclosure-financial-services-sector_en</w:t>
      </w:r>
    </w:p>
  </w:footnote>
  <w:footnote w:id="125">
    <w:p w:rsidR="00686209" w:rsidRPr="002A2A4E" w:rsidP="00686209" w14:paraId="4431925A" w14:textId="77777777">
      <w:pPr>
        <w:pStyle w:val="713"/>
        <w:rPr>
          <w:color w:val="000000" w:themeColor="text1"/>
          <w:rtl/>
        </w:rPr>
      </w:pPr>
      <w:r w:rsidRPr="002A2A4E">
        <w:rPr>
          <w:rStyle w:val="FootnoteReference2"/>
          <w:color w:val="000000" w:themeColor="text1"/>
          <w:vertAlign w:val="baseline"/>
        </w:rPr>
        <w:footnoteRef/>
      </w:r>
      <w:r w:rsidRPr="002A2A4E">
        <w:rPr>
          <w:color w:val="000000" w:themeColor="text1"/>
          <w:rtl/>
        </w:rPr>
        <w:t xml:space="preserve"> </w:t>
      </w:r>
      <w:r w:rsidRPr="002A2A4E">
        <w:rPr>
          <w:color w:val="000000" w:themeColor="text1"/>
          <w:rtl/>
        </w:rPr>
        <w:tab/>
      </w:r>
      <w:r w:rsidRPr="002A2A4E">
        <w:rPr>
          <w:rFonts w:hint="cs"/>
          <w:color w:val="000000" w:themeColor="text1"/>
          <w:rtl/>
        </w:rPr>
        <w:t xml:space="preserve">בעניין זה יצוין כי </w:t>
      </w:r>
      <w:r w:rsidRPr="002A2A4E">
        <w:rPr>
          <w:color w:val="000000" w:themeColor="text1"/>
          <w:rtl/>
        </w:rPr>
        <w:t xml:space="preserve">הוקם </w:t>
      </w:r>
      <w:r w:rsidRPr="002A2A4E">
        <w:rPr>
          <w:rFonts w:hint="cs"/>
          <w:color w:val="000000" w:themeColor="text1"/>
          <w:rtl/>
        </w:rPr>
        <w:t xml:space="preserve">צוות </w:t>
      </w:r>
      <w:r w:rsidRPr="002A2A4E">
        <w:rPr>
          <w:color w:val="000000" w:themeColor="text1"/>
          <w:rtl/>
        </w:rPr>
        <w:t>משותף של הפיקוח על הבנקים וחטיבת המחקר בבנק ישראל לבחינת השלכות סיכוני האקלים על כלל המערכת הפיננסית</w:t>
      </w:r>
      <w:r w:rsidRPr="002A2A4E">
        <w:rPr>
          <w:rFonts w:hint="cs"/>
          <w:color w:val="000000" w:themeColor="text1"/>
          <w:rtl/>
        </w:rPr>
        <w:t xml:space="preserve"> ש</w:t>
      </w:r>
      <w:r w:rsidRPr="002A2A4E">
        <w:rPr>
          <w:color w:val="000000" w:themeColor="text1"/>
          <w:rtl/>
        </w:rPr>
        <w:t>המלצות</w:t>
      </w:r>
      <w:r w:rsidRPr="002A2A4E">
        <w:rPr>
          <w:rFonts w:hint="cs"/>
          <w:color w:val="000000" w:themeColor="text1"/>
          <w:rtl/>
        </w:rPr>
        <w:t>יו</w:t>
      </w:r>
      <w:r w:rsidRPr="002A2A4E">
        <w:rPr>
          <w:color w:val="000000" w:themeColor="text1"/>
          <w:rtl/>
        </w:rPr>
        <w:t xml:space="preserve"> ל</w:t>
      </w:r>
      <w:r w:rsidRPr="002A2A4E">
        <w:rPr>
          <w:rFonts w:hint="cs"/>
          <w:color w:val="000000" w:themeColor="text1"/>
          <w:rtl/>
        </w:rPr>
        <w:t xml:space="preserve">עניין </w:t>
      </w:r>
      <w:r w:rsidRPr="002A2A4E">
        <w:rPr>
          <w:color w:val="000000" w:themeColor="text1"/>
          <w:rtl/>
        </w:rPr>
        <w:t>אופן ניהול סיכון זה הוצג</w:t>
      </w:r>
      <w:r w:rsidRPr="002A2A4E">
        <w:rPr>
          <w:rFonts w:hint="cs"/>
          <w:color w:val="000000" w:themeColor="text1"/>
          <w:rtl/>
        </w:rPr>
        <w:t>ו</w:t>
      </w:r>
      <w:r w:rsidRPr="002A2A4E">
        <w:rPr>
          <w:color w:val="000000" w:themeColor="text1"/>
          <w:rtl/>
        </w:rPr>
        <w:t xml:space="preserve"> לפורום בראשות נגיד</w:t>
      </w:r>
      <w:r w:rsidRPr="002A2A4E">
        <w:rPr>
          <w:rFonts w:hint="cs"/>
          <w:color w:val="000000" w:themeColor="text1"/>
          <w:rtl/>
        </w:rPr>
        <w:t xml:space="preserve"> בנק ישראל</w:t>
      </w:r>
      <w:r w:rsidRPr="002A2A4E">
        <w:rPr>
          <w:color w:val="000000" w:themeColor="text1"/>
          <w:rtl/>
        </w:rPr>
        <w:t xml:space="preserve"> בדצמבר</w:t>
      </w:r>
      <w:r w:rsidRPr="002A2A4E">
        <w:rPr>
          <w:rFonts w:hint="cs"/>
          <w:color w:val="000000" w:themeColor="text1"/>
          <w:rtl/>
        </w:rPr>
        <w:t xml:space="preserve"> </w:t>
      </w:r>
      <w:r w:rsidRPr="002A2A4E">
        <w:rPr>
          <w:color w:val="000000" w:themeColor="text1"/>
          <w:rtl/>
        </w:rPr>
        <w:t>2022</w:t>
      </w:r>
      <w:r w:rsidRPr="002A2A4E">
        <w:rPr>
          <w:rFonts w:hint="cs"/>
          <w:color w:val="000000" w:themeColor="text1"/>
          <w:rtl/>
        </w:rPr>
        <w:t>.</w:t>
      </w:r>
    </w:p>
  </w:footnote>
  <w:footnote w:id="126">
    <w:p w:rsidR="00134DAB" w:rsidRPr="002A2A4E" w:rsidP="00134DAB" w14:paraId="4BDB73F7" w14:textId="77777777">
      <w:pPr>
        <w:pStyle w:val="713"/>
        <w:rPr>
          <w:color w:val="000000" w:themeColor="text1"/>
          <w:rtl/>
        </w:rPr>
      </w:pPr>
      <w:r w:rsidRPr="002A2A4E">
        <w:rPr>
          <w:rStyle w:val="FootnoteReference2"/>
          <w:color w:val="000000" w:themeColor="text1"/>
          <w:vertAlign w:val="baseline"/>
        </w:rPr>
        <w:footnoteRef/>
      </w:r>
      <w:r w:rsidRPr="002A2A4E">
        <w:rPr>
          <w:color w:val="000000" w:themeColor="text1"/>
          <w:rtl/>
        </w:rPr>
        <w:t xml:space="preserve"> </w:t>
      </w:r>
      <w:r w:rsidRPr="002A2A4E">
        <w:rPr>
          <w:color w:val="000000" w:themeColor="text1"/>
          <w:rtl/>
        </w:rPr>
        <w:tab/>
        <w:t>הנחיות פורסמו לאחר</w:t>
      </w:r>
      <w:r w:rsidRPr="002A2A4E">
        <w:rPr>
          <w:rFonts w:hint="cs"/>
          <w:color w:val="000000" w:themeColor="text1"/>
          <w:rtl/>
        </w:rPr>
        <w:t xml:space="preserve"> </w:t>
      </w:r>
      <w:r w:rsidRPr="002A2A4E">
        <w:rPr>
          <w:color w:val="000000" w:themeColor="text1"/>
          <w:rtl/>
        </w:rPr>
        <w:t>המענה</w:t>
      </w:r>
      <w:r w:rsidRPr="002A2A4E">
        <w:rPr>
          <w:rFonts w:hint="cs"/>
          <w:color w:val="000000" w:themeColor="text1"/>
          <w:rtl/>
        </w:rPr>
        <w:t xml:space="preserve"> ע</w:t>
      </w:r>
      <w:r w:rsidRPr="002A2A4E">
        <w:rPr>
          <w:color w:val="000000" w:themeColor="text1"/>
          <w:rtl/>
        </w:rPr>
        <w:t>ל</w:t>
      </w:r>
      <w:r w:rsidRPr="002A2A4E">
        <w:rPr>
          <w:rFonts w:hint="cs"/>
          <w:color w:val="000000" w:themeColor="text1"/>
          <w:rtl/>
        </w:rPr>
        <w:t xml:space="preserve"> ה</w:t>
      </w:r>
      <w:r w:rsidRPr="002A2A4E">
        <w:rPr>
          <w:color w:val="000000" w:themeColor="text1"/>
          <w:rtl/>
        </w:rPr>
        <w:t>שאלון</w:t>
      </w:r>
      <w:r w:rsidRPr="002A2A4E">
        <w:rPr>
          <w:rFonts w:hint="cs"/>
          <w:color w:val="000000" w:themeColor="text1"/>
          <w:rtl/>
        </w:rPr>
        <w:t>.</w:t>
      </w:r>
    </w:p>
  </w:footnote>
  <w:footnote w:id="127">
    <w:p w:rsidR="00F20E3F" w:rsidRPr="002A2A4E" w:rsidP="0096627E" w14:paraId="3E6D6709" w14:textId="12BE02B8">
      <w:pPr>
        <w:pStyle w:val="713"/>
        <w:spacing w:after="0"/>
        <w:rPr>
          <w:color w:val="000000" w:themeColor="text1"/>
          <w:rtl/>
        </w:rPr>
      </w:pPr>
      <w:r w:rsidRPr="002A2A4E">
        <w:rPr>
          <w:rStyle w:val="FootnoteReference2"/>
          <w:color w:val="000000" w:themeColor="text1"/>
          <w:vertAlign w:val="baseline"/>
        </w:rPr>
        <w:footnoteRef/>
      </w:r>
      <w:r w:rsidRPr="002A2A4E">
        <w:rPr>
          <w:color w:val="000000" w:themeColor="text1"/>
          <w:rtl/>
        </w:rPr>
        <w:t xml:space="preserve"> </w:t>
      </w:r>
      <w:r w:rsidRPr="002A2A4E">
        <w:rPr>
          <w:color w:val="000000" w:themeColor="text1"/>
          <w:rtl/>
        </w:rPr>
        <w:tab/>
      </w:r>
      <w:r w:rsidRPr="000A6921" w:rsidR="000A6921">
        <w:rPr>
          <w:rtl/>
        </w:rPr>
        <w:t>ועדת באזל לפיקוח על הבנקאות (</w:t>
      </w:r>
      <w:r w:rsidRPr="000A6921" w:rsidR="000A6921">
        <w:t>BCBS</w:t>
      </w:r>
      <w:r w:rsidRPr="000A6921" w:rsidR="000A6921">
        <w:rPr>
          <w:rtl/>
        </w:rPr>
        <w:t>) היא הגוף הקובע את התקן הגלובלי העיקרי להסדרת הבנקים ומספק פורום לשיתוף פעולה קבוע בענייני פיקוח בנקאי. 45 חבריה כוללים בנקים מרכזיים ומפקחי בנקים מ-28 תחומי שיפוט. קיימות שלוש מסגרות של ועדות: ועדת באזל 1 העוסקת בסיכוני הון, ועדת באזל 2 בניהול סיכונים, וועדת באזל 3 שעוסקת בהלימת הון.</w:t>
      </w:r>
    </w:p>
    <w:p w:rsidR="00F20E3F" w:rsidRPr="002A2A4E" w:rsidP="0096627E" w14:paraId="06168D41" w14:textId="77777777">
      <w:pPr>
        <w:pStyle w:val="00"/>
        <w:spacing w:after="0"/>
        <w:ind w:firstLine="27"/>
        <w:rPr>
          <w:color w:val="000000" w:themeColor="text1"/>
          <w:rtl/>
        </w:rPr>
      </w:pPr>
      <w:r w:rsidRPr="002A2A4E">
        <w:rPr>
          <w:rFonts w:hint="cs"/>
          <w:color w:val="000000" w:themeColor="text1"/>
          <w:rtl/>
        </w:rPr>
        <w:t>ראו ה</w:t>
      </w:r>
      <w:r w:rsidRPr="002A2A4E">
        <w:rPr>
          <w:color w:val="000000" w:themeColor="text1"/>
          <w:rtl/>
        </w:rPr>
        <w:t>מסמך שפרסמה ועדת באזל ביוני 2022:</w:t>
      </w:r>
    </w:p>
    <w:p w:rsidR="00F20E3F" w:rsidRPr="002A2A4E" w:rsidP="0096627E" w14:paraId="2A35A6F2" w14:textId="77777777">
      <w:pPr>
        <w:pStyle w:val="00"/>
        <w:bidi w:val="0"/>
        <w:ind w:left="0" w:right="424" w:firstLine="0"/>
        <w:rPr>
          <w:color w:val="000000" w:themeColor="text1"/>
        </w:rPr>
      </w:pPr>
      <w:r w:rsidRPr="002A2A4E">
        <w:rPr>
          <w:color w:val="000000" w:themeColor="text1"/>
        </w:rPr>
        <w:t>Principles for the effective management and supervision of climate-related financial risks, Basel Committee on Banking Supervision, June 2022</w:t>
      </w:r>
      <w:r w:rsidRPr="002A2A4E">
        <w:rPr>
          <w:color w:val="000000" w:themeColor="text1"/>
          <w:rtl/>
        </w:rPr>
        <w:t>.</w:t>
      </w:r>
    </w:p>
  </w:footnote>
  <w:footnote w:id="128">
    <w:p w:rsidR="00F20E3F" w:rsidRPr="002A2A4E" w:rsidP="0096627E" w14:paraId="67524B75" w14:textId="77777777">
      <w:pPr>
        <w:pStyle w:val="7313"/>
        <w:rPr>
          <w:color w:val="000000" w:themeColor="text1"/>
          <w:rtl/>
        </w:rPr>
      </w:pPr>
      <w:r w:rsidRPr="002A2A4E">
        <w:rPr>
          <w:rStyle w:val="FootnoteReference2"/>
          <w:color w:val="000000" w:themeColor="text1"/>
          <w:vertAlign w:val="baseline"/>
        </w:rPr>
        <w:footnoteRef/>
      </w:r>
      <w:r w:rsidRPr="002A2A4E">
        <w:rPr>
          <w:color w:val="000000" w:themeColor="text1"/>
          <w:rtl/>
        </w:rPr>
        <w:t xml:space="preserve"> </w:t>
      </w:r>
      <w:r w:rsidRPr="002A2A4E">
        <w:rPr>
          <w:color w:val="000000" w:themeColor="text1"/>
          <w:rtl/>
        </w:rPr>
        <w:tab/>
      </w:r>
      <w:r w:rsidRPr="002A2A4E">
        <w:rPr>
          <w:rFonts w:hint="cs"/>
          <w:color w:val="000000" w:themeColor="text1"/>
          <w:rtl/>
        </w:rPr>
        <w:t>הוראת הפיקוח על הבנקים לניהול אפקטיבי של סיכונים פיננסיים שקשורים לאקלים (12.6.23), חוזר ח-06 - 2747.</w:t>
      </w:r>
    </w:p>
  </w:footnote>
  <w:footnote w:id="129">
    <w:p w:rsidR="00F20E3F" w:rsidRPr="002A2A4E" w:rsidP="0096627E" w14:paraId="5B25B486" w14:textId="0E26665F">
      <w:pPr>
        <w:pStyle w:val="7313"/>
        <w:rPr>
          <w:color w:val="000000" w:themeColor="text1"/>
          <w:rtl/>
        </w:rPr>
      </w:pPr>
      <w:r w:rsidRPr="002A2A4E">
        <w:rPr>
          <w:rStyle w:val="FootnoteReference2"/>
          <w:color w:val="000000" w:themeColor="text1"/>
          <w:vertAlign w:val="baseline"/>
        </w:rPr>
        <w:footnoteRef/>
      </w:r>
      <w:r w:rsidRPr="002A2A4E">
        <w:rPr>
          <w:color w:val="000000" w:themeColor="text1"/>
          <w:rtl/>
        </w:rPr>
        <w:t xml:space="preserve"> </w:t>
      </w:r>
      <w:r w:rsidRPr="002A2A4E">
        <w:rPr>
          <w:color w:val="000000" w:themeColor="text1"/>
          <w:rtl/>
        </w:rPr>
        <w:tab/>
      </w:r>
      <w:r w:rsidRPr="002A2A4E">
        <w:rPr>
          <w:rFonts w:hint="cs"/>
          <w:color w:val="000000" w:themeColor="text1"/>
          <w:rtl/>
        </w:rPr>
        <w:t xml:space="preserve">ניתוח של </w:t>
      </w:r>
      <w:hyperlink r:id="rId38" w:history="1">
        <w:r w:rsidRPr="002A2A4E">
          <w:rPr>
            <w:rStyle w:val="7334"/>
            <w:rFonts w:hint="cs"/>
            <w:color w:val="000000" w:themeColor="text1"/>
            <w:u w:val="none"/>
            <w:rtl/>
          </w:rPr>
          <w:t xml:space="preserve">חברת </w:t>
        </w:r>
        <w:r w:rsidRPr="002A2A4E">
          <w:rPr>
            <w:rStyle w:val="7334"/>
            <w:rFonts w:hint="cs"/>
            <w:color w:val="000000" w:themeColor="text1"/>
            <w:u w:val="none"/>
            <w:rtl/>
          </w:rPr>
          <w:t>מקינזי</w:t>
        </w:r>
        <w:r w:rsidRPr="002A2A4E">
          <w:rPr>
            <w:rStyle w:val="7334"/>
            <w:rFonts w:hint="cs"/>
            <w:color w:val="000000" w:themeColor="text1"/>
            <w:u w:val="none"/>
            <w:rtl/>
          </w:rPr>
          <w:t xml:space="preserve"> בנושא משבר האקלים והכלכלה הישראלית</w:t>
        </w:r>
      </w:hyperlink>
      <w:r w:rsidRPr="002A2A4E">
        <w:rPr>
          <w:rFonts w:hint="cs"/>
          <w:color w:val="000000" w:themeColor="text1"/>
          <w:rtl/>
        </w:rPr>
        <w:t>:</w:t>
      </w:r>
      <w:r w:rsidRPr="002A2A4E">
        <w:rPr>
          <w:rFonts w:hint="cs"/>
          <w:color w:val="000000" w:themeColor="text1"/>
        </w:rPr>
        <w:t xml:space="preserve"> </w:t>
      </w:r>
      <w:r w:rsidRPr="002A2A4E">
        <w:rPr>
          <w:rFonts w:hint="cs"/>
          <w:color w:val="000000" w:themeColor="text1"/>
          <w:rtl/>
        </w:rPr>
        <w:t xml:space="preserve">"אתגרים לצד הזדמנויות" (10.11.22), שנעשה על בסיס ניתוח דוחות לניהול סיכונים של הבנקים נכון ליוני 2021 מול ממוצע הבנקים באירופה באותה תקופה, זאת על בסיס ניתוח מידע שהתקבל ממאגר מידע של </w:t>
      </w:r>
      <w:r w:rsidRPr="002A2A4E">
        <w:rPr>
          <w:color w:val="000000" w:themeColor="text1"/>
        </w:rPr>
        <w:t>The European Banking Authority</w:t>
      </w:r>
      <w:r w:rsidRPr="002A2A4E">
        <w:rPr>
          <w:rFonts w:hint="cs"/>
          <w:color w:val="000000" w:themeColor="text1"/>
          <w:rtl/>
        </w:rPr>
        <w:t xml:space="preserve">. ראו עמ' </w:t>
      </w:r>
      <w:r w:rsidR="000A6921">
        <w:rPr>
          <w:rFonts w:hint="cs"/>
          <w:color w:val="000000" w:themeColor="text1"/>
          <w:rtl/>
        </w:rPr>
        <w:t>32</w:t>
      </w:r>
      <w:r w:rsidRPr="002A2A4E">
        <w:rPr>
          <w:rFonts w:hint="cs"/>
          <w:color w:val="000000" w:themeColor="text1"/>
          <w:rtl/>
        </w:rPr>
        <w:t xml:space="preserve">. </w:t>
      </w:r>
    </w:p>
  </w:footnote>
  <w:footnote w:id="130">
    <w:p w:rsidR="00F20E3F" w:rsidRPr="002A2A4E" w:rsidP="0096627E" w14:paraId="508B5D88" w14:textId="77777777">
      <w:pPr>
        <w:pStyle w:val="00"/>
        <w:rPr>
          <w:color w:val="000000" w:themeColor="text1"/>
        </w:rPr>
      </w:pPr>
      <w:r w:rsidRPr="002A2A4E">
        <w:rPr>
          <w:rStyle w:val="FootnoteReference2"/>
          <w:color w:val="000000" w:themeColor="text1"/>
          <w:vertAlign w:val="baseline"/>
        </w:rPr>
        <w:footnoteRef/>
      </w:r>
      <w:r w:rsidRPr="002A2A4E">
        <w:rPr>
          <w:color w:val="000000" w:themeColor="text1"/>
          <w:rtl/>
        </w:rPr>
        <w:t xml:space="preserve"> </w:t>
      </w:r>
      <w:r w:rsidRPr="002A2A4E">
        <w:rPr>
          <w:color w:val="000000" w:themeColor="text1"/>
          <w:rtl/>
        </w:rPr>
        <w:tab/>
      </w:r>
      <w:r w:rsidRPr="002A2A4E">
        <w:rPr>
          <w:rFonts w:hint="cs"/>
          <w:color w:val="000000" w:themeColor="text1"/>
          <w:rtl/>
        </w:rPr>
        <w:t xml:space="preserve">מבחן קיצון אקלימי משמש </w:t>
      </w:r>
      <w:r w:rsidRPr="002A2A4E">
        <w:rPr>
          <w:color w:val="000000" w:themeColor="text1"/>
          <w:rtl/>
        </w:rPr>
        <w:t>הערכה של מצבו הפיננסי של מוסד פיננסי בתרחיש חמור אך סביר</w:t>
      </w:r>
      <w:r w:rsidRPr="002A2A4E">
        <w:rPr>
          <w:rFonts w:hint="cs"/>
          <w:color w:val="000000" w:themeColor="text1"/>
          <w:rtl/>
        </w:rPr>
        <w:t xml:space="preserve"> הקשור לסיכוני האקלים.</w:t>
      </w:r>
    </w:p>
  </w:footnote>
  <w:footnote w:id="131">
    <w:p w:rsidR="00F20E3F" w:rsidRPr="002A2A4E" w:rsidP="0096627E" w14:paraId="0D9016FB" w14:textId="77777777">
      <w:pPr>
        <w:pStyle w:val="00"/>
        <w:rPr>
          <w:color w:val="000000" w:themeColor="text1"/>
        </w:rPr>
      </w:pPr>
      <w:r w:rsidRPr="002A2A4E">
        <w:rPr>
          <w:rStyle w:val="FootnoteReference2"/>
          <w:color w:val="000000" w:themeColor="text1"/>
          <w:vertAlign w:val="baseline"/>
        </w:rPr>
        <w:footnoteRef/>
      </w:r>
      <w:r w:rsidRPr="002A2A4E">
        <w:rPr>
          <w:color w:val="000000" w:themeColor="text1"/>
          <w:rtl/>
        </w:rPr>
        <w:t xml:space="preserve"> </w:t>
      </w:r>
      <w:r w:rsidRPr="002A2A4E">
        <w:rPr>
          <w:color w:val="000000" w:themeColor="text1"/>
          <w:rtl/>
        </w:rPr>
        <w:tab/>
      </w:r>
      <w:r w:rsidRPr="002A2A4E">
        <w:rPr>
          <w:rFonts w:hint="cs"/>
          <w:color w:val="000000" w:themeColor="text1"/>
          <w:rtl/>
        </w:rPr>
        <w:t xml:space="preserve">סיכוני סביבה אחרים הם </w:t>
      </w:r>
      <w:r w:rsidRPr="002A2A4E">
        <w:rPr>
          <w:color w:val="000000" w:themeColor="text1"/>
          <w:rtl/>
        </w:rPr>
        <w:t>סיכונים פיננסיים שנובעים מהחשיפה לפעילויות</w:t>
      </w:r>
      <w:r w:rsidRPr="002A2A4E">
        <w:rPr>
          <w:rFonts w:hint="cs"/>
          <w:color w:val="000000" w:themeColor="text1"/>
          <w:rtl/>
        </w:rPr>
        <w:t xml:space="preserve"> </w:t>
      </w:r>
      <w:r w:rsidRPr="002A2A4E">
        <w:rPr>
          <w:color w:val="000000" w:themeColor="text1"/>
          <w:rtl/>
        </w:rPr>
        <w:t>שיש להן פוטנציאל לגרום לפגיעה סביבתית או</w:t>
      </w:r>
      <w:r w:rsidRPr="002A2A4E">
        <w:rPr>
          <w:rFonts w:hint="cs"/>
          <w:color w:val="000000" w:themeColor="text1"/>
          <w:rtl/>
        </w:rPr>
        <w:t xml:space="preserve"> </w:t>
      </w:r>
      <w:r w:rsidRPr="002A2A4E">
        <w:rPr>
          <w:color w:val="000000" w:themeColor="text1"/>
          <w:rtl/>
        </w:rPr>
        <w:t xml:space="preserve">להיות מושפעות מפגיעה כזו </w:t>
      </w:r>
      <w:r w:rsidRPr="002A2A4E">
        <w:rPr>
          <w:rFonts w:hint="cs"/>
          <w:color w:val="000000" w:themeColor="text1"/>
          <w:rtl/>
        </w:rPr>
        <w:t xml:space="preserve">- </w:t>
      </w:r>
      <w:r w:rsidRPr="002A2A4E">
        <w:rPr>
          <w:color w:val="000000" w:themeColor="text1"/>
          <w:rtl/>
        </w:rPr>
        <w:t>אירועים או תהליכים כגון זיהום א</w:t>
      </w:r>
      <w:r w:rsidRPr="002A2A4E">
        <w:rPr>
          <w:rFonts w:hint="cs"/>
          <w:color w:val="000000" w:themeColor="text1"/>
          <w:rtl/>
        </w:rPr>
        <w:t>ו</w:t>
      </w:r>
      <w:r w:rsidRPr="002A2A4E">
        <w:rPr>
          <w:color w:val="000000" w:themeColor="text1"/>
          <w:rtl/>
        </w:rPr>
        <w:t>ויר, זיהום</w:t>
      </w:r>
      <w:r w:rsidRPr="002A2A4E">
        <w:rPr>
          <w:rFonts w:hint="cs"/>
          <w:color w:val="000000" w:themeColor="text1"/>
          <w:rtl/>
        </w:rPr>
        <w:t xml:space="preserve"> ה</w:t>
      </w:r>
      <w:r w:rsidRPr="002A2A4E">
        <w:rPr>
          <w:color w:val="000000" w:themeColor="text1"/>
          <w:rtl/>
        </w:rPr>
        <w:t xml:space="preserve">קרקע, מחסור במים, </w:t>
      </w:r>
      <w:r w:rsidRPr="002A2A4E">
        <w:rPr>
          <w:color w:val="000000" w:themeColor="text1"/>
          <w:rtl/>
        </w:rPr>
        <w:t>מידבור</w:t>
      </w:r>
      <w:r w:rsidRPr="002A2A4E">
        <w:rPr>
          <w:color w:val="000000" w:themeColor="text1"/>
          <w:rtl/>
        </w:rPr>
        <w:t>, אובדן מגוון</w:t>
      </w:r>
      <w:r w:rsidRPr="002A2A4E">
        <w:rPr>
          <w:rFonts w:hint="cs"/>
          <w:color w:val="000000" w:themeColor="text1"/>
          <w:rtl/>
        </w:rPr>
        <w:t xml:space="preserve"> </w:t>
      </w:r>
      <w:r w:rsidRPr="002A2A4E">
        <w:rPr>
          <w:color w:val="000000" w:themeColor="text1"/>
          <w:rtl/>
        </w:rPr>
        <w:t xml:space="preserve">ביולוגי, בירוא יערות </w:t>
      </w:r>
      <w:r w:rsidRPr="002A2A4E">
        <w:rPr>
          <w:rFonts w:hint="cs"/>
          <w:color w:val="000000" w:themeColor="text1"/>
          <w:rtl/>
        </w:rPr>
        <w:t>ו</w:t>
      </w:r>
      <w:r w:rsidRPr="002A2A4E">
        <w:rPr>
          <w:color w:val="000000" w:themeColor="text1"/>
          <w:rtl/>
        </w:rPr>
        <w:t>רעידות אדמה</w:t>
      </w:r>
      <w:r w:rsidRPr="002A2A4E">
        <w:rPr>
          <w:rFonts w:hint="cs"/>
          <w:color w:val="000000" w:themeColor="text1"/>
          <w:rtl/>
        </w:rPr>
        <w:t>.</w:t>
      </w:r>
    </w:p>
  </w:footnote>
  <w:footnote w:id="132">
    <w:p w:rsidR="00F20E3F" w:rsidRPr="002A2A4E" w:rsidP="007649F0" w14:paraId="6BCE563A" w14:textId="77777777">
      <w:pPr>
        <w:pStyle w:val="00"/>
        <w:rPr>
          <w:color w:val="000000" w:themeColor="text1"/>
        </w:rPr>
      </w:pPr>
      <w:r w:rsidRPr="002A2A4E">
        <w:rPr>
          <w:color w:val="000000" w:themeColor="text1"/>
        </w:rPr>
        <w:footnoteRef/>
      </w:r>
      <w:r w:rsidRPr="002A2A4E">
        <w:rPr>
          <w:color w:val="000000" w:themeColor="text1"/>
          <w:rtl/>
        </w:rPr>
        <w:t xml:space="preserve"> </w:t>
      </w:r>
      <w:r w:rsidRPr="002A2A4E">
        <w:rPr>
          <w:color w:val="000000" w:themeColor="text1"/>
          <w:rtl/>
        </w:rPr>
        <w:tab/>
      </w:r>
      <w:r w:rsidRPr="002A2A4E">
        <w:rPr>
          <w:rFonts w:hint="cs"/>
          <w:color w:val="000000" w:themeColor="text1"/>
          <w:rtl/>
        </w:rPr>
        <w:t>ארגון ה-</w:t>
      </w:r>
      <w:r w:rsidRPr="002A2A4E">
        <w:rPr>
          <w:color w:val="000000" w:themeColor="text1"/>
        </w:rPr>
        <w:t>NGFS</w:t>
      </w:r>
      <w:r w:rsidRPr="002A2A4E">
        <w:rPr>
          <w:color w:val="000000" w:themeColor="text1"/>
          <w:rtl/>
        </w:rPr>
        <w:t xml:space="preserve"> </w:t>
      </w:r>
      <w:r w:rsidRPr="002A2A4E">
        <w:rPr>
          <w:rFonts w:hint="cs"/>
          <w:color w:val="000000" w:themeColor="text1"/>
          <w:rtl/>
        </w:rPr>
        <w:t xml:space="preserve">הוא ארגון (רשת - </w:t>
      </w:r>
      <w:r w:rsidRPr="002A2A4E">
        <w:rPr>
          <w:color w:val="000000" w:themeColor="text1"/>
        </w:rPr>
        <w:t>Network</w:t>
      </w:r>
      <w:r w:rsidRPr="002A2A4E">
        <w:rPr>
          <w:rFonts w:hint="cs"/>
          <w:color w:val="000000" w:themeColor="text1"/>
          <w:rtl/>
        </w:rPr>
        <w:t xml:space="preserve">) בין-לאומי שחברים בו בנקים מרכזיים מרחבי העולם שעוסקים בגיבוש כללים והמלצות </w:t>
      </w:r>
      <w:r w:rsidRPr="002A2A4E">
        <w:rPr>
          <w:rFonts w:hint="cs"/>
          <w:color w:val="000000" w:themeColor="text1"/>
          <w:rtl/>
        </w:rPr>
        <w:t>ליירוק</w:t>
      </w:r>
      <w:r w:rsidRPr="002A2A4E">
        <w:rPr>
          <w:rFonts w:hint="cs"/>
          <w:color w:val="000000" w:themeColor="text1"/>
          <w:rtl/>
        </w:rPr>
        <w:t xml:space="preserve"> המערכת הפיננסית, לקדם התאמות במערכות הפיננסיות העולמיות במטרה לעמוד בהסכם פריז, לסייע למערכות הפיננסיות לנהל סיכונים ולגייס הון להשקעות ירוקות גם בהקשר </w:t>
      </w:r>
      <w:r w:rsidRPr="002A2A4E">
        <w:rPr>
          <w:color w:val="000000" w:themeColor="text1"/>
          <w:rtl/>
        </w:rPr>
        <w:t>של פיתוח בר</w:t>
      </w:r>
      <w:r w:rsidRPr="002A2A4E">
        <w:rPr>
          <w:rFonts w:hint="cs"/>
          <w:color w:val="000000" w:themeColor="text1"/>
          <w:rtl/>
        </w:rPr>
        <w:t xml:space="preserve"> </w:t>
      </w:r>
      <w:r w:rsidRPr="002A2A4E">
        <w:rPr>
          <w:color w:val="000000" w:themeColor="text1"/>
          <w:rtl/>
        </w:rPr>
        <w:t>קיימ</w:t>
      </w:r>
      <w:r w:rsidRPr="002A2A4E">
        <w:rPr>
          <w:rFonts w:hint="cs"/>
          <w:color w:val="000000" w:themeColor="text1"/>
          <w:rtl/>
        </w:rPr>
        <w:t>ה</w:t>
      </w:r>
      <w:r w:rsidRPr="002A2A4E">
        <w:rPr>
          <w:color w:val="000000" w:themeColor="text1"/>
          <w:rtl/>
        </w:rPr>
        <w:t xml:space="preserve"> לסביבה</w:t>
      </w:r>
      <w:r w:rsidRPr="002A2A4E">
        <w:rPr>
          <w:rFonts w:hint="cs"/>
          <w:color w:val="000000" w:themeColor="text1"/>
          <w:rtl/>
        </w:rPr>
        <w:t>.</w:t>
      </w:r>
    </w:p>
  </w:footnote>
  <w:footnote w:id="133">
    <w:p w:rsidR="00F20E3F" w:rsidRPr="002A2A4E" w:rsidP="004A5124" w14:paraId="65CECE01" w14:textId="77777777">
      <w:pPr>
        <w:pStyle w:val="713"/>
        <w:rPr>
          <w:color w:val="000000" w:themeColor="text1"/>
          <w:rtl/>
        </w:rPr>
      </w:pPr>
      <w:r w:rsidRPr="002A2A4E">
        <w:rPr>
          <w:rStyle w:val="FootnoteReference2"/>
          <w:color w:val="000000" w:themeColor="text1"/>
          <w:vertAlign w:val="baseline"/>
        </w:rPr>
        <w:footnoteRef/>
      </w:r>
      <w:r w:rsidRPr="002A2A4E">
        <w:rPr>
          <w:color w:val="000000" w:themeColor="text1"/>
          <w:rtl/>
        </w:rPr>
        <w:t xml:space="preserve"> </w:t>
      </w:r>
      <w:r w:rsidRPr="002A2A4E">
        <w:rPr>
          <w:color w:val="000000" w:themeColor="text1"/>
          <w:rtl/>
        </w:rPr>
        <w:tab/>
        <w:t xml:space="preserve">סיכוני מדינה עלולים לעלות </w:t>
      </w:r>
      <w:r w:rsidRPr="002A2A4E">
        <w:rPr>
          <w:rFonts w:hint="cs"/>
          <w:color w:val="000000" w:themeColor="text1"/>
          <w:rtl/>
        </w:rPr>
        <w:t xml:space="preserve">למשל </w:t>
      </w:r>
      <w:r w:rsidRPr="002A2A4E">
        <w:rPr>
          <w:color w:val="000000" w:themeColor="text1"/>
          <w:rtl/>
        </w:rPr>
        <w:t>במדינות שבהן התוצר תלוי במשאבי מים מדולדלים או במדינות קטנות שפגיעות לאירועי אקלים קיצוניים או לעליית מפלס מי הים. סיכונים אלה עלולים להסב הפסדים כלכליים למי שמשקיע במדינות אלו, ויש להביאם בחשבון בהחלטות על השקעות.</w:t>
      </w:r>
    </w:p>
  </w:footnote>
  <w:footnote w:id="134">
    <w:p w:rsidR="00F20E3F" w:rsidRPr="002A2A4E" w:rsidP="004A5124" w14:paraId="49C1DB99" w14:textId="77777777">
      <w:pPr>
        <w:pStyle w:val="713"/>
        <w:rPr>
          <w:color w:val="000000" w:themeColor="text1"/>
          <w:rtl/>
        </w:rPr>
      </w:pPr>
      <w:r w:rsidRPr="002A2A4E">
        <w:rPr>
          <w:rStyle w:val="FootnoteReference2"/>
          <w:color w:val="000000" w:themeColor="text1"/>
          <w:vertAlign w:val="baseline"/>
        </w:rPr>
        <w:footnoteRef/>
      </w:r>
      <w:r w:rsidRPr="002A2A4E">
        <w:rPr>
          <w:color w:val="000000" w:themeColor="text1"/>
          <w:rtl/>
        </w:rPr>
        <w:t xml:space="preserve"> </w:t>
      </w:r>
      <w:r w:rsidRPr="002A2A4E">
        <w:rPr>
          <w:color w:val="000000" w:themeColor="text1"/>
          <w:rtl/>
        </w:rPr>
        <w:tab/>
      </w:r>
      <w:r w:rsidRPr="002A2A4E">
        <w:rPr>
          <w:rFonts w:hint="cs"/>
          <w:color w:val="000000" w:themeColor="text1"/>
          <w:rtl/>
        </w:rPr>
        <w:t>ראו למשל:</w:t>
      </w:r>
    </w:p>
    <w:p w:rsidR="00F20E3F" w:rsidRPr="002A2A4E" w:rsidP="004A5124" w14:paraId="2D125141" w14:textId="77777777">
      <w:pPr>
        <w:pStyle w:val="00"/>
        <w:bidi w:val="0"/>
        <w:ind w:left="0" w:right="424" w:firstLine="0"/>
        <w:rPr>
          <w:color w:val="000000" w:themeColor="text1"/>
        </w:rPr>
      </w:pPr>
      <w:r w:rsidRPr="002A2A4E">
        <w:rPr>
          <w:color w:val="000000" w:themeColor="text1"/>
        </w:rPr>
        <w:t xml:space="preserve">NGFS, A Sustainable and Responsible Investment Guide for Central Banks’ Portfolio Management, October 2019; </w:t>
      </w:r>
      <w:hyperlink r:id="rId39" w:history="1">
        <w:r w:rsidRPr="002A2A4E">
          <w:rPr>
            <w:rStyle w:val="7334"/>
            <w:color w:val="000000" w:themeColor="text1"/>
            <w:u w:val="none"/>
          </w:rPr>
          <w:t>NGFS, Guide to climate scenario analysis for central banks and supervisors</w:t>
        </w:r>
      </w:hyperlink>
      <w:r w:rsidRPr="002A2A4E">
        <w:rPr>
          <w:color w:val="000000" w:themeColor="text1"/>
        </w:rPr>
        <w:t>, June 2020.</w:t>
      </w:r>
    </w:p>
  </w:footnote>
  <w:footnote w:id="135">
    <w:p w:rsidR="00F20E3F" w:rsidRPr="002A2A4E" w:rsidP="004A5124" w14:paraId="32C3E7D5" w14:textId="77777777">
      <w:pPr>
        <w:pStyle w:val="00"/>
        <w:spacing w:after="0"/>
        <w:rPr>
          <w:color w:val="000000" w:themeColor="text1"/>
          <w:rtl/>
        </w:rPr>
      </w:pPr>
      <w:r w:rsidRPr="002A2A4E">
        <w:rPr>
          <w:rStyle w:val="71Char"/>
          <w:color w:val="000000" w:themeColor="text1"/>
        </w:rPr>
        <w:footnoteRef/>
      </w:r>
      <w:r w:rsidRPr="002A2A4E">
        <w:rPr>
          <w:rStyle w:val="71Char"/>
          <w:color w:val="000000" w:themeColor="text1"/>
          <w:rtl/>
        </w:rPr>
        <w:t xml:space="preserve"> </w:t>
      </w:r>
      <w:r w:rsidRPr="002A2A4E">
        <w:rPr>
          <w:color w:val="000000" w:themeColor="text1"/>
          <w:rtl/>
        </w:rPr>
        <w:tab/>
      </w:r>
      <w:r w:rsidRPr="002A2A4E">
        <w:rPr>
          <w:rFonts w:hint="cs"/>
          <w:color w:val="000000" w:themeColor="text1"/>
          <w:rtl/>
        </w:rPr>
        <w:t>ראו את מסמך ה-</w:t>
      </w:r>
      <w:r w:rsidRPr="002A2A4E">
        <w:rPr>
          <w:rFonts w:hint="cs"/>
          <w:color w:val="000000" w:themeColor="text1"/>
        </w:rPr>
        <w:t>NGF</w:t>
      </w:r>
      <w:r w:rsidRPr="002A2A4E">
        <w:rPr>
          <w:color w:val="000000" w:themeColor="text1"/>
        </w:rPr>
        <w:t>S</w:t>
      </w:r>
      <w:r w:rsidRPr="002A2A4E">
        <w:rPr>
          <w:rFonts w:hint="cs"/>
          <w:color w:val="000000" w:themeColor="text1"/>
          <w:rtl/>
        </w:rPr>
        <w:t>:</w:t>
      </w:r>
    </w:p>
    <w:p w:rsidR="00F20E3F" w:rsidRPr="002A2A4E" w:rsidP="004A5124" w14:paraId="20A19938" w14:textId="55974A22">
      <w:pPr>
        <w:pStyle w:val="00"/>
        <w:bidi w:val="0"/>
        <w:ind w:left="0" w:right="424" w:firstLine="0"/>
        <w:rPr>
          <w:color w:val="000000" w:themeColor="text1"/>
          <w:rtl/>
        </w:rPr>
      </w:pPr>
      <w:r w:rsidRPr="002A2A4E">
        <w:rPr>
          <w:rFonts w:hint="cs"/>
          <w:color w:val="000000" w:themeColor="text1"/>
        </w:rPr>
        <w:t>N</w:t>
      </w:r>
      <w:r w:rsidRPr="002A2A4E">
        <w:rPr>
          <w:color w:val="000000" w:themeColor="text1"/>
        </w:rPr>
        <w:t>GFS, A Sustainable and Responsible Investment Guide for Central Banks’ Portfolio Management, October 2019, pp 7-9</w:t>
      </w:r>
      <w:r w:rsidR="003D6905">
        <w:rPr>
          <w:color w:val="000000" w:themeColor="text1"/>
        </w:rPr>
        <w:t>.</w:t>
      </w:r>
      <w:r w:rsidRPr="002A2A4E">
        <w:rPr>
          <w:color w:val="000000" w:themeColor="text1"/>
        </w:rPr>
        <w:t xml:space="preserve"> </w:t>
      </w:r>
    </w:p>
  </w:footnote>
  <w:footnote w:id="136">
    <w:p w:rsidR="00F20E3F" w:rsidRPr="002A2A4E" w:rsidP="004A5124" w14:paraId="727FADB7" w14:textId="77777777">
      <w:pPr>
        <w:pStyle w:val="00"/>
        <w:spacing w:after="0"/>
        <w:rPr>
          <w:color w:val="000000" w:themeColor="text1"/>
          <w:rtl/>
        </w:rPr>
      </w:pPr>
      <w:r w:rsidRPr="002A2A4E">
        <w:rPr>
          <w:rStyle w:val="71Char"/>
          <w:color w:val="000000" w:themeColor="text1"/>
        </w:rPr>
        <w:footnoteRef/>
      </w:r>
      <w:r w:rsidRPr="002A2A4E">
        <w:rPr>
          <w:rStyle w:val="71Char"/>
          <w:color w:val="000000" w:themeColor="text1"/>
          <w:rtl/>
        </w:rPr>
        <w:t xml:space="preserve"> </w:t>
      </w:r>
      <w:r w:rsidRPr="002A2A4E">
        <w:rPr>
          <w:color w:val="000000" w:themeColor="text1"/>
          <w:rtl/>
        </w:rPr>
        <w:tab/>
      </w:r>
      <w:r w:rsidRPr="002A2A4E">
        <w:rPr>
          <w:rFonts w:hint="cs"/>
          <w:color w:val="000000" w:themeColor="text1"/>
          <w:rtl/>
        </w:rPr>
        <w:t>סקר ה-</w:t>
      </w:r>
      <w:r w:rsidRPr="002A2A4E">
        <w:rPr>
          <w:rFonts w:hint="cs"/>
          <w:color w:val="000000" w:themeColor="text1"/>
        </w:rPr>
        <w:t>NGFS</w:t>
      </w:r>
      <w:r w:rsidRPr="002A2A4E">
        <w:rPr>
          <w:rFonts w:hint="cs"/>
          <w:color w:val="000000" w:themeColor="text1"/>
          <w:rtl/>
        </w:rPr>
        <w:t xml:space="preserve"> נערך בשנת 2022 ופורסם ביולי 2023: </w:t>
      </w:r>
    </w:p>
    <w:p w:rsidR="00F20E3F" w:rsidRPr="002A2A4E" w:rsidP="004A5124" w14:paraId="27384469" w14:textId="77777777">
      <w:pPr>
        <w:pStyle w:val="00"/>
        <w:bidi w:val="0"/>
        <w:ind w:left="0" w:right="424" w:firstLine="0"/>
        <w:rPr>
          <w:color w:val="000000" w:themeColor="text1"/>
        </w:rPr>
      </w:pPr>
      <w:r w:rsidRPr="002A2A4E">
        <w:rPr>
          <w:color w:val="000000" w:themeColor="text1"/>
        </w:rPr>
        <w:t xml:space="preserve">Monetary policy and climate change - Key takeaways from the membership survey and areas for further analysis, NGFS, July 2023, pg. </w:t>
      </w:r>
      <w:r w:rsidRPr="002A2A4E">
        <w:rPr>
          <w:rFonts w:hint="cs"/>
          <w:color w:val="000000" w:themeColor="text1"/>
          <w:rtl/>
        </w:rPr>
        <w:t>14</w:t>
      </w:r>
      <w:r w:rsidRPr="002A2A4E">
        <w:rPr>
          <w:color w:val="000000" w:themeColor="text1"/>
        </w:rPr>
        <w:t xml:space="preserve">. </w:t>
      </w:r>
    </w:p>
  </w:footnote>
  <w:footnote w:id="137">
    <w:p w:rsidR="00F20E3F" w:rsidRPr="002A2A4E" w:rsidP="003D6905" w14:paraId="425F2DE0" w14:textId="27DF9CCF">
      <w:pPr>
        <w:pStyle w:val="00"/>
        <w:spacing w:after="0"/>
        <w:rPr>
          <w:color w:val="000000" w:themeColor="text1"/>
        </w:rPr>
      </w:pPr>
      <w:r w:rsidRPr="002A2A4E">
        <w:rPr>
          <w:color w:val="000000" w:themeColor="text1"/>
        </w:rPr>
        <w:footnoteRef/>
      </w:r>
      <w:r w:rsidRPr="002A2A4E">
        <w:rPr>
          <w:color w:val="000000" w:themeColor="text1"/>
          <w:rtl/>
        </w:rPr>
        <w:t xml:space="preserve"> </w:t>
      </w:r>
      <w:r w:rsidRPr="002A2A4E">
        <w:rPr>
          <w:color w:val="000000" w:themeColor="text1"/>
          <w:rtl/>
        </w:rPr>
        <w:tab/>
      </w:r>
      <w:r w:rsidRPr="003D6905" w:rsidR="003D6905">
        <w:rPr>
          <w:color w:val="000000" w:themeColor="text1"/>
          <w:rtl/>
        </w:rPr>
        <w:t>שם, עמ' 4.</w:t>
      </w:r>
    </w:p>
  </w:footnote>
  <w:footnote w:id="138">
    <w:p w:rsidR="00F20E3F" w:rsidRPr="002A2A4E" w:rsidP="004A5124" w14:paraId="586FD05A" w14:textId="77777777">
      <w:pPr>
        <w:pStyle w:val="00"/>
        <w:spacing w:after="0"/>
        <w:rPr>
          <w:color w:val="000000" w:themeColor="text1"/>
          <w:rtl/>
        </w:rPr>
      </w:pPr>
      <w:r w:rsidRPr="002A2A4E">
        <w:rPr>
          <w:color w:val="000000" w:themeColor="text1"/>
        </w:rPr>
        <w:footnoteRef/>
      </w:r>
      <w:r w:rsidRPr="002A2A4E">
        <w:rPr>
          <w:color w:val="000000" w:themeColor="text1"/>
          <w:rtl/>
        </w:rPr>
        <w:t xml:space="preserve"> </w:t>
      </w:r>
      <w:r w:rsidRPr="002A2A4E">
        <w:rPr>
          <w:color w:val="000000" w:themeColor="text1"/>
          <w:rtl/>
        </w:rPr>
        <w:tab/>
      </w:r>
      <w:r w:rsidRPr="002A2A4E">
        <w:rPr>
          <w:rFonts w:hint="cs"/>
          <w:color w:val="000000" w:themeColor="text1"/>
          <w:rtl/>
        </w:rPr>
        <w:t>ראו את מסמך ה-</w:t>
      </w:r>
      <w:r w:rsidRPr="002A2A4E">
        <w:rPr>
          <w:rFonts w:hint="cs"/>
          <w:color w:val="000000" w:themeColor="text1"/>
        </w:rPr>
        <w:t>NGF</w:t>
      </w:r>
      <w:r w:rsidRPr="002A2A4E">
        <w:rPr>
          <w:color w:val="000000" w:themeColor="text1"/>
        </w:rPr>
        <w:t>S</w:t>
      </w:r>
      <w:r w:rsidRPr="002A2A4E">
        <w:rPr>
          <w:rFonts w:hint="cs"/>
          <w:color w:val="000000" w:themeColor="text1"/>
          <w:rtl/>
        </w:rPr>
        <w:t>:</w:t>
      </w:r>
    </w:p>
    <w:p w:rsidR="00F20E3F" w:rsidRPr="002A2A4E" w:rsidP="004A5124" w14:paraId="5498EEB3" w14:textId="77777777">
      <w:pPr>
        <w:pStyle w:val="00"/>
        <w:bidi w:val="0"/>
        <w:ind w:left="0" w:right="424" w:firstLine="0"/>
        <w:rPr>
          <w:color w:val="000000" w:themeColor="text1"/>
          <w:rtl/>
        </w:rPr>
      </w:pPr>
      <w:r w:rsidRPr="002A2A4E">
        <w:rPr>
          <w:rFonts w:hint="cs"/>
          <w:color w:val="000000" w:themeColor="text1"/>
        </w:rPr>
        <w:t>N</w:t>
      </w:r>
      <w:r w:rsidRPr="002A2A4E">
        <w:rPr>
          <w:color w:val="000000" w:themeColor="text1"/>
        </w:rPr>
        <w:t xml:space="preserve">GFS, A Sustainable and Responsible Investment Guide for Central Banks’ Portfolio Management, October 2019, pg. 12. </w:t>
      </w:r>
    </w:p>
  </w:footnote>
  <w:footnote w:id="139">
    <w:p w:rsidR="00F20E3F" w:rsidRPr="002A2A4E" w:rsidP="007649F0" w14:paraId="0A0A3959" w14:textId="77777777">
      <w:pPr>
        <w:pStyle w:val="00"/>
        <w:rPr>
          <w:color w:val="000000" w:themeColor="text1"/>
          <w:rtl/>
        </w:rPr>
      </w:pPr>
      <w:r w:rsidRPr="002A2A4E">
        <w:rPr>
          <w:color w:val="000000" w:themeColor="text1"/>
        </w:rPr>
        <w:footnoteRef/>
      </w:r>
      <w:r w:rsidRPr="002A2A4E">
        <w:rPr>
          <w:color w:val="000000" w:themeColor="text1"/>
          <w:rtl/>
        </w:rPr>
        <w:t xml:space="preserve"> </w:t>
      </w:r>
      <w:r w:rsidRPr="002A2A4E">
        <w:rPr>
          <w:color w:val="000000" w:themeColor="text1"/>
          <w:rtl/>
        </w:rPr>
        <w:tab/>
      </w:r>
      <w:r w:rsidRPr="002A2A4E">
        <w:rPr>
          <w:rFonts w:hint="cs"/>
          <w:color w:val="000000" w:themeColor="text1"/>
          <w:rtl/>
        </w:rPr>
        <w:t xml:space="preserve">ראו באתר בנק ישראל </w:t>
      </w:r>
      <w:hyperlink r:id="rId40" w:history="1">
        <w:r w:rsidRPr="002A2A4E">
          <w:rPr>
            <w:rStyle w:val="7334"/>
            <w:rFonts w:hint="cs"/>
            <w:color w:val="000000" w:themeColor="text1"/>
            <w:u w:val="none"/>
            <w:rtl/>
          </w:rPr>
          <w:t>בנושא יתרות מטבע חוץ</w:t>
        </w:r>
      </w:hyperlink>
      <w:r w:rsidRPr="002A2A4E">
        <w:rPr>
          <w:rFonts w:hint="cs"/>
          <w:color w:val="000000" w:themeColor="text1"/>
          <w:rtl/>
        </w:rPr>
        <w:t>.</w:t>
      </w:r>
    </w:p>
  </w:footnote>
  <w:footnote w:id="140">
    <w:p w:rsidR="00F20E3F" w:rsidRPr="002A2A4E" w:rsidP="007649F0" w14:paraId="4546C986" w14:textId="77777777">
      <w:pPr>
        <w:pStyle w:val="00"/>
        <w:rPr>
          <w:color w:val="000000" w:themeColor="text1"/>
        </w:rPr>
      </w:pPr>
      <w:r w:rsidRPr="002A2A4E">
        <w:rPr>
          <w:color w:val="000000" w:themeColor="text1"/>
        </w:rPr>
        <w:footnoteRef/>
      </w:r>
      <w:r w:rsidRPr="002A2A4E">
        <w:rPr>
          <w:color w:val="000000" w:themeColor="text1"/>
          <w:rtl/>
        </w:rPr>
        <w:t xml:space="preserve"> </w:t>
      </w:r>
      <w:r w:rsidRPr="002A2A4E">
        <w:rPr>
          <w:color w:val="000000" w:themeColor="text1"/>
          <w:rtl/>
        </w:rPr>
        <w:tab/>
      </w:r>
      <w:r w:rsidRPr="002A2A4E">
        <w:rPr>
          <w:rFonts w:hint="cs"/>
          <w:color w:val="000000" w:themeColor="text1"/>
          <w:rtl/>
        </w:rPr>
        <w:t xml:space="preserve">ראו את הודעת הבנק בנושא </w:t>
      </w:r>
      <w:hyperlink r:id="rId41" w:history="1">
        <w:r w:rsidRPr="002A2A4E">
          <w:rPr>
            <w:rStyle w:val="7334"/>
            <w:rFonts w:hint="cs"/>
            <w:color w:val="000000" w:themeColor="text1"/>
            <w:u w:val="none"/>
            <w:rtl/>
          </w:rPr>
          <w:t>יתרות מטבע החוץ בבנק ישראל לחודש יוני 202</w:t>
        </w:r>
        <w:r w:rsidRPr="002A2A4E">
          <w:rPr>
            <w:rStyle w:val="Hyperlink"/>
            <w:rFonts w:hint="cs"/>
            <w:color w:val="000000" w:themeColor="text1"/>
            <w:u w:val="none"/>
            <w:rtl/>
          </w:rPr>
          <w:t>3</w:t>
        </w:r>
      </w:hyperlink>
      <w:r w:rsidRPr="002A2A4E">
        <w:rPr>
          <w:rFonts w:hint="cs"/>
          <w:color w:val="000000" w:themeColor="text1"/>
          <w:rtl/>
        </w:rPr>
        <w:t xml:space="preserve"> (פורסם ב-6.7.23).</w:t>
      </w:r>
    </w:p>
  </w:footnote>
  <w:footnote w:id="141">
    <w:p w:rsidR="00F20E3F" w:rsidRPr="002A2A4E" w:rsidP="007649F0" w14:paraId="47ADEA61" w14:textId="77777777">
      <w:pPr>
        <w:pStyle w:val="00"/>
        <w:rPr>
          <w:color w:val="000000" w:themeColor="text1"/>
          <w:rtl/>
        </w:rPr>
      </w:pPr>
      <w:r w:rsidRPr="002A2A4E">
        <w:rPr>
          <w:color w:val="000000" w:themeColor="text1"/>
        </w:rPr>
        <w:footnoteRef/>
      </w:r>
      <w:r w:rsidRPr="002A2A4E">
        <w:rPr>
          <w:color w:val="000000" w:themeColor="text1"/>
          <w:rtl/>
        </w:rPr>
        <w:t xml:space="preserve"> </w:t>
      </w:r>
      <w:r w:rsidRPr="002A2A4E">
        <w:rPr>
          <w:color w:val="000000" w:themeColor="text1"/>
          <w:rtl/>
        </w:rPr>
        <w:tab/>
        <w:t>הקווים המנחים למדיניות ההשקעה של יתרות מטבע החוץ</w:t>
      </w:r>
      <w:r w:rsidRPr="002A2A4E">
        <w:rPr>
          <w:rFonts w:hint="cs"/>
          <w:color w:val="000000" w:themeColor="text1"/>
          <w:rtl/>
        </w:rPr>
        <w:t>,</w:t>
      </w:r>
      <w:r w:rsidRPr="002A2A4E">
        <w:rPr>
          <w:color w:val="000000" w:themeColor="text1"/>
          <w:rtl/>
        </w:rPr>
        <w:t xml:space="preserve"> בנק ישראל</w:t>
      </w:r>
      <w:r w:rsidRPr="002A2A4E">
        <w:rPr>
          <w:rFonts w:hint="cs"/>
          <w:color w:val="000000" w:themeColor="text1"/>
          <w:rtl/>
        </w:rPr>
        <w:t xml:space="preserve"> </w:t>
      </w:r>
      <w:r w:rsidRPr="002A2A4E">
        <w:rPr>
          <w:color w:val="000000" w:themeColor="text1"/>
          <w:rtl/>
        </w:rPr>
        <w:t>הוועדה המוניטרית</w:t>
      </w:r>
      <w:r w:rsidRPr="002A2A4E">
        <w:rPr>
          <w:rFonts w:hint="cs"/>
          <w:color w:val="000000" w:themeColor="text1"/>
          <w:rtl/>
        </w:rPr>
        <w:t xml:space="preserve"> (אפריל 2021).</w:t>
      </w:r>
    </w:p>
  </w:footnote>
  <w:footnote w:id="142">
    <w:p w:rsidR="00F20E3F" w:rsidRPr="002A2A4E" w:rsidP="007649F0" w14:paraId="760556C3" w14:textId="77777777">
      <w:pPr>
        <w:pStyle w:val="00"/>
        <w:rPr>
          <w:color w:val="000000" w:themeColor="text1"/>
          <w:rtl/>
        </w:rPr>
      </w:pPr>
      <w:r w:rsidRPr="002A2A4E">
        <w:rPr>
          <w:color w:val="000000" w:themeColor="text1"/>
        </w:rPr>
        <w:footnoteRef/>
      </w:r>
      <w:r w:rsidRPr="002A2A4E">
        <w:rPr>
          <w:color w:val="000000" w:themeColor="text1"/>
          <w:rtl/>
        </w:rPr>
        <w:t xml:space="preserve"> </w:t>
      </w:r>
      <w:r w:rsidRPr="002A2A4E">
        <w:rPr>
          <w:color w:val="000000" w:themeColor="text1"/>
          <w:rtl/>
        </w:rPr>
        <w:tab/>
      </w:r>
      <w:r w:rsidRPr="002A2A4E">
        <w:rPr>
          <w:rFonts w:hint="cs"/>
          <w:color w:val="000000" w:themeColor="text1"/>
          <w:rtl/>
        </w:rPr>
        <w:t xml:space="preserve">רשות ניירות ערך, </w:t>
      </w:r>
      <w:hyperlink r:id="rId42" w:history="1">
        <w:r w:rsidRPr="002A2A4E">
          <w:rPr>
            <w:rStyle w:val="7334"/>
            <w:rFonts w:hint="cs"/>
            <w:color w:val="000000" w:themeColor="text1"/>
            <w:u w:val="none"/>
            <w:rtl/>
          </w:rPr>
          <w:t>הוראה למנהלי קרנות ולבעלי רישיון גדולים</w:t>
        </w:r>
      </w:hyperlink>
      <w:r w:rsidRPr="002A2A4E">
        <w:rPr>
          <w:rFonts w:hint="cs"/>
          <w:color w:val="000000" w:themeColor="text1"/>
          <w:rtl/>
        </w:rPr>
        <w:t xml:space="preserve"> בדבר שילוב שיקולי סביבה, חברה וממשל בתהליכי קבלת החלטות השקעה או ניהול סיכונים (2022).</w:t>
      </w:r>
    </w:p>
  </w:footnote>
  <w:footnote w:id="143">
    <w:p w:rsidR="00F20E3F" w:rsidRPr="002A2A4E" w:rsidP="007649F0" w14:paraId="45DE7AA4" w14:textId="77777777">
      <w:pPr>
        <w:pStyle w:val="00"/>
        <w:rPr>
          <w:color w:val="000000" w:themeColor="text1"/>
        </w:rPr>
      </w:pPr>
      <w:r w:rsidRPr="002A2A4E">
        <w:rPr>
          <w:color w:val="000000" w:themeColor="text1"/>
        </w:rPr>
        <w:footnoteRef/>
      </w:r>
      <w:r w:rsidRPr="002A2A4E">
        <w:rPr>
          <w:color w:val="000000" w:themeColor="text1"/>
          <w:rtl/>
        </w:rPr>
        <w:t xml:space="preserve"> </w:t>
      </w:r>
      <w:r w:rsidRPr="002A2A4E">
        <w:rPr>
          <w:color w:val="000000" w:themeColor="text1"/>
          <w:rtl/>
        </w:rPr>
        <w:tab/>
      </w:r>
      <w:r w:rsidRPr="002A2A4E">
        <w:rPr>
          <w:rFonts w:hint="cs"/>
          <w:color w:val="000000" w:themeColor="text1"/>
          <w:rtl/>
        </w:rPr>
        <w:t xml:space="preserve">ההוראה חלה על </w:t>
      </w:r>
      <w:r w:rsidRPr="002A2A4E">
        <w:rPr>
          <w:color w:val="000000" w:themeColor="text1"/>
          <w:rtl/>
        </w:rPr>
        <w:t>"בעלי רישיון גדולים",</w:t>
      </w:r>
      <w:r w:rsidRPr="002A2A4E">
        <w:rPr>
          <w:rFonts w:hint="cs"/>
          <w:color w:val="000000" w:themeColor="text1"/>
          <w:rtl/>
        </w:rPr>
        <w:t xml:space="preserve"> </w:t>
      </w:r>
      <w:r w:rsidRPr="002A2A4E">
        <w:rPr>
          <w:color w:val="000000" w:themeColor="text1"/>
          <w:rtl/>
        </w:rPr>
        <w:t>אחת מהחלופות ה</w:t>
      </w:r>
      <w:r w:rsidRPr="002A2A4E">
        <w:rPr>
          <w:rFonts w:hint="cs"/>
          <w:color w:val="000000" w:themeColor="text1"/>
          <w:rtl/>
        </w:rPr>
        <w:t>אלה:</w:t>
      </w:r>
      <w:r w:rsidRPr="002A2A4E">
        <w:rPr>
          <w:rFonts w:hint="cs"/>
          <w:color w:val="000000" w:themeColor="text1"/>
        </w:rPr>
        <w:t xml:space="preserve"> </w:t>
      </w:r>
      <w:r w:rsidRPr="002A2A4E">
        <w:rPr>
          <w:color w:val="000000" w:themeColor="text1"/>
          <w:rtl/>
        </w:rPr>
        <w:t>(</w:t>
      </w:r>
      <w:r w:rsidRPr="002A2A4E">
        <w:rPr>
          <w:rFonts w:hint="cs"/>
          <w:color w:val="000000" w:themeColor="text1"/>
          <w:rtl/>
        </w:rPr>
        <w:t>א</w:t>
      </w:r>
      <w:r w:rsidRPr="002A2A4E">
        <w:rPr>
          <w:color w:val="000000" w:themeColor="text1"/>
          <w:rtl/>
        </w:rPr>
        <w:t>)</w:t>
      </w:r>
      <w:r w:rsidRPr="002A2A4E">
        <w:rPr>
          <w:rFonts w:hint="cs"/>
          <w:color w:val="000000" w:themeColor="text1"/>
          <w:rtl/>
        </w:rPr>
        <w:t xml:space="preserve"> </w:t>
      </w:r>
      <w:r w:rsidRPr="002A2A4E">
        <w:rPr>
          <w:color w:val="000000" w:themeColor="text1"/>
          <w:rtl/>
        </w:rPr>
        <w:t>"חברת ניהול תיקים גדולה", כהגדרתה בתוספת ראשונה א' לחוק הסדרת העיסוק בייעוץ השקעות, בשיווק השקעות ובניהול תיקי השקעות), התשנ"ה-1995;</w:t>
      </w:r>
      <w:r w:rsidRPr="002A2A4E">
        <w:rPr>
          <w:rFonts w:hint="cs"/>
          <w:color w:val="000000" w:themeColor="text1"/>
          <w:rtl/>
        </w:rPr>
        <w:t xml:space="preserve"> (ב</w:t>
      </w:r>
      <w:r w:rsidRPr="002A2A4E">
        <w:rPr>
          <w:color w:val="000000" w:themeColor="text1"/>
          <w:rtl/>
        </w:rPr>
        <w:t xml:space="preserve">) חברה שהיא בעלת רישיון שיווק השקעות או חברה בעלת רישיון </w:t>
      </w:r>
      <w:r w:rsidRPr="002A2A4E">
        <w:rPr>
          <w:rFonts w:hint="cs"/>
          <w:color w:val="000000" w:themeColor="text1"/>
          <w:rtl/>
        </w:rPr>
        <w:t>י</w:t>
      </w:r>
      <w:r w:rsidRPr="002A2A4E">
        <w:rPr>
          <w:color w:val="000000" w:themeColor="text1"/>
          <w:rtl/>
        </w:rPr>
        <w:t xml:space="preserve">יעוץ השקעות, שבמועד פרסום ההוראה היו לה ולחברות אחרות שהן בעלות רישיון שיווק השקעות השייכות לאותה קבוצה, יחד, </w:t>
      </w:r>
      <w:r w:rsidRPr="002A2A4E">
        <w:rPr>
          <w:rFonts w:hint="cs"/>
          <w:color w:val="000000" w:themeColor="text1"/>
          <w:rtl/>
        </w:rPr>
        <w:t>יותר</w:t>
      </w:r>
      <w:r w:rsidRPr="002A2A4E">
        <w:rPr>
          <w:color w:val="000000" w:themeColor="text1"/>
          <w:rtl/>
        </w:rPr>
        <w:t xml:space="preserve"> </w:t>
      </w:r>
      <w:r w:rsidRPr="002A2A4E">
        <w:rPr>
          <w:rFonts w:hint="cs"/>
          <w:color w:val="000000" w:themeColor="text1"/>
          <w:rtl/>
        </w:rPr>
        <w:t>מ-</w:t>
      </w:r>
      <w:r w:rsidRPr="002A2A4E">
        <w:rPr>
          <w:color w:val="000000" w:themeColor="text1"/>
          <w:rtl/>
        </w:rPr>
        <w:t>1,000</w:t>
      </w:r>
      <w:r w:rsidRPr="002A2A4E">
        <w:rPr>
          <w:rFonts w:hint="cs"/>
          <w:color w:val="000000" w:themeColor="text1"/>
          <w:rtl/>
        </w:rPr>
        <w:t xml:space="preserve"> </w:t>
      </w:r>
      <w:r w:rsidRPr="002A2A4E">
        <w:rPr>
          <w:color w:val="000000" w:themeColor="text1"/>
          <w:rtl/>
        </w:rPr>
        <w:t xml:space="preserve">לקוחות או יחיד בעל רישיון כאמור שבמועד פרסום ההוראה היו לו </w:t>
      </w:r>
      <w:r w:rsidRPr="002A2A4E">
        <w:rPr>
          <w:rFonts w:hint="cs"/>
          <w:color w:val="000000" w:themeColor="text1"/>
          <w:rtl/>
        </w:rPr>
        <w:t xml:space="preserve">יותר </w:t>
      </w:r>
      <w:r w:rsidRPr="002A2A4E">
        <w:rPr>
          <w:color w:val="000000" w:themeColor="text1"/>
          <w:rtl/>
        </w:rPr>
        <w:t>מ</w:t>
      </w:r>
      <w:r w:rsidRPr="002A2A4E">
        <w:rPr>
          <w:rFonts w:hint="cs"/>
          <w:color w:val="000000" w:themeColor="text1"/>
          <w:rtl/>
        </w:rPr>
        <w:t>-</w:t>
      </w:r>
      <w:r w:rsidRPr="002A2A4E">
        <w:rPr>
          <w:color w:val="000000" w:themeColor="text1"/>
          <w:rtl/>
        </w:rPr>
        <w:t>1000</w:t>
      </w:r>
      <w:r w:rsidRPr="002A2A4E">
        <w:rPr>
          <w:rFonts w:hint="cs"/>
          <w:color w:val="000000" w:themeColor="text1"/>
          <w:rtl/>
        </w:rPr>
        <w:t xml:space="preserve"> </w:t>
      </w:r>
      <w:r w:rsidRPr="002A2A4E">
        <w:rPr>
          <w:color w:val="000000" w:themeColor="text1"/>
          <w:rtl/>
        </w:rPr>
        <w:t>לקוחות; או מערכי ה</w:t>
      </w:r>
      <w:r w:rsidRPr="002A2A4E">
        <w:rPr>
          <w:rFonts w:hint="cs"/>
          <w:color w:val="000000" w:themeColor="text1"/>
          <w:rtl/>
        </w:rPr>
        <w:t>י</w:t>
      </w:r>
      <w:r w:rsidRPr="002A2A4E">
        <w:rPr>
          <w:color w:val="000000" w:themeColor="text1"/>
          <w:rtl/>
        </w:rPr>
        <w:t>יעוץ בבנקי</w:t>
      </w:r>
      <w:r w:rsidRPr="002A2A4E">
        <w:rPr>
          <w:rFonts w:hint="cs"/>
          <w:color w:val="000000" w:themeColor="text1"/>
          <w:rtl/>
        </w:rPr>
        <w:t xml:space="preserve">ם. </w:t>
      </w:r>
    </w:p>
  </w:footnote>
  <w:footnote w:id="144">
    <w:p w:rsidR="00F20E3F" w:rsidRPr="002A2A4E" w:rsidP="001E2E5A" w14:paraId="0313AC8A" w14:textId="77777777">
      <w:pPr>
        <w:pStyle w:val="00"/>
        <w:rPr>
          <w:color w:val="000000" w:themeColor="text1"/>
          <w:rtl/>
        </w:rPr>
      </w:pPr>
      <w:r w:rsidRPr="002A2A4E">
        <w:rPr>
          <w:rStyle w:val="FootnoteReference2"/>
          <w:color w:val="000000" w:themeColor="text1"/>
          <w:vertAlign w:val="baseline"/>
        </w:rPr>
        <w:footnoteRef/>
      </w:r>
      <w:r w:rsidRPr="002A2A4E">
        <w:rPr>
          <w:color w:val="000000" w:themeColor="text1"/>
          <w:rtl/>
        </w:rPr>
        <w:t xml:space="preserve"> </w:t>
      </w:r>
      <w:r w:rsidRPr="002A2A4E">
        <w:rPr>
          <w:color w:val="000000" w:themeColor="text1"/>
          <w:rtl/>
        </w:rPr>
        <w:tab/>
      </w:r>
      <w:hyperlink r:id="rId43" w:history="1">
        <w:r w:rsidRPr="002A2A4E">
          <w:rPr>
            <w:rStyle w:val="7334"/>
            <w:rFonts w:hint="cs"/>
            <w:color w:val="000000" w:themeColor="text1"/>
            <w:u w:val="none"/>
            <w:rtl/>
          </w:rPr>
          <w:t>ראו נתונים על אודות חברות המפרסמות דוחות אחריות תאגידית</w:t>
        </w:r>
        <w:r w:rsidRPr="002A2A4E">
          <w:rPr>
            <w:rStyle w:val="Hyperlink"/>
            <w:rFonts w:hint="cs"/>
            <w:color w:val="000000" w:themeColor="text1"/>
            <w:u w:val="none"/>
            <w:rtl/>
          </w:rPr>
          <w:t xml:space="preserve"> באתר רשות ניירות</w:t>
        </w:r>
      </w:hyperlink>
      <w:r w:rsidRPr="002A2A4E">
        <w:rPr>
          <w:rFonts w:hint="cs"/>
          <w:color w:val="000000" w:themeColor="text1"/>
          <w:rtl/>
        </w:rPr>
        <w:t xml:space="preserve"> ערך.</w:t>
      </w:r>
    </w:p>
  </w:footnote>
  <w:footnote w:id="145">
    <w:p w:rsidR="00F20E3F" w:rsidRPr="002A2A4E" w:rsidP="007649F0" w14:paraId="24CEDE23" w14:textId="77777777">
      <w:pPr>
        <w:pStyle w:val="00"/>
        <w:rPr>
          <w:color w:val="000000" w:themeColor="text1"/>
          <w:rtl/>
        </w:rPr>
      </w:pPr>
      <w:r w:rsidRPr="002A2A4E">
        <w:rPr>
          <w:color w:val="000000" w:themeColor="text1"/>
        </w:rPr>
        <w:footnoteRef/>
      </w:r>
      <w:r w:rsidRPr="002A2A4E">
        <w:rPr>
          <w:color w:val="000000" w:themeColor="text1"/>
          <w:rtl/>
        </w:rPr>
        <w:t xml:space="preserve"> </w:t>
      </w:r>
      <w:r w:rsidRPr="002A2A4E">
        <w:rPr>
          <w:color w:val="000000" w:themeColor="text1"/>
          <w:rtl/>
        </w:rPr>
        <w:tab/>
      </w:r>
      <w:r w:rsidRPr="002A2A4E">
        <w:rPr>
          <w:rFonts w:hint="cs"/>
          <w:color w:val="000000" w:themeColor="text1"/>
          <w:rtl/>
        </w:rPr>
        <w:t xml:space="preserve">יוער כי התקנים החדשים ייכנסו </w:t>
      </w:r>
      <w:r w:rsidRPr="002A2A4E">
        <w:rPr>
          <w:color w:val="000000" w:themeColor="text1"/>
          <w:rtl/>
        </w:rPr>
        <w:t>לתוקף רק</w:t>
      </w:r>
      <w:r w:rsidRPr="002A2A4E">
        <w:rPr>
          <w:rFonts w:hint="cs"/>
          <w:color w:val="000000" w:themeColor="text1"/>
          <w:rtl/>
        </w:rPr>
        <w:t xml:space="preserve"> </w:t>
      </w:r>
      <w:r w:rsidRPr="002A2A4E">
        <w:rPr>
          <w:color w:val="000000" w:themeColor="text1"/>
          <w:rtl/>
        </w:rPr>
        <w:t>מיום</w:t>
      </w:r>
      <w:r w:rsidRPr="002A2A4E">
        <w:rPr>
          <w:rFonts w:hint="cs"/>
          <w:color w:val="000000" w:themeColor="text1"/>
          <w:rtl/>
        </w:rPr>
        <w:t xml:space="preserve"> 1.1.24</w:t>
      </w:r>
      <w:r w:rsidRPr="002A2A4E">
        <w:rPr>
          <w:color w:val="000000" w:themeColor="text1"/>
          <w:rtl/>
        </w:rPr>
        <w:t>, והם יחולו על</w:t>
      </w:r>
      <w:r w:rsidRPr="002A2A4E">
        <w:rPr>
          <w:rFonts w:hint="cs"/>
          <w:color w:val="000000" w:themeColor="text1"/>
          <w:rtl/>
        </w:rPr>
        <w:t xml:space="preserve"> </w:t>
      </w:r>
      <w:r w:rsidRPr="002A2A4E">
        <w:rPr>
          <w:color w:val="000000" w:themeColor="text1"/>
          <w:rtl/>
        </w:rPr>
        <w:t>הדוחות לשנת 2024, דוחות אשר יפורסמו במהלך שנת 2025.</w:t>
      </w:r>
    </w:p>
  </w:footnote>
  <w:footnote w:id="146">
    <w:p w:rsidR="00F20E3F" w:rsidRPr="002A2A4E" w:rsidP="007649F0" w14:paraId="2F2C9A71" w14:textId="77777777">
      <w:pPr>
        <w:pStyle w:val="00"/>
        <w:rPr>
          <w:color w:val="000000" w:themeColor="text1"/>
        </w:rPr>
      </w:pPr>
      <w:r w:rsidRPr="002A2A4E">
        <w:rPr>
          <w:color w:val="000000" w:themeColor="text1"/>
        </w:rPr>
        <w:footnoteRef/>
      </w:r>
      <w:r w:rsidRPr="002A2A4E">
        <w:rPr>
          <w:color w:val="000000" w:themeColor="text1"/>
          <w:rtl/>
        </w:rPr>
        <w:t xml:space="preserve"> </w:t>
      </w:r>
      <w:r w:rsidRPr="002A2A4E">
        <w:rPr>
          <w:color w:val="000000" w:themeColor="text1"/>
          <w:rtl/>
        </w:rPr>
        <w:tab/>
      </w:r>
      <w:r w:rsidRPr="002A2A4E">
        <w:rPr>
          <w:rFonts w:hint="cs"/>
          <w:color w:val="000000" w:themeColor="text1"/>
          <w:rtl/>
        </w:rPr>
        <w:t xml:space="preserve">רשות שוק ההון, </w:t>
      </w:r>
      <w:hyperlink r:id="rId44" w:history="1">
        <w:r w:rsidRPr="002A2A4E">
          <w:rPr>
            <w:rStyle w:val="7334"/>
            <w:rFonts w:hint="cs"/>
            <w:color w:val="000000" w:themeColor="text1"/>
            <w:u w:val="none"/>
            <w:rtl/>
          </w:rPr>
          <w:t>ביטוח וחיסכון, עקרונות ליישום הערכה עצמית של הסיכונים וכושר הפירעון של חברת ביטוח</w:t>
        </w:r>
      </w:hyperlink>
      <w:r w:rsidRPr="002A2A4E">
        <w:rPr>
          <w:rFonts w:hint="cs"/>
          <w:color w:val="000000" w:themeColor="text1"/>
          <w:rtl/>
        </w:rPr>
        <w:t xml:space="preserve"> (ינואר 2022).</w:t>
      </w:r>
    </w:p>
  </w:footnote>
  <w:footnote w:id="147">
    <w:p w:rsidR="00F20E3F" w:rsidRPr="002A2A4E" w:rsidP="007649F0" w14:paraId="5D2DB498" w14:textId="77777777">
      <w:pPr>
        <w:pStyle w:val="00"/>
        <w:rPr>
          <w:color w:val="000000" w:themeColor="text1"/>
        </w:rPr>
      </w:pPr>
      <w:r w:rsidRPr="002A2A4E">
        <w:rPr>
          <w:color w:val="000000" w:themeColor="text1"/>
        </w:rPr>
        <w:footnoteRef/>
      </w:r>
      <w:r w:rsidRPr="002A2A4E">
        <w:rPr>
          <w:color w:val="000000" w:themeColor="text1"/>
          <w:rtl/>
        </w:rPr>
        <w:t xml:space="preserve"> </w:t>
      </w:r>
      <w:r w:rsidRPr="002A2A4E">
        <w:rPr>
          <w:color w:val="000000" w:themeColor="text1"/>
          <w:rtl/>
        </w:rPr>
        <w:tab/>
      </w:r>
      <w:r w:rsidRPr="002A2A4E">
        <w:rPr>
          <w:rFonts w:hint="cs"/>
          <w:color w:val="000000" w:themeColor="text1"/>
          <w:rtl/>
        </w:rPr>
        <w:t xml:space="preserve">היבטי ניהול השקעות וחובת גילוי כלולים בתיקון </w:t>
      </w:r>
      <w:hyperlink w:history="1">
        <w:r w:rsidRPr="002A2A4E">
          <w:rPr>
            <w:rStyle w:val="7334"/>
            <w:rFonts w:hint="cs"/>
            <w:color w:val="000000" w:themeColor="text1"/>
            <w:u w:val="none"/>
            <w:rtl/>
          </w:rPr>
          <w:t>הוראת החוזר המאוחד</w:t>
        </w:r>
      </w:hyperlink>
      <w:r w:rsidRPr="002A2A4E">
        <w:rPr>
          <w:rFonts w:hint="cs"/>
          <w:color w:val="000000" w:themeColor="text1"/>
          <w:rtl/>
        </w:rPr>
        <w:t xml:space="preserve"> (פרק 4 לשער 5) בנושא "ניהול נכסי השקעות" (שיקולי השקעה הנוגעים להיבטים סביבתיים, חברתיים והיבטי ממשל תאגידי ולסיכונים מתפתחים מהותיים (כגון סיכוני סייבר וסיכונים טכנולוגיים)) (נובמבר 2021); חוזר 2021-9-13. </w:t>
      </w:r>
    </w:p>
  </w:footnote>
  <w:footnote w:id="148">
    <w:p w:rsidR="00F20E3F" w:rsidRPr="002A2A4E" w:rsidP="007649F0" w14:paraId="3D76195D" w14:textId="77777777">
      <w:pPr>
        <w:pStyle w:val="00"/>
        <w:rPr>
          <w:color w:val="000000" w:themeColor="text1"/>
          <w:rtl/>
        </w:rPr>
      </w:pPr>
      <w:r w:rsidRPr="002A2A4E">
        <w:rPr>
          <w:color w:val="000000" w:themeColor="text1"/>
        </w:rPr>
        <w:footnoteRef/>
      </w:r>
      <w:r w:rsidRPr="002A2A4E">
        <w:rPr>
          <w:color w:val="000000" w:themeColor="text1"/>
          <w:rtl/>
        </w:rPr>
        <w:t xml:space="preserve"> </w:t>
      </w:r>
      <w:r w:rsidRPr="002A2A4E">
        <w:rPr>
          <w:color w:val="000000" w:themeColor="text1"/>
          <w:rtl/>
        </w:rPr>
        <w:tab/>
      </w:r>
      <w:r w:rsidRPr="002A2A4E">
        <w:rPr>
          <w:rFonts w:hint="cs"/>
          <w:color w:val="000000" w:themeColor="text1"/>
          <w:rtl/>
        </w:rPr>
        <w:t xml:space="preserve">מבקר המדינה, </w:t>
      </w:r>
      <w:r w:rsidRPr="002A2A4E">
        <w:rPr>
          <w:rFonts w:hint="eastAsia"/>
          <w:b/>
          <w:bCs/>
          <w:color w:val="000000" w:themeColor="text1"/>
          <w:rtl/>
        </w:rPr>
        <w:t>דוח</w:t>
      </w:r>
      <w:r w:rsidRPr="002A2A4E">
        <w:rPr>
          <w:b/>
          <w:bCs/>
          <w:color w:val="000000" w:themeColor="text1"/>
          <w:rtl/>
        </w:rPr>
        <w:t xml:space="preserve"> </w:t>
      </w:r>
      <w:r w:rsidRPr="002A2A4E">
        <w:rPr>
          <w:rFonts w:hint="eastAsia"/>
          <w:b/>
          <w:bCs/>
          <w:color w:val="000000" w:themeColor="text1"/>
          <w:rtl/>
        </w:rPr>
        <w:t>שנתי</w:t>
      </w:r>
      <w:r w:rsidRPr="002A2A4E">
        <w:rPr>
          <w:b/>
          <w:bCs/>
          <w:color w:val="000000" w:themeColor="text1"/>
          <w:rtl/>
        </w:rPr>
        <w:t xml:space="preserve"> 74א</w:t>
      </w:r>
      <w:r w:rsidRPr="002A2A4E">
        <w:rPr>
          <w:rFonts w:hint="cs"/>
          <w:color w:val="000000" w:themeColor="text1"/>
          <w:rtl/>
        </w:rPr>
        <w:t xml:space="preserve"> (2023), "</w:t>
      </w:r>
      <w:r w:rsidRPr="002A2A4E">
        <w:rPr>
          <w:color w:val="000000" w:themeColor="text1"/>
          <w:rtl/>
        </w:rPr>
        <w:t>הפיקוח של רשות שוק ההון על הגופים המוסדיים המנהלים חיסכון ארוך טווח</w:t>
      </w:r>
      <w:r w:rsidRPr="002A2A4E">
        <w:rPr>
          <w:rFonts w:hint="cs"/>
          <w:color w:val="000000" w:themeColor="text1"/>
          <w:rtl/>
        </w:rPr>
        <w:t>".</w:t>
      </w:r>
    </w:p>
  </w:footnote>
  <w:footnote w:id="149">
    <w:p w:rsidR="00F20E3F" w:rsidRPr="002A2A4E" w:rsidP="007649F0" w14:paraId="76B7DF12" w14:textId="77777777">
      <w:pPr>
        <w:pStyle w:val="00"/>
        <w:rPr>
          <w:color w:val="000000" w:themeColor="text1"/>
          <w:rtl/>
        </w:rPr>
      </w:pPr>
      <w:r w:rsidRPr="002A2A4E">
        <w:rPr>
          <w:color w:val="000000" w:themeColor="text1"/>
        </w:rPr>
        <w:footnoteRef/>
      </w:r>
      <w:r w:rsidRPr="002A2A4E">
        <w:rPr>
          <w:color w:val="000000" w:themeColor="text1"/>
          <w:rtl/>
        </w:rPr>
        <w:t xml:space="preserve"> </w:t>
      </w:r>
      <w:r w:rsidRPr="002A2A4E">
        <w:rPr>
          <w:color w:val="000000" w:themeColor="text1"/>
          <w:rtl/>
        </w:rPr>
        <w:tab/>
      </w:r>
      <w:r w:rsidRPr="002A2A4E">
        <w:rPr>
          <w:rFonts w:hint="cs"/>
          <w:color w:val="000000" w:themeColor="text1"/>
          <w:rtl/>
        </w:rPr>
        <w:t xml:space="preserve">ראו את </w:t>
      </w:r>
      <w:r w:rsidRPr="002A2A4E">
        <w:rPr>
          <w:color w:val="000000" w:themeColor="text1"/>
          <w:rtl/>
        </w:rPr>
        <w:t>הסטנדרטים לדיווח בנושא קיימות ואקלים של ה-</w:t>
      </w:r>
      <w:r w:rsidRPr="002A2A4E">
        <w:rPr>
          <w:color w:val="000000" w:themeColor="text1"/>
        </w:rPr>
        <w:t>IFRS</w:t>
      </w:r>
      <w:r w:rsidRPr="002A2A4E">
        <w:rPr>
          <w:rFonts w:hint="cs"/>
          <w:color w:val="000000" w:themeColor="text1"/>
          <w:rtl/>
        </w:rPr>
        <w:t>, אשר פורסמו ביום 26.6.23:</w:t>
      </w:r>
    </w:p>
    <w:p w:rsidR="00F20E3F" w:rsidRPr="002A2A4E" w:rsidP="00511B9D" w14:paraId="1A94F3D8" w14:textId="4257E5AE">
      <w:pPr>
        <w:pStyle w:val="00"/>
        <w:bidi w:val="0"/>
        <w:rPr>
          <w:color w:val="000000" w:themeColor="text1"/>
          <w:rtl/>
        </w:rPr>
      </w:pPr>
      <w:r w:rsidRPr="002A2A4E">
        <w:rPr>
          <w:color w:val="000000" w:themeColor="text1"/>
          <w:rtl/>
        </w:rPr>
        <w:t xml:space="preserve"> </w:t>
      </w:r>
      <w:r w:rsidRPr="002A2A4E">
        <w:rPr>
          <w:color w:val="000000" w:themeColor="text1"/>
        </w:rPr>
        <w:t>https://www.ifrs.org/news-and-events/news/2023/06/issb-issues-ifrs-s1-ifrs-s2</w:t>
      </w:r>
      <w:r w:rsidRPr="002A2A4E">
        <w:rPr>
          <w:color w:val="000000" w:themeColor="text1"/>
          <w:rtl/>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73EE0" w:rsidP="007255AF" w14:paraId="5CDEE855" w14:textId="7B9EDBB5">
    <w:pPr>
      <w:pStyle w:val="Header"/>
      <w:tabs>
        <w:tab w:val="left" w:pos="493"/>
        <w:tab w:val="center" w:pos="4111"/>
        <w:tab w:val="clear" w:pos="4153"/>
        <w:tab w:val="right" w:pos="7478"/>
        <w:tab w:val="right" w:pos="8222"/>
        <w:tab w:val="clear" w:pos="8306"/>
      </w:tabs>
      <w:jc w:val="left"/>
      <w:rPr>
        <w:rFonts w:ascii="Tahoma" w:hAnsi="Tahoma" w:cs="Tahoma"/>
        <w:color w:val="002060"/>
        <w:sz w:val="18"/>
        <w:szCs w:val="18"/>
      </w:rPr>
    </w:pPr>
  </w:p>
  <w:p w:rsidR="00F73EE0" w:rsidP="00F2565F" w14:paraId="5465C61E" w14:textId="4E2E39C0">
    <w:pPr>
      <w:pStyle w:val="Header"/>
      <w:tabs>
        <w:tab w:val="left" w:pos="493"/>
        <w:tab w:val="center" w:pos="4111"/>
        <w:tab w:val="clear" w:pos="4153"/>
        <w:tab w:val="right" w:pos="7478"/>
        <w:tab w:val="right" w:pos="8222"/>
        <w:tab w:val="clear" w:pos="8306"/>
      </w:tabs>
      <w:jc w:val="right"/>
      <w:rPr>
        <w:rFonts w:ascii="Tahoma" w:hAnsi="Tahoma" w:cs="Tahoma"/>
        <w:color w:val="002060"/>
        <w:sz w:val="18"/>
        <w:szCs w:val="18"/>
      </w:rPr>
    </w:pPr>
  </w:p>
  <w:p w:rsidR="00F73EE0" w:rsidP="007255AF" w14:paraId="268AFC17" w14:textId="6F16F421">
    <w:pPr>
      <w:pStyle w:val="Header"/>
      <w:tabs>
        <w:tab w:val="left" w:pos="493"/>
        <w:tab w:val="center" w:pos="4111"/>
        <w:tab w:val="clear" w:pos="4153"/>
        <w:tab w:val="right" w:pos="7478"/>
        <w:tab w:val="right" w:pos="8222"/>
        <w:tab w:val="clear" w:pos="8306"/>
      </w:tabs>
      <w:jc w:val="left"/>
      <w:rPr>
        <w:rFonts w:ascii="Tahoma" w:hAnsi="Tahoma" w:cs="Tahoma"/>
        <w:color w:val="002060"/>
        <w:sz w:val="18"/>
        <w:szCs w:val="18"/>
      </w:rPr>
    </w:pPr>
  </w:p>
  <w:p w:rsidR="00F73EE0" w:rsidP="007255AF" w14:paraId="3BA5282B" w14:textId="0DF822A9">
    <w:pPr>
      <w:pStyle w:val="Header"/>
      <w:tabs>
        <w:tab w:val="left" w:pos="493"/>
        <w:tab w:val="center" w:pos="4111"/>
        <w:tab w:val="clear" w:pos="4153"/>
        <w:tab w:val="right" w:pos="7478"/>
        <w:tab w:val="right" w:pos="8222"/>
        <w:tab w:val="clear" w:pos="8306"/>
      </w:tabs>
      <w:jc w:val="left"/>
      <w:rPr>
        <w:rFonts w:ascii="Tahoma" w:hAnsi="Tahoma" w:cs="Tahoma"/>
        <w:color w:val="002060"/>
        <w:sz w:val="18"/>
        <w:szCs w:val="18"/>
      </w:rPr>
    </w:pPr>
  </w:p>
  <w:p w:rsidR="00F73EE0" w:rsidP="00A33696" w14:paraId="0929BB0C" w14:textId="43D2B28E">
    <w:pPr>
      <w:pStyle w:val="Header"/>
      <w:tabs>
        <w:tab w:val="left" w:pos="493"/>
        <w:tab w:val="clear" w:pos="4153"/>
        <w:tab w:val="left" w:pos="5150"/>
        <w:tab w:val="clear" w:pos="8306"/>
      </w:tabs>
      <w:rPr>
        <w:rtl/>
      </w:rPr>
    </w:pPr>
    <w:r>
      <w:rPr>
        <w:rFonts w:ascii="Tahoma" w:hAnsi="Tahoma" w:cs="Tahoma"/>
        <w:noProof/>
        <w:color w:val="002060"/>
        <w:sz w:val="18"/>
        <w:szCs w:val="18"/>
      </w:rPr>
      <w:drawing>
        <wp:anchor distT="0" distB="0" distL="114300" distR="114300" simplePos="0" relativeHeight="251666432" behindDoc="0" locked="0" layoutInCell="1" allowOverlap="1">
          <wp:simplePos x="0" y="0"/>
          <wp:positionH relativeFrom="column">
            <wp:posOffset>4362450</wp:posOffset>
          </wp:positionH>
          <wp:positionV relativeFrom="paragraph">
            <wp:posOffset>6170</wp:posOffset>
          </wp:positionV>
          <wp:extent cx="248285" cy="298450"/>
          <wp:effectExtent l="0" t="0" r="0" b="6350"/>
          <wp:wrapNone/>
          <wp:docPr id="349258820" name="תמונה 349258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256418" name="Picture 6"/>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sidRPr="006637B9">
      <w:rPr>
        <w:rFonts w:ascii="Tahoma" w:hAnsi="Tahoma" w:cs="Tahoma"/>
        <w:noProof/>
        <w:color w:val="002060"/>
        <w:sz w:val="18"/>
        <w:szCs w:val="18"/>
      </w:rPr>
      <mc:AlternateContent>
        <mc:Choice Requires="wps">
          <w:drawing>
            <wp:inline distT="0" distB="0" distL="0" distR="0">
              <wp:extent cx="3317344" cy="280800"/>
              <wp:effectExtent l="0" t="0" r="0" b="6350"/>
              <wp:docPr id="18"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317344" cy="280800"/>
                      </a:xfrm>
                      <a:prstGeom prst="rect">
                        <a:avLst/>
                      </a:prstGeom>
                      <a:solidFill>
                        <a:srgbClr val="FFFFFF"/>
                      </a:solidFill>
                      <a:ln w="9525">
                        <a:noFill/>
                        <a:miter lim="800000"/>
                        <a:headEnd/>
                        <a:tailEnd/>
                      </a:ln>
                    </wps:spPr>
                    <wps:txbx>
                      <w:txbxContent>
                        <w:p w:rsidR="00F73EE0" w:rsidP="006637B9" w14:textId="2DD687FA">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wps:txbx>
                    <wps:bodyPr rot="0" vert="horz" wrap="square" anchor="t" anchorCtr="0">
                      <a:spAutoFit/>
                    </wps:bodyPr>
                  </wps:wsp>
                </a:graphicData>
              </a:graphic>
            </wp:inline>
          </w:drawing>
        </mc:Choice>
        <mc:Fallback>
          <w:pict>
            <v:shapetype id="_x0000_t202" coordsize="21600,21600" o:spt="202" path="m,l,21600r21600,l21600,xe">
              <v:stroke joinstyle="miter"/>
              <v:path gradientshapeok="t" o:connecttype="rect"/>
            </v:shapetype>
            <v:shape id="Text Box 2" o:spid="_x0000_i2049" type="#_x0000_t202" style="width:261.2pt;height:22.1pt;mso-left-percent:-10001;mso-position-horizontal-relative:char;mso-position-vertical-relative:line;mso-top-percent:-10001;mso-wrap-style:square;visibility:visible;v-text-anchor:top" stroked="f">
              <v:textbox style="mso-fit-shape-to-text:t">
                <w:txbxContent>
                  <w:p w:rsidR="00F73EE0" w:rsidP="006637B9" w14:paraId="7647DFBB" w14:textId="2DD687FA">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v:textbox>
              <w10:wrap type="none"/>
              <w10:anchorlock/>
            </v:shape>
          </w:pict>
        </mc:Fallback>
      </mc:AlternateContent>
    </w:r>
    <w:r>
      <w:rPr>
        <w:noProof/>
      </w:rPr>
      <mc:AlternateContent>
        <mc:Choice Requires="wps">
          <w:drawing>
            <wp:anchor distT="0" distB="0" distL="114300" distR="114300" simplePos="0" relativeHeight="251664384" behindDoc="0" locked="0" layoutInCell="1" allowOverlap="1">
              <wp:simplePos x="0" y="0"/>
              <wp:positionH relativeFrom="column">
                <wp:posOffset>-1554480</wp:posOffset>
              </wp:positionH>
              <wp:positionV relativeFrom="paragraph">
                <wp:posOffset>382270</wp:posOffset>
              </wp:positionV>
              <wp:extent cx="7632700" cy="0"/>
              <wp:effectExtent l="0" t="0" r="0" b="0"/>
              <wp:wrapNone/>
              <wp:docPr id="7" name="Straight Connector 7"/>
              <wp:cNvGraphicFramePr/>
              <a:graphic xmlns:a="http://schemas.openxmlformats.org/drawingml/2006/main">
                <a:graphicData uri="http://schemas.microsoft.com/office/word/2010/wordprocessingShape">
                  <wps:wsp xmlns:wps="http://schemas.microsoft.com/office/word/2010/wordprocessingShape">
                    <wps:cNvCnPr/>
                    <wps:spPr>
                      <a:xfrm flipH="1">
                        <a:off x="0" y="0"/>
                        <a:ext cx="76327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7" o:spid="_x0000_s2050" style="flip:x;mso-height-percent:0;mso-height-relative:margin;mso-width-percent:0;mso-width-relative:margin;mso-wrap-distance-bottom:0;mso-wrap-distance-left:9pt;mso-wrap-distance-right:9pt;mso-wrap-distance-top:0;mso-wrap-style:square;position:absolute;visibility:visible;z-index:251665408" from="-122.4pt,30.1pt" to="478.6pt,30.1pt" strokecolor="#1cade4"/>
          </w:pict>
        </mc:Fallback>
      </mc:AlternateContent>
    </w:r>
    <w:r>
      <w:rPr>
        <w:rFonts w:ascii="Tahoma" w:hAnsi="Tahoma" w:cs="Tahoma"/>
        <w:color w:val="002060"/>
        <w:sz w:val="18"/>
        <w:szCs w:val="18"/>
      </w:rPr>
      <w:tab/>
    </w:r>
    <w:r>
      <w:rPr>
        <w:rtl/>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73EE0" w:rsidP="001526AC" w14:paraId="1C6E1265" w14:textId="57D3164D">
    <w:pPr>
      <w:pStyle w:val="Header"/>
      <w:tabs>
        <w:tab w:val="left" w:pos="493"/>
        <w:tab w:val="center" w:pos="4111"/>
        <w:tab w:val="clear" w:pos="4153"/>
        <w:tab w:val="right" w:pos="7478"/>
        <w:tab w:val="right" w:pos="8222"/>
        <w:tab w:val="clear" w:pos="8306"/>
      </w:tabs>
      <w:jc w:val="left"/>
      <w:rPr>
        <w:rtl/>
      </w:rPr>
    </w:pPr>
    <w:r>
      <w:rPr>
        <w:noProof/>
        <w:rtl/>
        <w:lang w:val="he-IL"/>
      </w:rPr>
      <mc:AlternateContent>
        <mc:Choice Requires="wps">
          <w:drawing>
            <wp:anchor distT="0" distB="0" distL="114300" distR="114300" simplePos="0" relativeHeight="251672576" behindDoc="1" locked="0" layoutInCell="1" allowOverlap="1">
              <wp:simplePos x="0" y="0"/>
              <wp:positionH relativeFrom="margin">
                <wp:posOffset>-955675</wp:posOffset>
              </wp:positionH>
              <wp:positionV relativeFrom="margin">
                <wp:posOffset>-1052830</wp:posOffset>
              </wp:positionV>
              <wp:extent cx="6480000" cy="9000000"/>
              <wp:effectExtent l="0" t="0" r="16510" b="10795"/>
              <wp:wrapNone/>
              <wp:docPr id="53" name="Text Box 53"/>
              <wp:cNvGraphicFramePr/>
              <a:graphic xmlns:a="http://schemas.openxmlformats.org/drawingml/2006/main">
                <a:graphicData uri="http://schemas.microsoft.com/office/word/2010/wordprocessingShape">
                  <wps:wsp xmlns:wps="http://schemas.microsoft.com/office/word/2010/wordprocessingShape">
                    <wps:cNvSpPr txBox="1"/>
                    <wps:spPr>
                      <a:xfrm>
                        <a:off x="0" y="0"/>
                        <a:ext cx="6480000" cy="9000000"/>
                      </a:xfrm>
                      <a:prstGeom prst="rect">
                        <a:avLst/>
                      </a:prstGeom>
                      <a:noFill/>
                      <a:ln w="3175">
                        <a:solidFill>
                          <a:schemeClr val="bg1">
                            <a:lumMod val="65000"/>
                          </a:schemeClr>
                        </a:solidFill>
                        <a:prstDash val="lgDash"/>
                      </a:ln>
                    </wps:spPr>
                    <wps:txbx>
                      <w:txbxContent>
                        <w:p w:rsidR="00F73EE0" w:rsidRPr="00FD02CC" w:rsidP="006E67D8" w14:textId="008297F6">
                          <w:pPr>
                            <w:rPr>
                              <w:color w:val="FFFFFF" w:themeColor="background1"/>
                              <w14:textOutline w14:w="19050" w14:cap="rnd" w14:cmpd="dbl">
                                <w14:solidFill>
                                  <w14:schemeClr w14:val="bg1">
                                    <w14:lumMod w14:val="65000"/>
                                  </w14:schemeClr>
                                </w14:solidFill>
                                <w14:prstDash w14:val="dash"/>
                                <w14:bevel/>
                              </w14:textOutline>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3" o:spid="_x0000_s2051" type="#_x0000_t202" style="width:510.25pt;height:708.65pt;margin-top:-82.9pt;margin-left:-75.2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42880" filled="f" strokecolor="#a5a5a5" strokeweight="0.25pt">
              <v:stroke dashstyle="longDash"/>
              <v:textbox>
                <w:txbxContent>
                  <w:p w:rsidR="00F73EE0" w:rsidRPr="00FD02CC" w:rsidP="006E67D8" w14:paraId="3092A244" w14:textId="008297F6">
                    <w:pPr>
                      <w:rPr>
                        <w:color w:val="FFFFFF" w:themeColor="background1"/>
                        <w14:textOutline w14:w="19050" w14:cap="rnd" w14:cmpd="dbl">
                          <w14:solidFill>
                            <w14:schemeClr w14:val="bg1">
                              <w14:lumMod w14:val="65000"/>
                            </w14:schemeClr>
                          </w14:solidFill>
                          <w14:prstDash w14:val="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62336" behindDoc="0" locked="0" layoutInCell="1" allowOverlap="1">
              <wp:simplePos x="0" y="0"/>
              <wp:positionH relativeFrom="column">
                <wp:posOffset>-716280</wp:posOffset>
              </wp:positionH>
              <wp:positionV relativeFrom="paragraph">
                <wp:posOffset>-729615</wp:posOffset>
              </wp:positionV>
              <wp:extent cx="304800" cy="7958455"/>
              <wp:effectExtent l="0" t="0" r="19050" b="23495"/>
              <wp:wrapSquare wrapText="bothSides"/>
              <wp:docPr id="41" name="Text Box 17">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04800" cy="7958455"/>
                      </a:xfrm>
                      <a:prstGeom prst="rect">
                        <a:avLst/>
                      </a:prstGeom>
                      <a:solidFill>
                        <a:srgbClr val="00305F"/>
                      </a:solidFill>
                      <a:ln>
                        <a:solidFill>
                          <a:srgbClr val="00305F"/>
                        </a:solidFill>
                      </a:ln>
                    </wps:spPr>
                    <wps:txbx>
                      <w:txbxContent>
                        <w:p w:rsidR="00F73EE0" w:rsidRPr="009B7D1B" w:rsidP="00F20E3F" w14:textId="342AF0CE">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00055BE3">
                            <w:rPr>
                              <w:rFonts w:hint="cs"/>
                              <w:rtl/>
                            </w:rPr>
                            <w:t xml:space="preserve">   </w:t>
                          </w:r>
                          <w:r>
                            <w:rPr>
                              <w:rFonts w:hint="cs"/>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r w:rsidRPr="00565F1B" w:rsidR="00A57B23">
                            <w:rPr>
                              <w:rFonts w:ascii="Tahoma" w:hAnsi="Tahoma" w:cs="Tahoma" w:hint="cs"/>
                              <w:sz w:val="24"/>
                              <w:szCs w:val="24"/>
                              <w:rtl/>
                            </w:rPr>
                            <w:t xml:space="preserve"> </w:t>
                          </w:r>
                          <w:r w:rsidRPr="00565F1B" w:rsidR="00A57B23">
                            <w:rPr>
                              <w:rFonts w:ascii="Tahoma" w:hAnsi="Tahoma" w:cs="Tahoma" w:hint="cs"/>
                              <w:rtl/>
                            </w:rPr>
                            <w:t xml:space="preserve"> </w:t>
                          </w:r>
                          <w:r w:rsidRPr="0011243F" w:rsidR="0011243F">
                            <w:rPr>
                              <w:rFonts w:ascii="Tahoma" w:hAnsi="Tahoma" w:cs="Tahoma"/>
                              <w:b/>
                              <w:bCs/>
                              <w:rtl/>
                            </w:rPr>
                            <w:t xml:space="preserve">היבטים כלכליים, היבטי מיסוי והיבטים פיננסיים של </w:t>
                          </w:r>
                          <w:r w:rsidR="00BD0341">
                            <w:rPr>
                              <w:rFonts w:ascii="Tahoma" w:hAnsi="Tahoma" w:cs="Tahoma" w:hint="cs"/>
                              <w:b/>
                              <w:bCs/>
                              <w:rtl/>
                            </w:rPr>
                            <w:t>שינויי</w:t>
                          </w:r>
                          <w:r w:rsidRPr="0011243F" w:rsidR="0011243F">
                            <w:rPr>
                              <w:rFonts w:ascii="Tahoma" w:hAnsi="Tahoma" w:cs="Tahoma"/>
                              <w:b/>
                              <w:bCs/>
                              <w:rtl/>
                            </w:rPr>
                            <w:t xml:space="preserve"> האקלים</w:t>
                          </w:r>
                        </w:p>
                      </w:txbxContent>
                    </wps:txbx>
                    <wps:bodyPr rot="0" vert="vert270"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7" o:spid="_x0000_s2052" type="#_x0000_t202" alt="&quot;&quot;" style="width:24pt;height:626.65pt;margin-top:-57.45pt;margin-left:-56.4pt;mso-height-percent:0;mso-height-relative:margin;mso-width-percent:0;mso-width-relative:margin;mso-wrap-distance-bottom:0;mso-wrap-distance-left:9pt;mso-wrap-distance-right:9pt;mso-wrap-distance-top:0;mso-wrap-style:square;position:absolute;visibility:visible;v-text-anchor:top;z-index:251663360" fillcolor="#00305f" strokecolor="#00305f">
              <v:textbox style="layout-flow:vertical;mso-layout-flow-alt:bottom-to-top" inset="0,0,0,0">
                <w:txbxContent>
                  <w:p w:rsidR="00F73EE0" w:rsidRPr="009B7D1B" w:rsidP="00F20E3F" w14:paraId="77809697" w14:textId="342AF0CE">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00055BE3">
                      <w:rPr>
                        <w:rFonts w:hint="cs"/>
                        <w:rtl/>
                      </w:rPr>
                      <w:t xml:space="preserve">   </w:t>
                    </w:r>
                    <w:r>
                      <w:rPr>
                        <w:rFonts w:hint="cs"/>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r w:rsidRPr="00565F1B" w:rsidR="00A57B23">
                      <w:rPr>
                        <w:rFonts w:ascii="Tahoma" w:hAnsi="Tahoma" w:cs="Tahoma" w:hint="cs"/>
                        <w:sz w:val="24"/>
                        <w:szCs w:val="24"/>
                        <w:rtl/>
                      </w:rPr>
                      <w:t xml:space="preserve"> </w:t>
                    </w:r>
                    <w:r w:rsidRPr="00565F1B" w:rsidR="00A57B23">
                      <w:rPr>
                        <w:rFonts w:ascii="Tahoma" w:hAnsi="Tahoma" w:cs="Tahoma" w:hint="cs"/>
                        <w:rtl/>
                      </w:rPr>
                      <w:t xml:space="preserve"> </w:t>
                    </w:r>
                    <w:r w:rsidRPr="0011243F" w:rsidR="0011243F">
                      <w:rPr>
                        <w:rFonts w:ascii="Tahoma" w:hAnsi="Tahoma" w:cs="Tahoma"/>
                        <w:b/>
                        <w:bCs/>
                        <w:rtl/>
                      </w:rPr>
                      <w:t xml:space="preserve">היבטים כלכליים, היבטי מיסוי והיבטים פיננסיים של </w:t>
                    </w:r>
                    <w:r w:rsidR="00BD0341">
                      <w:rPr>
                        <w:rFonts w:ascii="Tahoma" w:hAnsi="Tahoma" w:cs="Tahoma" w:hint="cs"/>
                        <w:b/>
                        <w:bCs/>
                        <w:rtl/>
                      </w:rPr>
                      <w:t>שינויי</w:t>
                    </w:r>
                    <w:r w:rsidRPr="0011243F" w:rsidR="0011243F">
                      <w:rPr>
                        <w:rFonts w:ascii="Tahoma" w:hAnsi="Tahoma" w:cs="Tahoma"/>
                        <w:b/>
                        <w:bCs/>
                        <w:rtl/>
                      </w:rPr>
                      <w:t xml:space="preserve"> האקלים</w:t>
                    </w:r>
                  </w:p>
                </w:txbxContent>
              </v:textbox>
              <w10:wrap type="square"/>
            </v:shape>
          </w:pict>
        </mc:Fallback>
      </mc:AlternateContent>
    </w:r>
  </w:p>
  <w:p w:rsidR="00F73EE0" w:rsidP="001526AC" w14:paraId="18DE0C7A" w14:textId="26DB997D">
    <w:pPr>
      <w:pStyle w:val="Header"/>
      <w:tabs>
        <w:tab w:val="left" w:pos="493"/>
        <w:tab w:val="center" w:pos="4111"/>
        <w:tab w:val="clear" w:pos="4153"/>
        <w:tab w:val="right" w:pos="7478"/>
        <w:tab w:val="right" w:pos="8222"/>
        <w:tab w:val="clear" w:pos="8306"/>
      </w:tabs>
      <w:jc w:val="left"/>
      <w:rPr>
        <w:rtl/>
      </w:rPr>
    </w:pPr>
  </w:p>
  <w:p w:rsidR="00F73EE0" w:rsidRPr="001526AC" w:rsidP="00005B23" w14:paraId="1172F310" w14:textId="5FF71C21">
    <w:pPr>
      <w:pStyle w:val="Header"/>
      <w:tabs>
        <w:tab w:val="left" w:pos="493"/>
        <w:tab w:val="center" w:pos="4111"/>
        <w:tab w:val="clear" w:pos="4153"/>
        <w:tab w:val="right" w:pos="7478"/>
        <w:tab w:val="right" w:pos="8222"/>
        <w:tab w:val="clear" w:pos="8306"/>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58240" behindDoc="0" locked="0" layoutInCell="1" allowOverlap="1">
              <wp:simplePos x="0" y="0"/>
              <wp:positionH relativeFrom="column">
                <wp:posOffset>266156</wp:posOffset>
              </wp:positionH>
              <wp:positionV relativeFrom="paragraph">
                <wp:posOffset>351791</wp:posOffset>
              </wp:positionV>
              <wp:extent cx="4660232" cy="231866"/>
              <wp:effectExtent l="0" t="0" r="13970" b="9525"/>
              <wp:wrapNone/>
              <wp:docPr id="4" name="Text Box 2">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660232" cy="231866"/>
                      </a:xfrm>
                      <a:prstGeom prst="rect">
                        <a:avLst/>
                      </a:prstGeom>
                      <a:solidFill>
                        <a:srgbClr val="FFFFFF"/>
                      </a:solidFill>
                      <a:ln w="9525">
                        <a:solidFill>
                          <a:schemeClr val="bg1"/>
                        </a:solidFill>
                        <a:miter lim="800000"/>
                        <a:headEnd/>
                        <a:tailEnd/>
                      </a:ln>
                    </wps:spPr>
                    <wps:txbx>
                      <w:txbxContent>
                        <w:p w:rsidR="00586525" w:rsidRPr="009C0EAC" w:rsidP="00586525" w14:textId="1F16CCA3">
                          <w:pPr>
                            <w:jc w:val="right"/>
                            <w:rPr>
                              <w:rFonts w:ascii="Tahoma" w:hAnsi="Tahoma" w:cs="Tahoma"/>
                              <w:color w:val="0D0D0D" w:themeColor="text1" w:themeTint="F2"/>
                              <w:sz w:val="14"/>
                              <w:szCs w:val="14"/>
                            </w:rPr>
                          </w:pPr>
                          <w:r w:rsidRPr="009C0EAC">
                            <w:rPr>
                              <w:rFonts w:ascii="Tahoma" w:hAnsi="Tahoma" w:cs="Tahoma"/>
                              <w:color w:val="0D0D0D" w:themeColor="text1" w:themeTint="F2"/>
                              <w:sz w:val="14"/>
                              <w:szCs w:val="14"/>
                              <w:rtl/>
                            </w:rPr>
                            <w:t>מבקר המדינה | פעולות ממשלת ישראל והיערכותה למשבר האקלים - ביקורת מעקב מורחבת | התשפ"ד-</w:t>
                          </w:r>
                          <w:r w:rsidR="00467D31">
                            <w:rPr>
                              <w:rFonts w:ascii="Tahoma" w:hAnsi="Tahoma" w:cs="Tahoma" w:hint="cs"/>
                              <w:color w:val="0D0D0D" w:themeColor="text1" w:themeTint="F2"/>
                              <w:sz w:val="14"/>
                              <w:szCs w:val="14"/>
                              <w:rtl/>
                            </w:rPr>
                            <w:t>2024</w:t>
                          </w:r>
                        </w:p>
                        <w:p w:rsidR="00F73EE0" w:rsidRPr="00586525" w:rsidP="00B244B0" w14:textId="33A128C8">
                          <w:pPr>
                            <w:jc w:val="right"/>
                            <w:rPr>
                              <w:color w:val="0D0D0D" w:themeColor="text1" w:themeTint="F2"/>
                              <w:sz w:val="16"/>
                              <w:szCs w:val="16"/>
                            </w:rPr>
                          </w:pP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2053" type="#_x0000_t202" alt="&quot;&quot;" style="width:366.95pt;height:18.25pt;margin-top:27.7pt;margin-left:20.95pt;mso-height-percent:0;mso-height-relative:margin;mso-width-percent:0;mso-width-relative:margin;mso-wrap-distance-bottom:3.6pt;mso-wrap-distance-left:9pt;mso-wrap-distance-right:9pt;mso-wrap-distance-top:3.6pt;mso-wrap-style:square;position:absolute;visibility:visible;v-text-anchor:top;z-index:251659264" strokecolor="white">
              <v:textbox>
                <w:txbxContent>
                  <w:p w:rsidR="00586525" w:rsidRPr="009C0EAC" w:rsidP="00586525" w14:paraId="36E43910" w14:textId="1F16CCA3">
                    <w:pPr>
                      <w:jc w:val="right"/>
                      <w:rPr>
                        <w:rFonts w:ascii="Tahoma" w:hAnsi="Tahoma" w:cs="Tahoma"/>
                        <w:color w:val="0D0D0D" w:themeColor="text1" w:themeTint="F2"/>
                        <w:sz w:val="14"/>
                        <w:szCs w:val="14"/>
                      </w:rPr>
                    </w:pPr>
                    <w:r w:rsidRPr="009C0EAC">
                      <w:rPr>
                        <w:rFonts w:ascii="Tahoma" w:hAnsi="Tahoma" w:cs="Tahoma"/>
                        <w:color w:val="0D0D0D" w:themeColor="text1" w:themeTint="F2"/>
                        <w:sz w:val="14"/>
                        <w:szCs w:val="14"/>
                        <w:rtl/>
                      </w:rPr>
                      <w:t>מבקר המדינה | פעולות ממשלת ישראל והיערכותה למשבר האקלים - ביקורת מעקב מורחבת | התשפ"ד-</w:t>
                    </w:r>
                    <w:r w:rsidR="00467D31">
                      <w:rPr>
                        <w:rFonts w:ascii="Tahoma" w:hAnsi="Tahoma" w:cs="Tahoma" w:hint="cs"/>
                        <w:color w:val="0D0D0D" w:themeColor="text1" w:themeTint="F2"/>
                        <w:sz w:val="14"/>
                        <w:szCs w:val="14"/>
                        <w:rtl/>
                      </w:rPr>
                      <w:t>2024</w:t>
                    </w:r>
                  </w:p>
                  <w:p w:rsidR="00F73EE0" w:rsidRPr="00586525" w:rsidP="00B244B0" w14:paraId="1CF273F4" w14:textId="33A128C8">
                    <w:pPr>
                      <w:jc w:val="right"/>
                      <w:rPr>
                        <w:color w:val="0D0D0D" w:themeColor="text1" w:themeTint="F2"/>
                        <w:sz w:val="16"/>
                        <w:szCs w:val="16"/>
                      </w:rPr>
                    </w:pPr>
                  </w:p>
                </w:txbxContent>
              </v:textbox>
            </v:shape>
          </w:pict>
        </mc:Fallback>
      </mc:AlternateContent>
    </w:r>
    <w:r>
      <w:rPr>
        <w:rFonts w:ascii="Tahoma" w:hAnsi="Tahoma" w:cs="Tahoma"/>
        <w:noProof/>
        <w:sz w:val="22"/>
        <w:szCs w:val="22"/>
        <w:rtl/>
        <w:lang w:val="he-IL"/>
      </w:rPr>
      <w:drawing>
        <wp:anchor distT="0" distB="0" distL="114300" distR="114300" simplePos="0" relativeHeight="251669504" behindDoc="0" locked="0" layoutInCell="1" allowOverlap="1">
          <wp:simplePos x="0" y="0"/>
          <wp:positionH relativeFrom="column">
            <wp:posOffset>-59055</wp:posOffset>
          </wp:positionH>
          <wp:positionV relativeFrom="paragraph">
            <wp:posOffset>345440</wp:posOffset>
          </wp:positionV>
          <wp:extent cx="343535" cy="240030"/>
          <wp:effectExtent l="0" t="0" r="0" b="7620"/>
          <wp:wrapSquare wrapText="bothSides"/>
          <wp:docPr id="2075831466" name="תמונה 2075831466">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562859" name="Picture 96">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0288" behindDoc="0" locked="0" layoutInCell="1" allowOverlap="1">
              <wp:simplePos x="0" y="0"/>
              <wp:positionH relativeFrom="column">
                <wp:posOffset>-55880</wp:posOffset>
              </wp:positionH>
              <wp:positionV relativeFrom="paragraph">
                <wp:posOffset>640080</wp:posOffset>
              </wp:positionV>
              <wp:extent cx="6721475" cy="0"/>
              <wp:effectExtent l="0" t="0" r="0" b="0"/>
              <wp:wrapNone/>
              <wp:docPr id="634" name="Straight Connector 634"/>
              <wp:cNvGraphicFramePr/>
              <a:graphic xmlns:a="http://schemas.openxmlformats.org/drawingml/2006/main">
                <a:graphicData uri="http://schemas.microsoft.com/office/word/2010/wordprocessingShape">
                  <wps:wsp xmlns:wps="http://schemas.microsoft.com/office/word/2010/wordprocessingShape">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34" o:spid="_x0000_s2054" style="flip:x;mso-height-percent:0;mso-height-relative:margin;mso-width-percent:0;mso-width-relative:margin;mso-wrap-distance-bottom:0;mso-wrap-distance-left:9pt;mso-wrap-distance-right:9pt;mso-wrap-distance-top:0;mso-wrap-style:square;position:absolute;visibility:visible;z-index:251661312" from="-4.4pt,50.4pt" to="524.85pt,50.4pt" strokecolor="#0d0d0d" strokeweight="0.25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6D658E" w14:paraId="12276F70" w14:textId="39EEB213">
    <w:pPr>
      <w:pStyle w:val="Header"/>
    </w:pPr>
  </w:p>
  <w:p w:rsidR="00E01738" w14:paraId="72F283EE" w14:textId="0DC782B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73EE0" w14:paraId="1D98C7A5" w14:textId="721B4D03">
    <w:pPr>
      <w:pStyle w:val="Header"/>
      <w:rPr>
        <w:rtl/>
      </w:rPr>
    </w:pPr>
    <w:r>
      <w:rPr>
        <w:noProof/>
        <w:rtl/>
        <w:lang w:val="he-IL"/>
      </w:rPr>
      <mc:AlternateContent>
        <mc:Choice Requires="wps">
          <w:drawing>
            <wp:anchor distT="0" distB="0" distL="114300" distR="114300" simplePos="0" relativeHeight="251674624" behindDoc="1" locked="0" layoutInCell="1" allowOverlap="1">
              <wp:simplePos x="0" y="0"/>
              <wp:positionH relativeFrom="margin">
                <wp:posOffset>-954405</wp:posOffset>
              </wp:positionH>
              <wp:positionV relativeFrom="margin">
                <wp:posOffset>-1051560</wp:posOffset>
              </wp:positionV>
              <wp:extent cx="6480000" cy="9000000"/>
              <wp:effectExtent l="0" t="0" r="10160" b="17145"/>
              <wp:wrapNone/>
              <wp:docPr id="31" name="Text Box 31"/>
              <wp:cNvGraphicFramePr/>
              <a:graphic xmlns:a="http://schemas.openxmlformats.org/drawingml/2006/main">
                <a:graphicData uri="http://schemas.microsoft.com/office/word/2010/wordprocessingShape">
                  <wps:wsp xmlns:wps="http://schemas.microsoft.com/office/word/2010/wordprocessingShape">
                    <wps:cNvSpPr txBox="1"/>
                    <wps:spPr>
                      <a:xfrm>
                        <a:off x="0" y="0"/>
                        <a:ext cx="6480000" cy="9000000"/>
                      </a:xfrm>
                      <a:prstGeom prst="rect">
                        <a:avLst/>
                      </a:prstGeom>
                      <a:noFill/>
                      <a:ln w="3175">
                        <a:solidFill>
                          <a:schemeClr val="bg1">
                            <a:lumMod val="65000"/>
                          </a:schemeClr>
                        </a:solidFill>
                        <a:prstDash val="lgDash"/>
                      </a:ln>
                    </wps:spPr>
                    <wps:txbx>
                      <w:txbxContent>
                        <w:p w:rsidR="00F73EE0" w:rsidRPr="00FD02CC" w:rsidP="006E67D8" w14:textId="77777777">
                          <w:pPr>
                            <w:rPr>
                              <w:color w:val="FFFFFF" w:themeColor="background1"/>
                              <w14:textOutline w14:w="12700" w14:cap="rnd" w14:cmpd="dbl">
                                <w14:solidFill>
                                  <w14:srgbClr w14:val="00B050"/>
                                </w14:solidFill>
                                <w14:prstDash w14:val="dash"/>
                                <w14:bevel/>
                              </w14:textOutline>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1" o:spid="_x0000_s2055" type="#_x0000_t202" style="width:510.25pt;height:708.65pt;margin-top:-82.8pt;margin-left:-75.1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40832" filled="f" strokecolor="#a5a5a5" strokeweight="0.25pt">
              <v:stroke dashstyle="longDash"/>
              <v:textbox>
                <w:txbxContent>
                  <w:p w:rsidR="00F73EE0" w:rsidRPr="00FD02CC" w:rsidP="006E67D8" w14:paraId="463FF098" w14:textId="77777777">
                    <w:pPr>
                      <w:rPr>
                        <w:color w:val="FFFFFF" w:themeColor="background1"/>
                        <w14:textOutline w14:w="12700" w14:cap="rnd" w14:cmpd="dbl">
                          <w14:solidFill>
                            <w14:srgbClr w14:val="00B050"/>
                          </w14:solidFill>
                          <w14:prstDash w14:val="dash"/>
                          <w14:bevel/>
                        </w14:textOutline>
                      </w:rPr>
                    </w:pPr>
                  </w:p>
                </w:txbxContent>
              </v:textbox>
              <w10:wrap anchorx="margin" anchory="margin"/>
            </v:shape>
          </w:pict>
        </mc:Fallback>
      </mc:AlternateContent>
    </w:r>
  </w:p>
  <w:p w:rsidR="00F73EE0" w:rsidP="00FD02CC" w14:paraId="7E43B0CF" w14:textId="63DDFE97">
    <w:pPr>
      <w:pStyle w:val="Header"/>
      <w:ind w:firstLine="720"/>
      <w:rPr>
        <w:rtl/>
      </w:rPr>
    </w:pPr>
  </w:p>
  <w:p w:rsidR="00F73EE0" w14:paraId="09A29170" w14:textId="077B7887">
    <w:pPr>
      <w:pStyle w:val="Header"/>
      <w:rPr>
        <w:rtl/>
      </w:rPr>
    </w:pPr>
  </w:p>
  <w:p w:rsidR="00F73EE0" w14:paraId="1CB0A19A" w14:textId="7E7CB891">
    <w:pPr>
      <w:pStyle w:val="Header"/>
      <w:rPr>
        <w:rtl/>
      </w:rPr>
    </w:pPr>
    <w:r w:rsidRPr="006637B9">
      <w:rPr>
        <w:rFonts w:ascii="Tahoma" w:hAnsi="Tahoma" w:cs="Tahoma"/>
        <w:noProof/>
        <w:color w:val="002060"/>
        <w:sz w:val="18"/>
        <w:szCs w:val="18"/>
      </w:rPr>
      <mc:AlternateContent>
        <mc:Choice Requires="wps">
          <w:drawing>
            <wp:anchor distT="0" distB="0" distL="114300" distR="114300" simplePos="0" relativeHeight="251670528" behindDoc="0" locked="0" layoutInCell="1" allowOverlap="1">
              <wp:simplePos x="0" y="0"/>
              <wp:positionH relativeFrom="column">
                <wp:posOffset>-106680</wp:posOffset>
              </wp:positionH>
              <wp:positionV relativeFrom="paragraph">
                <wp:posOffset>205105</wp:posOffset>
              </wp:positionV>
              <wp:extent cx="4536440" cy="280670"/>
              <wp:effectExtent l="0" t="0" r="6985" b="6985"/>
              <wp:wrapSquare wrapText="bothSides"/>
              <wp:docPr id="32"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rsidR="00F73EE0" w:rsidRPr="003D62C4" w:rsidP="00F559D6" w14:textId="5F456D59">
                          <w:pPr>
                            <w:pStyle w:val="Heading1"/>
                            <w:spacing w:line="269" w:lineRule="auto"/>
                            <w:jc w:val="left"/>
                            <w:rPr>
                              <w:rFonts w:ascii="Tahoma" w:hAnsi="Tahoma" w:eastAsiaTheme="minorHAnsi" w:cs="Tahoma"/>
                              <w:bCs w:val="0"/>
                              <w:color w:val="0D0D0D" w:themeColor="text1" w:themeTint="F2"/>
                              <w:sz w:val="16"/>
                              <w:szCs w:val="16"/>
                              <w:u w:val="none"/>
                            </w:rPr>
                          </w:pPr>
                          <w:r>
                            <w:rPr>
                              <w:rFonts w:ascii="Tahoma" w:hAnsi="Tahoma" w:eastAsiaTheme="minorHAnsi" w:cs="Tahoma" w:hint="cs"/>
                              <w:bCs w:val="0"/>
                              <w:color w:val="0D0D0D" w:themeColor="text1" w:themeTint="F2"/>
                              <w:sz w:val="16"/>
                              <w:szCs w:val="16"/>
                              <w:u w:val="none"/>
                              <w:rtl/>
                            </w:rPr>
                            <w:t>שם של הדוח שם של הדוח</w:t>
                          </w:r>
                        </w:p>
                      </w:txbxContent>
                    </wps:txbx>
                    <wps:bodyPr rot="0" vert="horz" wrap="square" anchor="t" anchorCtr="0">
                      <a:spAutoFit/>
                    </wps:bodyPr>
                  </wps:wsp>
                </a:graphicData>
              </a:graphic>
              <wp14:sizeRelH relativeFrom="margin">
                <wp14:pctWidth>0</wp14:pctWidth>
              </wp14:sizeRelH>
            </wp:anchor>
          </w:drawing>
        </mc:Choice>
        <mc:Fallback>
          <w:pict>
            <v:shape id="_x0000_s2056" type="#_x0000_t202" style="width:357.2pt;height:22.1pt;margin-top:16.15pt;margin-left:-8.4pt;mso-width-percent:0;mso-width-relative:margin;mso-wrap-distance-bottom:0;mso-wrap-distance-left:9pt;mso-wrap-distance-right:9pt;mso-wrap-distance-top:0;mso-wrap-style:square;position:absolute;visibility:visible;v-text-anchor:top;z-index:251671552" stroked="f">
              <v:textbox style="mso-fit-shape-to-text:t">
                <w:txbxContent>
                  <w:p w:rsidR="00F73EE0" w:rsidRPr="003D62C4" w:rsidP="00F559D6" w14:paraId="111D0894" w14:textId="5F456D59">
                    <w:pPr>
                      <w:pStyle w:val="Heading1"/>
                      <w:spacing w:line="269" w:lineRule="auto"/>
                      <w:jc w:val="left"/>
                      <w:rPr>
                        <w:rFonts w:ascii="Tahoma" w:hAnsi="Tahoma" w:eastAsiaTheme="minorHAnsi" w:cs="Tahoma"/>
                        <w:bCs w:val="0"/>
                        <w:color w:val="0D0D0D" w:themeColor="text1" w:themeTint="F2"/>
                        <w:sz w:val="16"/>
                        <w:szCs w:val="16"/>
                        <w:u w:val="none"/>
                      </w:rPr>
                    </w:pPr>
                    <w:r>
                      <w:rPr>
                        <w:rFonts w:ascii="Tahoma" w:hAnsi="Tahoma" w:eastAsiaTheme="minorHAnsi" w:cs="Tahoma" w:hint="cs"/>
                        <w:bCs w:val="0"/>
                        <w:color w:val="0D0D0D" w:themeColor="text1" w:themeTint="F2"/>
                        <w:sz w:val="16"/>
                        <w:szCs w:val="16"/>
                        <w:u w:val="none"/>
                        <w:rtl/>
                      </w:rPr>
                      <w:t>שם של הדוח שם של הדוח</w:t>
                    </w:r>
                  </w:p>
                </w:txbxContent>
              </v:textbox>
              <w10:wrap type="square"/>
            </v:shape>
          </w:pict>
        </mc:Fallback>
      </mc:AlternateContent>
    </w:r>
  </w:p>
  <w:p w:rsidR="00F73EE0" w:rsidP="009620E7" w14:paraId="53F52C1C" w14:textId="15562247">
    <w:pPr>
      <w:pStyle w:val="Header"/>
      <w:rPr>
        <w:rtl/>
      </w:rPr>
    </w:pPr>
    <w:r>
      <w:rPr>
        <w:rFonts w:ascii="Tahoma" w:hAnsi="Tahoma" w:cs="Tahoma"/>
        <w:noProof/>
        <w:color w:val="002060"/>
        <w:sz w:val="18"/>
        <w:szCs w:val="18"/>
      </w:rPr>
      <w:drawing>
        <wp:anchor distT="0" distB="0" distL="114300" distR="114300" simplePos="0" relativeHeight="251676672" behindDoc="0" locked="0" layoutInCell="1" allowOverlap="1">
          <wp:simplePos x="0" y="0"/>
          <wp:positionH relativeFrom="column">
            <wp:posOffset>4423410</wp:posOffset>
          </wp:positionH>
          <wp:positionV relativeFrom="paragraph">
            <wp:posOffset>19518</wp:posOffset>
          </wp:positionV>
          <wp:extent cx="248285" cy="298450"/>
          <wp:effectExtent l="0" t="0" r="5715" b="6350"/>
          <wp:wrapNone/>
          <wp:docPr id="18549682" name="תמונה 18549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733354" name="Picture 6"/>
                  <pic:cNvPicPr/>
                </pic:nvPicPr>
                <pic:blipFill>
                  <a:blip xmlns:r="http://schemas.openxmlformats.org/officeDocument/2006/relationships" r:embed="rId1">
                    <a:duotone>
                      <a:schemeClr val="accent2">
                        <a:shade val="45000"/>
                        <a:satMod val="135000"/>
                      </a:schemeClr>
                      <a:prstClr val="white"/>
                    </a:duotone>
                    <a:extLst>
                      <a:ext xmlns:a="http://schemas.openxmlformats.org/drawingml/2006/main"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7456" behindDoc="0" locked="0" layoutInCell="1" allowOverlap="1">
              <wp:simplePos x="0" y="0"/>
              <wp:positionH relativeFrom="column">
                <wp:posOffset>-1392883</wp:posOffset>
              </wp:positionH>
              <wp:positionV relativeFrom="paragraph">
                <wp:posOffset>352841</wp:posOffset>
              </wp:positionV>
              <wp:extent cx="6065760" cy="0"/>
              <wp:effectExtent l="0" t="0" r="0" b="0"/>
              <wp:wrapNone/>
              <wp:docPr id="34" name="Straight Connector 34"/>
              <wp:cNvGraphicFramePr/>
              <a:graphic xmlns:a="http://schemas.openxmlformats.org/drawingml/2006/main">
                <a:graphicData uri="http://schemas.microsoft.com/office/word/2010/wordprocessingShape">
                  <wps:wsp xmlns:wps="http://schemas.microsoft.com/office/word/2010/wordprocessingShape">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4" o:spid="_x0000_s2057" style="flip:x;mso-height-percent:0;mso-height-relative:margin;mso-width-percent:0;mso-width-relative:margin;mso-wrap-distance-bottom:0;mso-wrap-distance-left:9pt;mso-wrap-distance-right:9pt;mso-wrap-distance-top:0;mso-wrap-style:square;position:absolute;visibility:visible;z-index:251668480" from="-109.7pt,27.8pt" to="367.9pt,27.8pt" strokecolor="#0d0d0d" strokeweight="0.25pt"/>
          </w:pict>
        </mc:Fallback>
      </mc:AlternateContent>
    </w:r>
  </w:p>
  <w:p w:rsidR="00D2580C" w14:paraId="5841DBBF" w14:textId="77777777"/>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E71DD" w:rsidP="004E71DD" w14:paraId="0388F2AD" w14:textId="77777777">
    <w:pPr>
      <w:pStyle w:val="Header"/>
      <w:rPr>
        <w:rtl/>
      </w:rPr>
    </w:pPr>
    <w:r>
      <w:rPr>
        <w:noProof/>
        <w:rtl/>
        <w:lang w:val="he-IL"/>
      </w:rPr>
      <mc:AlternateContent>
        <mc:Choice Requires="wps">
          <w:drawing>
            <wp:anchor distT="0" distB="0" distL="114300" distR="114300" simplePos="0" relativeHeight="251677696" behindDoc="1" locked="0" layoutInCell="1" allowOverlap="1">
              <wp:simplePos x="0" y="0"/>
              <wp:positionH relativeFrom="margin">
                <wp:posOffset>-954405</wp:posOffset>
              </wp:positionH>
              <wp:positionV relativeFrom="margin">
                <wp:posOffset>-1051560</wp:posOffset>
              </wp:positionV>
              <wp:extent cx="6480000" cy="9000000"/>
              <wp:effectExtent l="0" t="0" r="16510" b="10795"/>
              <wp:wrapNone/>
              <wp:docPr id="43" name="Text Box 31"/>
              <wp:cNvGraphicFramePr/>
              <a:graphic xmlns:a="http://schemas.openxmlformats.org/drawingml/2006/main">
                <a:graphicData uri="http://schemas.microsoft.com/office/word/2010/wordprocessingShape">
                  <wps:wsp xmlns:wps="http://schemas.microsoft.com/office/word/2010/wordprocessingShape">
                    <wps:cNvSpPr txBox="1"/>
                    <wps:spPr>
                      <a:xfrm>
                        <a:off x="0" y="0"/>
                        <a:ext cx="6480000" cy="9000000"/>
                      </a:xfrm>
                      <a:prstGeom prst="rect">
                        <a:avLst/>
                      </a:prstGeom>
                      <a:noFill/>
                      <a:ln w="3175">
                        <a:solidFill>
                          <a:schemeClr val="bg1">
                            <a:lumMod val="65000"/>
                          </a:schemeClr>
                        </a:solidFill>
                        <a:prstDash val="lgDash"/>
                      </a:ln>
                    </wps:spPr>
                    <wps:txbx>
                      <w:txbxContent>
                        <w:p w:rsidR="004E71DD" w:rsidRPr="00FD02CC" w:rsidP="004E71DD" w14:textId="77777777">
                          <w:pPr>
                            <w:rPr>
                              <w:color w:val="FFFFFF" w:themeColor="background1"/>
                              <w14:textOutline w14:w="12700" w14:cap="rnd" w14:cmpd="dbl">
                                <w14:solidFill>
                                  <w14:srgbClr w14:val="00B050"/>
                                </w14:solidFill>
                                <w14:prstDash w14:val="dash"/>
                                <w14:bevel/>
                              </w14:textOutline>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2058" type="#_x0000_t202" style="width:510.25pt;height:708.65pt;margin-top:-82.8pt;margin-left:-75.1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37760" filled="f" strokecolor="#a5a5a5" strokeweight="0.25pt">
              <v:stroke dashstyle="longDash"/>
              <v:textbox>
                <w:txbxContent>
                  <w:p w:rsidR="004E71DD" w:rsidRPr="00FD02CC" w:rsidP="004E71DD" w14:paraId="6FF77679" w14:textId="77777777">
                    <w:pPr>
                      <w:rPr>
                        <w:color w:val="FFFFFF" w:themeColor="background1"/>
                        <w14:textOutline w14:w="12700" w14:cap="rnd" w14:cmpd="dbl">
                          <w14:solidFill>
                            <w14:srgbClr w14:val="00B050"/>
                          </w14:solidFill>
                          <w14:prstDash w14:val="dash"/>
                          <w14:bevel/>
                        </w14:textOutline>
                      </w:rPr>
                    </w:pPr>
                  </w:p>
                </w:txbxContent>
              </v:textbox>
              <w10:wrap anchorx="margin" anchory="margin"/>
            </v:shape>
          </w:pict>
        </mc:Fallback>
      </mc:AlternateContent>
    </w:r>
  </w:p>
  <w:p w:rsidR="004E71DD" w:rsidP="004E71DD" w14:paraId="79E8F3BE" w14:textId="77777777">
    <w:pPr>
      <w:pStyle w:val="Header"/>
      <w:ind w:firstLine="720"/>
      <w:rPr>
        <w:rtl/>
      </w:rPr>
    </w:pPr>
  </w:p>
  <w:p w:rsidR="004E71DD" w:rsidP="004E71DD" w14:paraId="78DBB37C" w14:textId="77777777">
    <w:pPr>
      <w:pStyle w:val="Header"/>
      <w:rPr>
        <w:rtl/>
      </w:rPr>
    </w:pPr>
  </w:p>
  <w:p w:rsidR="004E71DD" w:rsidP="004E71DD" w14:paraId="1F8198CE" w14:textId="77777777">
    <w:pPr>
      <w:pStyle w:val="Header"/>
      <w:rPr>
        <w:rtl/>
      </w:rPr>
    </w:pPr>
    <w:r w:rsidRPr="006637B9">
      <w:rPr>
        <w:rFonts w:ascii="Tahoma" w:hAnsi="Tahoma" w:cs="Tahoma"/>
        <w:noProof/>
        <w:color w:val="002060"/>
        <w:sz w:val="18"/>
        <w:szCs w:val="18"/>
      </w:rPr>
      <mc:AlternateContent>
        <mc:Choice Requires="wps">
          <w:drawing>
            <wp:anchor distT="0" distB="0" distL="114300" distR="114300" simplePos="0" relativeHeight="251681792" behindDoc="0" locked="0" layoutInCell="1" allowOverlap="1">
              <wp:simplePos x="0" y="0"/>
              <wp:positionH relativeFrom="column">
                <wp:posOffset>-106680</wp:posOffset>
              </wp:positionH>
              <wp:positionV relativeFrom="paragraph">
                <wp:posOffset>205105</wp:posOffset>
              </wp:positionV>
              <wp:extent cx="4536440" cy="280670"/>
              <wp:effectExtent l="0" t="0" r="6985" b="6985"/>
              <wp:wrapSquare wrapText="bothSides"/>
              <wp:docPr id="45" name="Text Box 2">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rsidR="004E71DD" w:rsidRPr="00586525" w:rsidP="00586525" w14:textId="6B91884A">
                          <w:pPr>
                            <w:pStyle w:val="Heading1"/>
                            <w:spacing w:line="269" w:lineRule="auto"/>
                            <w:jc w:val="left"/>
                            <w:rPr>
                              <w:rFonts w:ascii="Tahoma" w:hAnsi="Tahoma" w:eastAsiaTheme="minorHAnsi" w:cs="Tahoma"/>
                              <w:bCs w:val="0"/>
                              <w:color w:val="0D0D0D" w:themeColor="text1" w:themeTint="F2"/>
                              <w:sz w:val="16"/>
                              <w:szCs w:val="16"/>
                              <w:u w:val="none"/>
                            </w:rPr>
                          </w:pPr>
                          <w:r w:rsidRPr="009C0EAC">
                            <w:rPr>
                              <w:rFonts w:ascii="Tahoma" w:hAnsi="Tahoma" w:eastAsiaTheme="minorHAnsi" w:cs="Tahoma"/>
                              <w:bCs w:val="0"/>
                              <w:color w:val="0D0D0D" w:themeColor="text1" w:themeTint="F2"/>
                              <w:sz w:val="16"/>
                              <w:szCs w:val="16"/>
                              <w:u w:val="none"/>
                              <w:rtl/>
                            </w:rPr>
                            <w:t xml:space="preserve">פרק </w:t>
                          </w:r>
                          <w:r w:rsidR="00D027E9">
                            <w:rPr>
                              <w:rFonts w:ascii="Tahoma" w:hAnsi="Tahoma" w:eastAsiaTheme="minorHAnsi" w:cs="Tahoma" w:hint="cs"/>
                              <w:bCs w:val="0"/>
                              <w:color w:val="0D0D0D" w:themeColor="text1" w:themeTint="F2"/>
                              <w:sz w:val="16"/>
                              <w:szCs w:val="16"/>
                              <w:u w:val="none"/>
                              <w:rtl/>
                            </w:rPr>
                            <w:t>3</w:t>
                          </w:r>
                          <w:r w:rsidRPr="009C0EAC">
                            <w:rPr>
                              <w:rFonts w:ascii="Tahoma" w:hAnsi="Tahoma" w:eastAsiaTheme="minorHAnsi" w:cs="Tahoma"/>
                              <w:bCs w:val="0"/>
                              <w:color w:val="0D0D0D" w:themeColor="text1" w:themeTint="F2"/>
                              <w:sz w:val="16"/>
                              <w:szCs w:val="16"/>
                              <w:u w:val="none"/>
                              <w:rtl/>
                            </w:rPr>
                            <w:t xml:space="preserve"> | </w:t>
                          </w:r>
                          <w:r w:rsidRPr="0011243F" w:rsidR="0011243F">
                            <w:rPr>
                              <w:rFonts w:ascii="Tahoma" w:hAnsi="Tahoma" w:eastAsiaTheme="minorHAnsi" w:cs="Tahoma"/>
                              <w:bCs w:val="0"/>
                              <w:color w:val="0D0D0D" w:themeColor="text1" w:themeTint="F2"/>
                              <w:sz w:val="16"/>
                              <w:szCs w:val="16"/>
                              <w:u w:val="none"/>
                              <w:rtl/>
                            </w:rPr>
                            <w:t xml:space="preserve">היבטים כלכליים, היבטי מיסוי והיבטים פיננסיים של </w:t>
                          </w:r>
                          <w:r w:rsidR="00BD0341">
                            <w:rPr>
                              <w:rFonts w:ascii="Tahoma" w:hAnsi="Tahoma" w:eastAsiaTheme="minorHAnsi" w:cs="Tahoma" w:hint="cs"/>
                              <w:bCs w:val="0"/>
                              <w:color w:val="0D0D0D" w:themeColor="text1" w:themeTint="F2"/>
                              <w:sz w:val="16"/>
                              <w:szCs w:val="16"/>
                              <w:u w:val="none"/>
                              <w:rtl/>
                            </w:rPr>
                            <w:t>שינויי</w:t>
                          </w:r>
                          <w:r w:rsidRPr="0011243F" w:rsidR="0011243F">
                            <w:rPr>
                              <w:rFonts w:ascii="Tahoma" w:hAnsi="Tahoma" w:eastAsiaTheme="minorHAnsi" w:cs="Tahoma"/>
                              <w:bCs w:val="0"/>
                              <w:color w:val="0D0D0D" w:themeColor="text1" w:themeTint="F2"/>
                              <w:sz w:val="16"/>
                              <w:szCs w:val="16"/>
                              <w:u w:val="none"/>
                              <w:rtl/>
                            </w:rPr>
                            <w:t xml:space="preserve"> האקלים</w:t>
                          </w:r>
                        </w:p>
                      </w:txbxContent>
                    </wps:txbx>
                    <wps:bodyPr rot="0" vert="horz" wrap="square" anchor="t" anchorCtr="0">
                      <a:spAutoFit/>
                    </wps:bodyPr>
                  </wps:wsp>
                </a:graphicData>
              </a:graphic>
              <wp14:sizeRelH relativeFrom="margin">
                <wp14:pctWidth>0</wp14:pctWidth>
              </wp14:sizeRelH>
            </wp:anchor>
          </w:drawing>
        </mc:Choice>
        <mc:Fallback>
          <w:pict>
            <v:shape id="_x0000_s2059" type="#_x0000_t202" alt="&quot;&quot;" style="width:357.2pt;height:22.1pt;margin-top:16.15pt;margin-left:-8.4pt;mso-width-percent:0;mso-width-relative:margin;mso-wrap-distance-bottom:0;mso-wrap-distance-left:9pt;mso-wrap-distance-right:9pt;mso-wrap-distance-top:0;mso-wrap-style:square;position:absolute;visibility:visible;v-text-anchor:top;z-index:251682816" stroked="f">
              <v:textbox style="mso-fit-shape-to-text:t">
                <w:txbxContent>
                  <w:p w:rsidR="004E71DD" w:rsidRPr="00586525" w:rsidP="00586525" w14:paraId="66EBAA16" w14:textId="6B91884A">
                    <w:pPr>
                      <w:pStyle w:val="Heading1"/>
                      <w:spacing w:line="269" w:lineRule="auto"/>
                      <w:jc w:val="left"/>
                      <w:rPr>
                        <w:rFonts w:ascii="Tahoma" w:hAnsi="Tahoma" w:eastAsiaTheme="minorHAnsi" w:cs="Tahoma"/>
                        <w:bCs w:val="0"/>
                        <w:color w:val="0D0D0D" w:themeColor="text1" w:themeTint="F2"/>
                        <w:sz w:val="16"/>
                        <w:szCs w:val="16"/>
                        <w:u w:val="none"/>
                      </w:rPr>
                    </w:pPr>
                    <w:r w:rsidRPr="009C0EAC">
                      <w:rPr>
                        <w:rFonts w:ascii="Tahoma" w:hAnsi="Tahoma" w:eastAsiaTheme="minorHAnsi" w:cs="Tahoma"/>
                        <w:bCs w:val="0"/>
                        <w:color w:val="0D0D0D" w:themeColor="text1" w:themeTint="F2"/>
                        <w:sz w:val="16"/>
                        <w:szCs w:val="16"/>
                        <w:u w:val="none"/>
                        <w:rtl/>
                      </w:rPr>
                      <w:t xml:space="preserve">פרק </w:t>
                    </w:r>
                    <w:r w:rsidR="00D027E9">
                      <w:rPr>
                        <w:rFonts w:ascii="Tahoma" w:hAnsi="Tahoma" w:eastAsiaTheme="minorHAnsi" w:cs="Tahoma" w:hint="cs"/>
                        <w:bCs w:val="0"/>
                        <w:color w:val="0D0D0D" w:themeColor="text1" w:themeTint="F2"/>
                        <w:sz w:val="16"/>
                        <w:szCs w:val="16"/>
                        <w:u w:val="none"/>
                        <w:rtl/>
                      </w:rPr>
                      <w:t>3</w:t>
                    </w:r>
                    <w:r w:rsidRPr="009C0EAC">
                      <w:rPr>
                        <w:rFonts w:ascii="Tahoma" w:hAnsi="Tahoma" w:eastAsiaTheme="minorHAnsi" w:cs="Tahoma"/>
                        <w:bCs w:val="0"/>
                        <w:color w:val="0D0D0D" w:themeColor="text1" w:themeTint="F2"/>
                        <w:sz w:val="16"/>
                        <w:szCs w:val="16"/>
                        <w:u w:val="none"/>
                        <w:rtl/>
                      </w:rPr>
                      <w:t xml:space="preserve"> | </w:t>
                    </w:r>
                    <w:r w:rsidRPr="0011243F" w:rsidR="0011243F">
                      <w:rPr>
                        <w:rFonts w:ascii="Tahoma" w:hAnsi="Tahoma" w:eastAsiaTheme="minorHAnsi" w:cs="Tahoma"/>
                        <w:bCs w:val="0"/>
                        <w:color w:val="0D0D0D" w:themeColor="text1" w:themeTint="F2"/>
                        <w:sz w:val="16"/>
                        <w:szCs w:val="16"/>
                        <w:u w:val="none"/>
                        <w:rtl/>
                      </w:rPr>
                      <w:t xml:space="preserve">היבטים כלכליים, היבטי מיסוי והיבטים פיננסיים של </w:t>
                    </w:r>
                    <w:r w:rsidR="00BD0341">
                      <w:rPr>
                        <w:rFonts w:ascii="Tahoma" w:hAnsi="Tahoma" w:eastAsiaTheme="minorHAnsi" w:cs="Tahoma" w:hint="cs"/>
                        <w:bCs w:val="0"/>
                        <w:color w:val="0D0D0D" w:themeColor="text1" w:themeTint="F2"/>
                        <w:sz w:val="16"/>
                        <w:szCs w:val="16"/>
                        <w:u w:val="none"/>
                        <w:rtl/>
                      </w:rPr>
                      <w:t>שינויי</w:t>
                    </w:r>
                    <w:r w:rsidRPr="0011243F" w:rsidR="0011243F">
                      <w:rPr>
                        <w:rFonts w:ascii="Tahoma" w:hAnsi="Tahoma" w:eastAsiaTheme="minorHAnsi" w:cs="Tahoma"/>
                        <w:bCs w:val="0"/>
                        <w:color w:val="0D0D0D" w:themeColor="text1" w:themeTint="F2"/>
                        <w:sz w:val="16"/>
                        <w:szCs w:val="16"/>
                        <w:u w:val="none"/>
                        <w:rtl/>
                      </w:rPr>
                      <w:t xml:space="preserve"> האקלים</w:t>
                    </w:r>
                  </w:p>
                </w:txbxContent>
              </v:textbox>
              <w10:wrap type="square"/>
            </v:shape>
          </w:pict>
        </mc:Fallback>
      </mc:AlternateContent>
    </w:r>
  </w:p>
  <w:p w:rsidR="004E71DD" w:rsidP="004E71DD" w14:paraId="49CFDAF2" w14:textId="77777777">
    <w:pPr>
      <w:pStyle w:val="Header"/>
      <w:rPr>
        <w:rtl/>
      </w:rPr>
    </w:pPr>
    <w:r>
      <w:rPr>
        <w:rFonts w:ascii="Tahoma" w:hAnsi="Tahoma" w:cs="Tahoma"/>
        <w:noProof/>
        <w:color w:val="002060"/>
        <w:sz w:val="18"/>
        <w:szCs w:val="18"/>
      </w:rPr>
      <w:drawing>
        <wp:anchor distT="0" distB="0" distL="114300" distR="114300" simplePos="0" relativeHeight="251683840" behindDoc="0" locked="0" layoutInCell="1" allowOverlap="1">
          <wp:simplePos x="0" y="0"/>
          <wp:positionH relativeFrom="column">
            <wp:posOffset>4423410</wp:posOffset>
          </wp:positionH>
          <wp:positionV relativeFrom="paragraph">
            <wp:posOffset>19518</wp:posOffset>
          </wp:positionV>
          <wp:extent cx="248285" cy="298450"/>
          <wp:effectExtent l="0" t="0" r="5715" b="6350"/>
          <wp:wrapNone/>
          <wp:docPr id="48" name="Picture 97">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132656" name="Picture 97">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1">
                    <a:duotone>
                      <a:schemeClr val="accent2">
                        <a:shade val="45000"/>
                        <a:satMod val="135000"/>
                      </a:schemeClr>
                      <a:prstClr val="white"/>
                    </a:duotone>
                    <a:extLst>
                      <a:ext xmlns:a="http://schemas.openxmlformats.org/drawingml/2006/main"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9744" behindDoc="0" locked="0" layoutInCell="1" allowOverlap="1">
              <wp:simplePos x="0" y="0"/>
              <wp:positionH relativeFrom="column">
                <wp:posOffset>-1392883</wp:posOffset>
              </wp:positionH>
              <wp:positionV relativeFrom="paragraph">
                <wp:posOffset>352841</wp:posOffset>
              </wp:positionV>
              <wp:extent cx="6065760" cy="0"/>
              <wp:effectExtent l="0" t="0" r="0" b="0"/>
              <wp:wrapNone/>
              <wp:docPr id="47" name="Straight Connector 34"/>
              <wp:cNvGraphicFramePr/>
              <a:graphic xmlns:a="http://schemas.openxmlformats.org/drawingml/2006/main">
                <a:graphicData uri="http://schemas.microsoft.com/office/word/2010/wordprocessingShape">
                  <wps:wsp xmlns:wps="http://schemas.microsoft.com/office/word/2010/wordprocessingShape">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4" o:spid="_x0000_s2060" style="flip:x;mso-height-percent:0;mso-height-relative:margin;mso-width-percent:0;mso-width-relative:margin;mso-wrap-distance-bottom:0;mso-wrap-distance-left:9pt;mso-wrap-distance-right:9pt;mso-wrap-distance-top:0;mso-wrap-style:square;position:absolute;visibility:visible;z-index:251680768" from="-109.7pt,27.8pt" to="367.9pt,27.8pt" strokecolor="#0d0d0d" strokeweight="0.25pt"/>
          </w:pict>
        </mc:Fallback>
      </mc:AlternateContent>
    </w:r>
  </w:p>
  <w:p w:rsidR="008B694B" w:rsidRPr="004E71DD" w:rsidP="004E71DD" w14:paraId="4E47EA6D" w14:textId="324E80B4">
    <w:pPr>
      <w:pStyle w:val="Header"/>
      <w:rPr>
        <w:szCs w:val="20"/>
        <w:rtl/>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E56721" w:rsidP="001526AC" w14:paraId="1AA96B7A" w14:textId="77777777">
    <w:pPr>
      <w:pStyle w:val="Header"/>
      <w:tabs>
        <w:tab w:val="left" w:pos="493"/>
        <w:tab w:val="center" w:pos="4111"/>
        <w:tab w:val="clear" w:pos="4153"/>
        <w:tab w:val="right" w:pos="7478"/>
        <w:tab w:val="right" w:pos="8222"/>
        <w:tab w:val="clear" w:pos="8306"/>
      </w:tabs>
      <w:jc w:val="left"/>
      <w:rPr>
        <w:rtl/>
      </w:rPr>
    </w:pPr>
    <w:r>
      <w:rPr>
        <w:noProof/>
        <w:rtl/>
        <w:lang w:val="he-IL"/>
      </w:rPr>
      <mc:AlternateContent>
        <mc:Choice Requires="wps">
          <w:drawing>
            <wp:anchor distT="0" distB="0" distL="114300" distR="114300" simplePos="0" relativeHeight="251692032" behindDoc="1" locked="0" layoutInCell="1" allowOverlap="1">
              <wp:simplePos x="0" y="0"/>
              <wp:positionH relativeFrom="margin">
                <wp:posOffset>-955675</wp:posOffset>
              </wp:positionH>
              <wp:positionV relativeFrom="margin">
                <wp:posOffset>-1052830</wp:posOffset>
              </wp:positionV>
              <wp:extent cx="6480000" cy="9000000"/>
              <wp:effectExtent l="0" t="0" r="16510" b="10795"/>
              <wp:wrapNone/>
              <wp:docPr id="59" name="Text Box 53"/>
              <wp:cNvGraphicFramePr/>
              <a:graphic xmlns:a="http://schemas.openxmlformats.org/drawingml/2006/main">
                <a:graphicData uri="http://schemas.microsoft.com/office/word/2010/wordprocessingShape">
                  <wps:wsp xmlns:wps="http://schemas.microsoft.com/office/word/2010/wordprocessingShape">
                    <wps:cNvSpPr txBox="1"/>
                    <wps:spPr>
                      <a:xfrm>
                        <a:off x="0" y="0"/>
                        <a:ext cx="6480000" cy="9000000"/>
                      </a:xfrm>
                      <a:prstGeom prst="rect">
                        <a:avLst/>
                      </a:prstGeom>
                      <a:noFill/>
                      <a:ln w="3175">
                        <a:solidFill>
                          <a:schemeClr val="bg1">
                            <a:lumMod val="65000"/>
                          </a:schemeClr>
                        </a:solidFill>
                        <a:prstDash val="lgDash"/>
                      </a:ln>
                    </wps:spPr>
                    <wps:txbx>
                      <w:txbxContent>
                        <w:p w:rsidR="00E56721" w:rsidRPr="00FD02CC" w:rsidP="006E67D8" w14:textId="77777777">
                          <w:pPr>
                            <w:rPr>
                              <w:color w:val="FFFFFF" w:themeColor="background1"/>
                              <w14:textOutline w14:w="19050" w14:cap="rnd" w14:cmpd="dbl">
                                <w14:solidFill>
                                  <w14:schemeClr w14:val="bg1">
                                    <w14:lumMod w14:val="65000"/>
                                  </w14:schemeClr>
                                </w14:solidFill>
                                <w14:prstDash w14:val="dash"/>
                                <w14:bevel/>
                              </w14:textOutline>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2061" type="#_x0000_t202" style="width:510.25pt;height:708.65pt;margin-top:-82.9pt;margin-left:-75.2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23424" filled="f" strokecolor="#a5a5a5" strokeweight="0.25pt">
              <v:stroke dashstyle="longDash"/>
              <v:textbox>
                <w:txbxContent>
                  <w:p w:rsidR="00E56721" w:rsidRPr="00FD02CC" w:rsidP="006E67D8" w14:paraId="64DE32B9" w14:textId="77777777">
                    <w:pPr>
                      <w:rPr>
                        <w:color w:val="FFFFFF" w:themeColor="background1"/>
                        <w14:textOutline w14:w="19050" w14:cap="rnd" w14:cmpd="dbl">
                          <w14:solidFill>
                            <w14:schemeClr w14:val="bg1">
                              <w14:lumMod w14:val="65000"/>
                            </w14:schemeClr>
                          </w14:solidFill>
                          <w14:prstDash w14:val="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88960" behindDoc="0" locked="0" layoutInCell="1" allowOverlap="1">
              <wp:simplePos x="0" y="0"/>
              <wp:positionH relativeFrom="column">
                <wp:posOffset>-716280</wp:posOffset>
              </wp:positionH>
              <wp:positionV relativeFrom="paragraph">
                <wp:posOffset>-729615</wp:posOffset>
              </wp:positionV>
              <wp:extent cx="304800" cy="7958455"/>
              <wp:effectExtent l="0" t="0" r="19050" b="23495"/>
              <wp:wrapSquare wrapText="bothSides"/>
              <wp:docPr id="60" name="Text Box 17">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04800" cy="7958455"/>
                      </a:xfrm>
                      <a:prstGeom prst="rect">
                        <a:avLst/>
                      </a:prstGeom>
                      <a:solidFill>
                        <a:srgbClr val="00305F"/>
                      </a:solidFill>
                      <a:ln>
                        <a:solidFill>
                          <a:srgbClr val="00305F"/>
                        </a:solidFill>
                      </a:ln>
                    </wps:spPr>
                    <wps:txbx>
                      <w:txbxContent>
                        <w:p w:rsidR="00E56721" w:rsidRPr="009B7D1B" w:rsidP="00D027E9" w14:textId="21EC9BD9">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rtl/>
                            </w:rPr>
                            <w:t>|</w:t>
                          </w:r>
                          <w:r w:rsidRPr="00565F1B">
                            <w:rPr>
                              <w:rFonts w:ascii="Tahoma" w:hAnsi="Tahoma" w:cs="Tahoma" w:hint="cs"/>
                              <w:sz w:val="24"/>
                              <w:szCs w:val="24"/>
                              <w:rtl/>
                            </w:rPr>
                            <w:t xml:space="preserve"> </w:t>
                          </w:r>
                          <w:r w:rsidRPr="00565F1B">
                            <w:rPr>
                              <w:rFonts w:ascii="Tahoma" w:hAnsi="Tahoma" w:cs="Tahoma" w:hint="cs"/>
                              <w:rtl/>
                            </w:rPr>
                            <w:t xml:space="preserve"> </w:t>
                          </w:r>
                          <w:r w:rsidRPr="0011243F" w:rsidR="0011243F">
                            <w:rPr>
                              <w:rFonts w:ascii="Tahoma" w:hAnsi="Tahoma" w:cs="Tahoma"/>
                              <w:b/>
                              <w:bCs/>
                              <w:rtl/>
                            </w:rPr>
                            <w:t xml:space="preserve">היבטים כלכליים, היבטי מיסוי והיבטים פיננסיים של </w:t>
                          </w:r>
                          <w:r w:rsidR="00BD0341">
                            <w:rPr>
                              <w:rFonts w:ascii="Tahoma" w:hAnsi="Tahoma" w:cs="Tahoma" w:hint="cs"/>
                              <w:b/>
                              <w:bCs/>
                              <w:rtl/>
                            </w:rPr>
                            <w:t>שינויי</w:t>
                          </w:r>
                          <w:r w:rsidRPr="0011243F" w:rsidR="0011243F">
                            <w:rPr>
                              <w:rFonts w:ascii="Tahoma" w:hAnsi="Tahoma" w:cs="Tahoma"/>
                              <w:b/>
                              <w:bCs/>
                              <w:rtl/>
                            </w:rPr>
                            <w:t xml:space="preserve"> האקלים</w:t>
                          </w:r>
                        </w:p>
                      </w:txbxContent>
                    </wps:txbx>
                    <wps:bodyPr rot="0" vert="vert270"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_x0000_s2062" type="#_x0000_t202" alt="&quot;&quot;" style="width:24pt;height:626.65pt;margin-top:-57.45pt;margin-left:-56.4pt;mso-height-percent:0;mso-height-relative:margin;mso-width-percent:0;mso-width-relative:margin;mso-wrap-distance-bottom:0;mso-wrap-distance-left:9pt;mso-wrap-distance-right:9pt;mso-wrap-distance-top:0;mso-wrap-style:square;position:absolute;visibility:visible;v-text-anchor:top;z-index:251689984" fillcolor="#00305f" strokecolor="#00305f">
              <v:textbox style="layout-flow:vertical;mso-layout-flow-alt:bottom-to-top" inset="0,0,0,0">
                <w:txbxContent>
                  <w:p w:rsidR="00E56721" w:rsidRPr="009B7D1B" w:rsidP="00D027E9" w14:paraId="3B4CCAD6" w14:textId="21EC9BD9">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rtl/>
                      </w:rPr>
                      <w:t>|</w:t>
                    </w:r>
                    <w:r w:rsidRPr="00565F1B">
                      <w:rPr>
                        <w:rFonts w:ascii="Tahoma" w:hAnsi="Tahoma" w:cs="Tahoma" w:hint="cs"/>
                        <w:sz w:val="24"/>
                        <w:szCs w:val="24"/>
                        <w:rtl/>
                      </w:rPr>
                      <w:t xml:space="preserve"> </w:t>
                    </w:r>
                    <w:r w:rsidRPr="00565F1B">
                      <w:rPr>
                        <w:rFonts w:ascii="Tahoma" w:hAnsi="Tahoma" w:cs="Tahoma" w:hint="cs"/>
                        <w:rtl/>
                      </w:rPr>
                      <w:t xml:space="preserve"> </w:t>
                    </w:r>
                    <w:r w:rsidRPr="0011243F" w:rsidR="0011243F">
                      <w:rPr>
                        <w:rFonts w:ascii="Tahoma" w:hAnsi="Tahoma" w:cs="Tahoma"/>
                        <w:b/>
                        <w:bCs/>
                        <w:rtl/>
                      </w:rPr>
                      <w:t xml:space="preserve">היבטים כלכליים, היבטי מיסוי והיבטים פיננסיים של </w:t>
                    </w:r>
                    <w:r w:rsidR="00BD0341">
                      <w:rPr>
                        <w:rFonts w:ascii="Tahoma" w:hAnsi="Tahoma" w:cs="Tahoma" w:hint="cs"/>
                        <w:b/>
                        <w:bCs/>
                        <w:rtl/>
                      </w:rPr>
                      <w:t>שינויי</w:t>
                    </w:r>
                    <w:r w:rsidRPr="0011243F" w:rsidR="0011243F">
                      <w:rPr>
                        <w:rFonts w:ascii="Tahoma" w:hAnsi="Tahoma" w:cs="Tahoma"/>
                        <w:b/>
                        <w:bCs/>
                        <w:rtl/>
                      </w:rPr>
                      <w:t xml:space="preserve"> האקלים</w:t>
                    </w:r>
                  </w:p>
                </w:txbxContent>
              </v:textbox>
              <w10:wrap type="square"/>
            </v:shape>
          </w:pict>
        </mc:Fallback>
      </mc:AlternateContent>
    </w:r>
  </w:p>
  <w:p w:rsidR="00E56721" w:rsidP="001526AC" w14:paraId="708CEE93" w14:textId="77777777">
    <w:pPr>
      <w:pStyle w:val="Header"/>
      <w:tabs>
        <w:tab w:val="left" w:pos="493"/>
        <w:tab w:val="center" w:pos="4111"/>
        <w:tab w:val="clear" w:pos="4153"/>
        <w:tab w:val="right" w:pos="7478"/>
        <w:tab w:val="right" w:pos="8222"/>
        <w:tab w:val="clear" w:pos="8306"/>
      </w:tabs>
      <w:jc w:val="left"/>
      <w:rPr>
        <w:rtl/>
      </w:rPr>
    </w:pPr>
  </w:p>
  <w:p w:rsidR="00E56721" w:rsidRPr="001526AC" w:rsidP="00005B23" w14:paraId="69A973A3" w14:textId="77777777">
    <w:pPr>
      <w:pStyle w:val="Header"/>
      <w:tabs>
        <w:tab w:val="left" w:pos="493"/>
        <w:tab w:val="center" w:pos="4111"/>
        <w:tab w:val="clear" w:pos="4153"/>
        <w:tab w:val="right" w:pos="7478"/>
        <w:tab w:val="right" w:pos="8222"/>
        <w:tab w:val="clear" w:pos="8306"/>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84864" behindDoc="0" locked="0" layoutInCell="1" allowOverlap="1">
              <wp:simplePos x="0" y="0"/>
              <wp:positionH relativeFrom="column">
                <wp:posOffset>273359</wp:posOffset>
              </wp:positionH>
              <wp:positionV relativeFrom="paragraph">
                <wp:posOffset>355632</wp:posOffset>
              </wp:positionV>
              <wp:extent cx="4602737" cy="231866"/>
              <wp:effectExtent l="0" t="0" r="7620" b="9525"/>
              <wp:wrapNone/>
              <wp:docPr id="61" name="Text Box 2">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602737" cy="231866"/>
                      </a:xfrm>
                      <a:prstGeom prst="rect">
                        <a:avLst/>
                      </a:prstGeom>
                      <a:solidFill>
                        <a:srgbClr val="FFFFFF"/>
                      </a:solidFill>
                      <a:ln w="9525">
                        <a:solidFill>
                          <a:schemeClr val="bg1"/>
                        </a:solidFill>
                        <a:miter lim="800000"/>
                        <a:headEnd/>
                        <a:tailEnd/>
                      </a:ln>
                    </wps:spPr>
                    <wps:txbx>
                      <w:txbxContent>
                        <w:p w:rsidR="007027AC" w:rsidRPr="009C0EAC" w:rsidP="007027AC" w14:textId="77777777">
                          <w:pPr>
                            <w:jc w:val="right"/>
                            <w:rPr>
                              <w:rFonts w:ascii="Tahoma" w:hAnsi="Tahoma" w:cs="Tahoma"/>
                              <w:color w:val="0D0D0D" w:themeColor="text1" w:themeTint="F2"/>
                              <w:sz w:val="14"/>
                              <w:szCs w:val="14"/>
                            </w:rPr>
                          </w:pPr>
                          <w:r w:rsidRPr="009C0EAC">
                            <w:rPr>
                              <w:rFonts w:ascii="Tahoma" w:hAnsi="Tahoma" w:cs="Tahoma"/>
                              <w:color w:val="0D0D0D" w:themeColor="text1" w:themeTint="F2"/>
                              <w:sz w:val="14"/>
                              <w:szCs w:val="14"/>
                              <w:rtl/>
                            </w:rPr>
                            <w:t>מבקר המדינה | פעולות ממשלת ישראל והיערכותה למשבר האקלים - ביקורת מעקב מורחבת | התשפ"ד-</w:t>
                          </w:r>
                          <w:r>
                            <w:rPr>
                              <w:rFonts w:ascii="Tahoma" w:hAnsi="Tahoma" w:cs="Tahoma" w:hint="cs"/>
                              <w:color w:val="0D0D0D" w:themeColor="text1" w:themeTint="F2"/>
                              <w:sz w:val="14"/>
                              <w:szCs w:val="14"/>
                              <w:rtl/>
                            </w:rPr>
                            <w:t>2024</w:t>
                          </w:r>
                        </w:p>
                        <w:p w:rsidR="00E56721" w:rsidRPr="007649F0" w:rsidP="00B244B0" w14:textId="744C9D1A">
                          <w:pPr>
                            <w:jc w:val="right"/>
                            <w:rPr>
                              <w:color w:val="0D0D0D" w:themeColor="text1" w:themeTint="F2"/>
                              <w:sz w:val="16"/>
                              <w:szCs w:val="16"/>
                            </w:rPr>
                          </w:pP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2063" type="#_x0000_t202" alt="&quot;&quot;" style="width:362.4pt;height:18.25pt;margin-top:28pt;margin-left:21.5pt;mso-height-percent:0;mso-height-relative:margin;mso-width-percent:0;mso-width-relative:margin;mso-wrap-distance-bottom:3.6pt;mso-wrap-distance-left:9pt;mso-wrap-distance-right:9pt;mso-wrap-distance-top:3.6pt;mso-wrap-style:square;position:absolute;visibility:visible;v-text-anchor:top;z-index:251685888" strokecolor="white">
              <v:textbox>
                <w:txbxContent>
                  <w:p w:rsidR="007027AC" w:rsidRPr="009C0EAC" w:rsidP="007027AC" w14:paraId="6E1A11B0" w14:textId="77777777">
                    <w:pPr>
                      <w:jc w:val="right"/>
                      <w:rPr>
                        <w:rFonts w:ascii="Tahoma" w:hAnsi="Tahoma" w:cs="Tahoma"/>
                        <w:color w:val="0D0D0D" w:themeColor="text1" w:themeTint="F2"/>
                        <w:sz w:val="14"/>
                        <w:szCs w:val="14"/>
                      </w:rPr>
                    </w:pPr>
                    <w:r w:rsidRPr="009C0EAC">
                      <w:rPr>
                        <w:rFonts w:ascii="Tahoma" w:hAnsi="Tahoma" w:cs="Tahoma"/>
                        <w:color w:val="0D0D0D" w:themeColor="text1" w:themeTint="F2"/>
                        <w:sz w:val="14"/>
                        <w:szCs w:val="14"/>
                        <w:rtl/>
                      </w:rPr>
                      <w:t>מבקר המדינה | פעולות ממשלת ישראל והיערכותה למשבר האקלים - ביקורת מעקב מורחבת | התשפ"ד-</w:t>
                    </w:r>
                    <w:r>
                      <w:rPr>
                        <w:rFonts w:ascii="Tahoma" w:hAnsi="Tahoma" w:cs="Tahoma" w:hint="cs"/>
                        <w:color w:val="0D0D0D" w:themeColor="text1" w:themeTint="F2"/>
                        <w:sz w:val="14"/>
                        <w:szCs w:val="14"/>
                        <w:rtl/>
                      </w:rPr>
                      <w:t>2024</w:t>
                    </w:r>
                  </w:p>
                  <w:p w:rsidR="00E56721" w:rsidRPr="007649F0" w:rsidP="00B244B0" w14:paraId="0C0E463E" w14:textId="744C9D1A">
                    <w:pPr>
                      <w:jc w:val="right"/>
                      <w:rPr>
                        <w:color w:val="0D0D0D" w:themeColor="text1" w:themeTint="F2"/>
                        <w:sz w:val="16"/>
                        <w:szCs w:val="16"/>
                      </w:rPr>
                    </w:pPr>
                  </w:p>
                </w:txbxContent>
              </v:textbox>
            </v:shape>
          </w:pict>
        </mc:Fallback>
      </mc:AlternateContent>
    </w:r>
    <w:r>
      <w:rPr>
        <w:rFonts w:ascii="Tahoma" w:hAnsi="Tahoma" w:cs="Tahoma"/>
        <w:noProof/>
        <w:sz w:val="22"/>
        <w:szCs w:val="22"/>
        <w:rtl/>
        <w:lang w:val="he-IL"/>
      </w:rPr>
      <w:drawing>
        <wp:anchor distT="0" distB="0" distL="114300" distR="114300" simplePos="0" relativeHeight="251691008" behindDoc="0" locked="0" layoutInCell="1" allowOverlap="1">
          <wp:simplePos x="0" y="0"/>
          <wp:positionH relativeFrom="column">
            <wp:posOffset>-59055</wp:posOffset>
          </wp:positionH>
          <wp:positionV relativeFrom="paragraph">
            <wp:posOffset>345440</wp:posOffset>
          </wp:positionV>
          <wp:extent cx="343535" cy="240030"/>
          <wp:effectExtent l="0" t="0" r="0" b="7620"/>
          <wp:wrapSquare wrapText="bothSides"/>
          <wp:docPr id="1113575872" name="Picture 96">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502254" name="Picture 96">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86912" behindDoc="0" locked="0" layoutInCell="1" allowOverlap="1">
              <wp:simplePos x="0" y="0"/>
              <wp:positionH relativeFrom="column">
                <wp:posOffset>-55880</wp:posOffset>
              </wp:positionH>
              <wp:positionV relativeFrom="paragraph">
                <wp:posOffset>640080</wp:posOffset>
              </wp:positionV>
              <wp:extent cx="6721475" cy="0"/>
              <wp:effectExtent l="0" t="0" r="0" b="0"/>
              <wp:wrapNone/>
              <wp:docPr id="62" name="Straight Connector 634"/>
              <wp:cNvGraphicFramePr/>
              <a:graphic xmlns:a="http://schemas.openxmlformats.org/drawingml/2006/main">
                <a:graphicData uri="http://schemas.microsoft.com/office/word/2010/wordprocessingShape">
                  <wps:wsp xmlns:wps="http://schemas.microsoft.com/office/word/2010/wordprocessingShape">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34" o:spid="_x0000_s2064" style="flip:x;mso-height-percent:0;mso-height-relative:margin;mso-width-percent:0;mso-width-relative:margin;mso-wrap-distance-bottom:0;mso-wrap-distance-left:9pt;mso-wrap-distance-right:9pt;mso-wrap-distance-top:0;mso-wrap-style:square;position:absolute;visibility:visible;z-index:251687936" from="-4.4pt,50.4pt" to="524.85pt,50.4pt" strokecolor="#0d0d0d" strokeweight="0.25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0945E5D"/>
    <w:multiLevelType w:val="hybridMultilevel"/>
    <w:tmpl w:val="EB4A2EC4"/>
    <w:lvl w:ilvl="0">
      <w:start w:val="1"/>
      <w:numFmt w:val="decimal"/>
      <w:lvlText w:val="%1."/>
      <w:lvlJc w:val="left"/>
      <w:pPr>
        <w:ind w:left="397" w:hanging="397"/>
      </w:pPr>
      <w:rPr>
        <w:rFonts w:hint="default"/>
        <w:b/>
        <w:sz w:val="24"/>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
    <w:nsid w:val="028E2907"/>
    <w:multiLevelType w:val="hybridMultilevel"/>
    <w:tmpl w:val="43F8FDA2"/>
    <w:lvl w:ilvl="0">
      <w:start w:val="1"/>
      <w:numFmt w:val="decimal"/>
      <w:lvlText w:val="%1."/>
      <w:lvlJc w:val="center"/>
      <w:pPr>
        <w:ind w:left="397" w:hanging="397"/>
      </w:pPr>
      <w:rPr>
        <w:rFonts w:hint="default"/>
        <w:b/>
        <w:sz w:val="24"/>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
    <w:nsid w:val="040D0F24"/>
    <w:multiLevelType w:val="hybridMultilevel"/>
    <w:tmpl w:val="B83ED58E"/>
    <w:lvl w:ilvl="0">
      <w:start w:val="1"/>
      <w:numFmt w:val="decimal"/>
      <w:lvlText w:val="%1."/>
      <w:lvlJc w:val="left"/>
      <w:pPr>
        <w:ind w:left="397" w:hanging="397"/>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
    <w:nsid w:val="04AC604A"/>
    <w:multiLevelType w:val="hybridMultilevel"/>
    <w:tmpl w:val="8A70524A"/>
    <w:lvl w:ilvl="0">
      <w:start w:val="4"/>
      <w:numFmt w:val="decimal"/>
      <w:lvlText w:val="%1."/>
      <w:lvlJc w:val="left"/>
      <w:pPr>
        <w:ind w:left="397" w:hanging="397"/>
      </w:pPr>
      <w:rPr>
        <w:rFonts w:hint="default"/>
        <w:b w:val="0"/>
        <w:bCs/>
        <w:sz w:val="24"/>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
    <w:nsid w:val="05385DA5"/>
    <w:multiLevelType w:val="hybridMultilevel"/>
    <w:tmpl w:val="A4D6178C"/>
    <w:lvl w:ilvl="0">
      <w:start w:val="1"/>
      <w:numFmt w:val="decimal"/>
      <w:lvlText w:val="%1."/>
      <w:lvlJc w:val="center"/>
      <w:pPr>
        <w:ind w:left="397" w:hanging="397"/>
      </w:pPr>
      <w:rPr>
        <w:rFonts w:hint="default"/>
        <w:b/>
        <w:sz w:val="24"/>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
    <w:nsid w:val="05925457"/>
    <w:multiLevelType w:val="hybridMultilevel"/>
    <w:tmpl w:val="84DC66BE"/>
    <w:lvl w:ilvl="0">
      <w:start w:val="1"/>
      <w:numFmt w:val="decimal"/>
      <w:lvlText w:val="%1."/>
      <w:lvlJc w:val="center"/>
      <w:pPr>
        <w:ind w:left="397" w:hanging="397"/>
      </w:pPr>
      <w:rPr>
        <w:rFonts w:hint="default"/>
        <w:b w:val="0"/>
        <w:bCs/>
        <w:sz w:val="24"/>
      </w:rPr>
    </w:lvl>
    <w:lvl w:ilvl="1" w:tentative="1">
      <w:start w:val="1"/>
      <w:numFmt w:val="lowerLetter"/>
      <w:lvlText w:val="%2."/>
      <w:lvlJc w:val="left"/>
      <w:pPr>
        <w:ind w:left="1695" w:hanging="360"/>
      </w:pPr>
    </w:lvl>
    <w:lvl w:ilvl="2" w:tentative="1">
      <w:start w:val="1"/>
      <w:numFmt w:val="lowerRoman"/>
      <w:lvlText w:val="%3."/>
      <w:lvlJc w:val="right"/>
      <w:pPr>
        <w:ind w:left="2415" w:hanging="180"/>
      </w:pPr>
    </w:lvl>
    <w:lvl w:ilvl="3" w:tentative="1">
      <w:start w:val="1"/>
      <w:numFmt w:val="decimal"/>
      <w:lvlText w:val="%4."/>
      <w:lvlJc w:val="left"/>
      <w:pPr>
        <w:ind w:left="3135" w:hanging="360"/>
      </w:pPr>
    </w:lvl>
    <w:lvl w:ilvl="4" w:tentative="1">
      <w:start w:val="1"/>
      <w:numFmt w:val="lowerLetter"/>
      <w:lvlText w:val="%5."/>
      <w:lvlJc w:val="left"/>
      <w:pPr>
        <w:ind w:left="3855" w:hanging="360"/>
      </w:pPr>
    </w:lvl>
    <w:lvl w:ilvl="5" w:tentative="1">
      <w:start w:val="1"/>
      <w:numFmt w:val="lowerRoman"/>
      <w:lvlText w:val="%6."/>
      <w:lvlJc w:val="right"/>
      <w:pPr>
        <w:ind w:left="4575" w:hanging="180"/>
      </w:pPr>
    </w:lvl>
    <w:lvl w:ilvl="6" w:tentative="1">
      <w:start w:val="1"/>
      <w:numFmt w:val="decimal"/>
      <w:lvlText w:val="%7."/>
      <w:lvlJc w:val="left"/>
      <w:pPr>
        <w:ind w:left="5295" w:hanging="360"/>
      </w:pPr>
    </w:lvl>
    <w:lvl w:ilvl="7" w:tentative="1">
      <w:start w:val="1"/>
      <w:numFmt w:val="lowerLetter"/>
      <w:lvlText w:val="%8."/>
      <w:lvlJc w:val="left"/>
      <w:pPr>
        <w:ind w:left="6015" w:hanging="360"/>
      </w:pPr>
    </w:lvl>
    <w:lvl w:ilvl="8" w:tentative="1">
      <w:start w:val="1"/>
      <w:numFmt w:val="lowerRoman"/>
      <w:lvlText w:val="%9."/>
      <w:lvlJc w:val="right"/>
      <w:pPr>
        <w:ind w:left="6735" w:hanging="180"/>
      </w:pPr>
    </w:lvl>
  </w:abstractNum>
  <w:abstractNum w:abstractNumId="6">
    <w:nsid w:val="07C54509"/>
    <w:multiLevelType w:val="multilevel"/>
    <w:tmpl w:val="3030E6FC"/>
    <w:lvl w:ilvl="0">
      <w:start w:val="1"/>
      <w:numFmt w:val="decimal"/>
      <w:pStyle w:val="7323"/>
      <w:lvlText w:val="%1."/>
      <w:lvlJc w:val="left"/>
      <w:pPr>
        <w:ind w:left="340" w:hanging="340"/>
      </w:pPr>
      <w:rPr>
        <w:rFonts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7">
    <w:nsid w:val="08152FFB"/>
    <w:multiLevelType w:val="hybridMultilevel"/>
    <w:tmpl w:val="EBCC8D1A"/>
    <w:lvl w:ilvl="0">
      <w:start w:val="2"/>
      <w:numFmt w:val="decimal"/>
      <w:lvlText w:val="%1."/>
      <w:lvlJc w:val="left"/>
      <w:pPr>
        <w:ind w:left="397" w:hanging="397"/>
      </w:pPr>
      <w:rPr>
        <w:rFonts w:hint="default"/>
        <w:b w:val="0"/>
        <w:bCs/>
        <w:sz w:val="24"/>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
    <w:nsid w:val="09634C5D"/>
    <w:multiLevelType w:val="hybridMultilevel"/>
    <w:tmpl w:val="5ACCD4AE"/>
    <w:lvl w:ilvl="0">
      <w:start w:val="2"/>
      <w:numFmt w:val="decimal"/>
      <w:lvlText w:val="%1."/>
      <w:lvlJc w:val="left"/>
      <w:pPr>
        <w:ind w:left="397" w:hanging="397"/>
      </w:pPr>
      <w:rPr>
        <w:rFonts w:hint="default"/>
        <w:b/>
        <w:bCs w:val="0"/>
        <w:sz w:val="24"/>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
    <w:nsid w:val="0AC26589"/>
    <w:multiLevelType w:val="hybridMultilevel"/>
    <w:tmpl w:val="D652A3A6"/>
    <w:lvl w:ilvl="0">
      <w:start w:val="1"/>
      <w:numFmt w:val="decimal"/>
      <w:lvlText w:val="%1."/>
      <w:lvlJc w:val="left"/>
      <w:pPr>
        <w:ind w:left="397" w:hanging="397"/>
      </w:pPr>
      <w:rPr>
        <w:rFonts w:hint="default"/>
        <w:b/>
        <w:sz w:val="24"/>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0">
    <w:nsid w:val="0D385D8C"/>
    <w:multiLevelType w:val="hybridMultilevel"/>
    <w:tmpl w:val="16681374"/>
    <w:lvl w:ilvl="0">
      <w:start w:val="1"/>
      <w:numFmt w:val="decimal"/>
      <w:lvlText w:val="%1."/>
      <w:lvlJc w:val="left"/>
      <w:pPr>
        <w:ind w:left="397" w:hanging="397"/>
      </w:pPr>
      <w:rPr>
        <w:rFonts w:hint="default"/>
        <w:b w:val="0"/>
        <w:bCs/>
        <w:sz w:val="24"/>
      </w:rPr>
    </w:lvl>
    <w:lvl w:ilvl="1" w:tentative="1">
      <w:start w:val="1"/>
      <w:numFmt w:val="lowerLetter"/>
      <w:lvlText w:val="%2."/>
      <w:lvlJc w:val="left"/>
      <w:pPr>
        <w:ind w:left="1695" w:hanging="360"/>
      </w:pPr>
    </w:lvl>
    <w:lvl w:ilvl="2" w:tentative="1">
      <w:start w:val="1"/>
      <w:numFmt w:val="lowerRoman"/>
      <w:lvlText w:val="%3."/>
      <w:lvlJc w:val="right"/>
      <w:pPr>
        <w:ind w:left="2415" w:hanging="180"/>
      </w:pPr>
    </w:lvl>
    <w:lvl w:ilvl="3" w:tentative="1">
      <w:start w:val="1"/>
      <w:numFmt w:val="decimal"/>
      <w:lvlText w:val="%4."/>
      <w:lvlJc w:val="left"/>
      <w:pPr>
        <w:ind w:left="3135" w:hanging="360"/>
      </w:pPr>
    </w:lvl>
    <w:lvl w:ilvl="4" w:tentative="1">
      <w:start w:val="1"/>
      <w:numFmt w:val="lowerLetter"/>
      <w:lvlText w:val="%5."/>
      <w:lvlJc w:val="left"/>
      <w:pPr>
        <w:ind w:left="3855" w:hanging="360"/>
      </w:pPr>
    </w:lvl>
    <w:lvl w:ilvl="5" w:tentative="1">
      <w:start w:val="1"/>
      <w:numFmt w:val="lowerRoman"/>
      <w:lvlText w:val="%6."/>
      <w:lvlJc w:val="right"/>
      <w:pPr>
        <w:ind w:left="4575" w:hanging="180"/>
      </w:pPr>
    </w:lvl>
    <w:lvl w:ilvl="6" w:tentative="1">
      <w:start w:val="1"/>
      <w:numFmt w:val="decimal"/>
      <w:lvlText w:val="%7."/>
      <w:lvlJc w:val="left"/>
      <w:pPr>
        <w:ind w:left="5295" w:hanging="360"/>
      </w:pPr>
    </w:lvl>
    <w:lvl w:ilvl="7" w:tentative="1">
      <w:start w:val="1"/>
      <w:numFmt w:val="lowerLetter"/>
      <w:lvlText w:val="%8."/>
      <w:lvlJc w:val="left"/>
      <w:pPr>
        <w:ind w:left="6015" w:hanging="360"/>
      </w:pPr>
    </w:lvl>
    <w:lvl w:ilvl="8" w:tentative="1">
      <w:start w:val="1"/>
      <w:numFmt w:val="lowerRoman"/>
      <w:lvlText w:val="%9."/>
      <w:lvlJc w:val="right"/>
      <w:pPr>
        <w:ind w:left="6735" w:hanging="180"/>
      </w:pPr>
    </w:lvl>
  </w:abstractNum>
  <w:abstractNum w:abstractNumId="11">
    <w:nsid w:val="0DDA1A01"/>
    <w:multiLevelType w:val="hybridMultilevel"/>
    <w:tmpl w:val="CD76C6BE"/>
    <w:lvl w:ilvl="0">
      <w:start w:val="1"/>
      <w:numFmt w:val="bullet"/>
      <w:pStyle w:val="73BULLETS"/>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2">
    <w:nsid w:val="135E33B6"/>
    <w:multiLevelType w:val="multilevel"/>
    <w:tmpl w:val="62AE4D90"/>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3">
    <w:nsid w:val="14EA7D9A"/>
    <w:multiLevelType w:val="hybridMultilevel"/>
    <w:tmpl w:val="9C9CAE12"/>
    <w:lvl w:ilvl="0">
      <w:start w:val="3"/>
      <w:numFmt w:val="decimal"/>
      <w:lvlText w:val="%1."/>
      <w:lvlJc w:val="left"/>
      <w:pPr>
        <w:ind w:left="397" w:hanging="397"/>
      </w:pPr>
      <w:rPr>
        <w:rFonts w:hint="default"/>
        <w:b/>
        <w:sz w:val="24"/>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4">
    <w:nsid w:val="185E1269"/>
    <w:multiLevelType w:val="hybridMultilevel"/>
    <w:tmpl w:val="5ABEB27A"/>
    <w:lvl w:ilvl="0">
      <w:start w:val="3"/>
      <w:numFmt w:val="decimal"/>
      <w:lvlText w:val="%1."/>
      <w:lvlJc w:val="left"/>
      <w:pPr>
        <w:ind w:left="397" w:hanging="397"/>
      </w:pPr>
      <w:rPr>
        <w:rFonts w:ascii="David" w:hAnsi="David" w:hint="default"/>
        <w:b w:val="0"/>
        <w:bCs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5">
    <w:nsid w:val="1A2E050A"/>
    <w:multiLevelType w:val="hybridMultilevel"/>
    <w:tmpl w:val="073A97C2"/>
    <w:lvl w:ilvl="0">
      <w:start w:val="1"/>
      <w:numFmt w:val="decimal"/>
      <w:lvlText w:val="%1."/>
      <w:lvlJc w:val="left"/>
      <w:pPr>
        <w:ind w:left="397" w:hanging="397"/>
      </w:pPr>
      <w:rPr>
        <w:rFonts w:hint="default"/>
        <w:b/>
        <w:bCs/>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6">
    <w:nsid w:val="1C9830E0"/>
    <w:multiLevelType w:val="hybridMultilevel"/>
    <w:tmpl w:val="1412534C"/>
    <w:lvl w:ilvl="0">
      <w:start w:val="1"/>
      <w:numFmt w:val="decimal"/>
      <w:lvlText w:val="%1."/>
      <w:lvlJc w:val="left"/>
      <w:pPr>
        <w:ind w:left="397" w:hanging="397"/>
      </w:pPr>
      <w:rPr>
        <w:rFonts w:hint="default"/>
        <w:b w:val="0"/>
        <w:bCs/>
        <w:sz w:val="24"/>
      </w:rPr>
    </w:lvl>
    <w:lvl w:ilvl="1" w:tentative="1">
      <w:start w:val="1"/>
      <w:numFmt w:val="lowerLetter"/>
      <w:lvlText w:val="%2."/>
      <w:lvlJc w:val="left"/>
      <w:pPr>
        <w:ind w:left="1695" w:hanging="360"/>
      </w:pPr>
    </w:lvl>
    <w:lvl w:ilvl="2" w:tentative="1">
      <w:start w:val="1"/>
      <w:numFmt w:val="lowerRoman"/>
      <w:lvlText w:val="%3."/>
      <w:lvlJc w:val="right"/>
      <w:pPr>
        <w:ind w:left="2415" w:hanging="180"/>
      </w:pPr>
    </w:lvl>
    <w:lvl w:ilvl="3" w:tentative="1">
      <w:start w:val="1"/>
      <w:numFmt w:val="decimal"/>
      <w:lvlText w:val="%4."/>
      <w:lvlJc w:val="left"/>
      <w:pPr>
        <w:ind w:left="3135" w:hanging="360"/>
      </w:pPr>
    </w:lvl>
    <w:lvl w:ilvl="4" w:tentative="1">
      <w:start w:val="1"/>
      <w:numFmt w:val="lowerLetter"/>
      <w:lvlText w:val="%5."/>
      <w:lvlJc w:val="left"/>
      <w:pPr>
        <w:ind w:left="3855" w:hanging="360"/>
      </w:pPr>
    </w:lvl>
    <w:lvl w:ilvl="5" w:tentative="1">
      <w:start w:val="1"/>
      <w:numFmt w:val="lowerRoman"/>
      <w:lvlText w:val="%6."/>
      <w:lvlJc w:val="right"/>
      <w:pPr>
        <w:ind w:left="4575" w:hanging="180"/>
      </w:pPr>
    </w:lvl>
    <w:lvl w:ilvl="6" w:tentative="1">
      <w:start w:val="1"/>
      <w:numFmt w:val="decimal"/>
      <w:lvlText w:val="%7."/>
      <w:lvlJc w:val="left"/>
      <w:pPr>
        <w:ind w:left="5295" w:hanging="360"/>
      </w:pPr>
    </w:lvl>
    <w:lvl w:ilvl="7" w:tentative="1">
      <w:start w:val="1"/>
      <w:numFmt w:val="lowerLetter"/>
      <w:lvlText w:val="%8."/>
      <w:lvlJc w:val="left"/>
      <w:pPr>
        <w:ind w:left="6015" w:hanging="360"/>
      </w:pPr>
    </w:lvl>
    <w:lvl w:ilvl="8" w:tentative="1">
      <w:start w:val="1"/>
      <w:numFmt w:val="lowerRoman"/>
      <w:lvlText w:val="%9."/>
      <w:lvlJc w:val="right"/>
      <w:pPr>
        <w:ind w:left="6735" w:hanging="180"/>
      </w:pPr>
    </w:lvl>
  </w:abstractNum>
  <w:abstractNum w:abstractNumId="17">
    <w:nsid w:val="1E247605"/>
    <w:multiLevelType w:val="hybridMultilevel"/>
    <w:tmpl w:val="141E20B4"/>
    <w:lvl w:ilvl="0">
      <w:start w:val="1"/>
      <w:numFmt w:val="decimal"/>
      <w:lvlText w:val="%1."/>
      <w:lvlJc w:val="left"/>
      <w:pPr>
        <w:ind w:left="397" w:hanging="397"/>
      </w:pPr>
      <w:rPr>
        <w:rFonts w:hint="default"/>
        <w:b/>
        <w:bCs w:val="0"/>
        <w:sz w:val="24"/>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8">
    <w:nsid w:val="1E3047EC"/>
    <w:multiLevelType w:val="hybridMultilevel"/>
    <w:tmpl w:val="19D6A900"/>
    <w:lvl w:ilvl="0">
      <w:start w:val="1"/>
      <w:numFmt w:val="decimal"/>
      <w:lvlText w:val="%1."/>
      <w:lvlJc w:val="left"/>
      <w:pPr>
        <w:ind w:left="397" w:hanging="397"/>
      </w:pPr>
      <w:rPr>
        <w:rFonts w:hint="default"/>
        <w:b/>
        <w:bCs w:val="0"/>
        <w:sz w:val="24"/>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9">
    <w:nsid w:val="20713DAD"/>
    <w:multiLevelType w:val="hybridMultilevel"/>
    <w:tmpl w:val="57F498BC"/>
    <w:lvl w:ilvl="0">
      <w:start w:val="1"/>
      <w:numFmt w:val="decimal"/>
      <w:lvlText w:val="%1."/>
      <w:lvlJc w:val="left"/>
      <w:pPr>
        <w:ind w:left="397" w:hanging="397"/>
      </w:pPr>
      <w:rPr>
        <w:rFonts w:hint="default"/>
        <w:b w:val="0"/>
        <w:bCs/>
        <w:sz w:val="24"/>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0">
    <w:nsid w:val="217362F0"/>
    <w:multiLevelType w:val="hybridMultilevel"/>
    <w:tmpl w:val="78BC4BB8"/>
    <w:lvl w:ilvl="0">
      <w:start w:val="1"/>
      <w:numFmt w:val="bullet"/>
      <w:lvlText w:val=""/>
      <w:lvlJc w:val="left"/>
      <w:pPr>
        <w:ind w:left="794" w:hanging="397"/>
      </w:pPr>
      <w:rPr>
        <w:rFonts w:ascii="Symbol" w:hAnsi="Symbol" w:cs="Symbol" w:hint="default"/>
        <w:b/>
        <w:bCs/>
        <w:i w:val="0"/>
        <w:caps w:val="0"/>
        <w:strike w:val="0"/>
        <w:dstrike w:val="0"/>
        <w:vanish w:val="0"/>
        <w:color w:val="E41E2A"/>
        <w:sz w:val="28"/>
        <w:szCs w:val="28"/>
        <w:vertAlign w:val="baseline"/>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21">
    <w:nsid w:val="22315BDB"/>
    <w:multiLevelType w:val="hybridMultilevel"/>
    <w:tmpl w:val="02027EC2"/>
    <w:lvl w:ilvl="0">
      <w:start w:val="1"/>
      <w:numFmt w:val="decimal"/>
      <w:lvlText w:val="%1."/>
      <w:lvlJc w:val="center"/>
      <w:pPr>
        <w:ind w:left="397" w:hanging="397"/>
      </w:pPr>
      <w:rPr>
        <w:rFonts w:hint="default"/>
        <w:b/>
        <w:sz w:val="24"/>
      </w:rPr>
    </w:lvl>
    <w:lvl w:ilvl="1" w:tentative="1">
      <w:start w:val="1"/>
      <w:numFmt w:val="lowerLetter"/>
      <w:lvlText w:val="%2."/>
      <w:lvlJc w:val="left"/>
      <w:pPr>
        <w:ind w:left="1695" w:hanging="360"/>
      </w:pPr>
    </w:lvl>
    <w:lvl w:ilvl="2" w:tentative="1">
      <w:start w:val="1"/>
      <w:numFmt w:val="lowerRoman"/>
      <w:lvlText w:val="%3."/>
      <w:lvlJc w:val="right"/>
      <w:pPr>
        <w:ind w:left="2415" w:hanging="180"/>
      </w:pPr>
    </w:lvl>
    <w:lvl w:ilvl="3" w:tentative="1">
      <w:start w:val="1"/>
      <w:numFmt w:val="decimal"/>
      <w:lvlText w:val="%4."/>
      <w:lvlJc w:val="left"/>
      <w:pPr>
        <w:ind w:left="3135" w:hanging="360"/>
      </w:pPr>
    </w:lvl>
    <w:lvl w:ilvl="4" w:tentative="1">
      <w:start w:val="1"/>
      <w:numFmt w:val="lowerLetter"/>
      <w:lvlText w:val="%5."/>
      <w:lvlJc w:val="left"/>
      <w:pPr>
        <w:ind w:left="3855" w:hanging="360"/>
      </w:pPr>
    </w:lvl>
    <w:lvl w:ilvl="5" w:tentative="1">
      <w:start w:val="1"/>
      <w:numFmt w:val="lowerRoman"/>
      <w:lvlText w:val="%6."/>
      <w:lvlJc w:val="right"/>
      <w:pPr>
        <w:ind w:left="4575" w:hanging="180"/>
      </w:pPr>
    </w:lvl>
    <w:lvl w:ilvl="6" w:tentative="1">
      <w:start w:val="1"/>
      <w:numFmt w:val="decimal"/>
      <w:lvlText w:val="%7."/>
      <w:lvlJc w:val="left"/>
      <w:pPr>
        <w:ind w:left="5295" w:hanging="360"/>
      </w:pPr>
    </w:lvl>
    <w:lvl w:ilvl="7" w:tentative="1">
      <w:start w:val="1"/>
      <w:numFmt w:val="lowerLetter"/>
      <w:lvlText w:val="%8."/>
      <w:lvlJc w:val="left"/>
      <w:pPr>
        <w:ind w:left="6015" w:hanging="360"/>
      </w:pPr>
    </w:lvl>
    <w:lvl w:ilvl="8" w:tentative="1">
      <w:start w:val="1"/>
      <w:numFmt w:val="lowerRoman"/>
      <w:lvlText w:val="%9."/>
      <w:lvlJc w:val="right"/>
      <w:pPr>
        <w:ind w:left="6735" w:hanging="180"/>
      </w:pPr>
    </w:lvl>
  </w:abstractNum>
  <w:abstractNum w:abstractNumId="22">
    <w:nsid w:val="23424A8C"/>
    <w:multiLevelType w:val="hybridMultilevel"/>
    <w:tmpl w:val="9F5E46A2"/>
    <w:lvl w:ilvl="0">
      <w:start w:val="1"/>
      <w:numFmt w:val="decimal"/>
      <w:lvlText w:val="%1."/>
      <w:lvlJc w:val="left"/>
      <w:pPr>
        <w:ind w:left="397" w:hanging="397"/>
      </w:pPr>
      <w:rPr>
        <w:rFonts w:ascii="David" w:hAnsi="David" w:hint="default"/>
        <w:b w:val="0"/>
        <w:bCs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3">
    <w:nsid w:val="244F2543"/>
    <w:multiLevelType w:val="hybridMultilevel"/>
    <w:tmpl w:val="05E6A54E"/>
    <w:lvl w:ilvl="0">
      <w:start w:val="1"/>
      <w:numFmt w:val="decimal"/>
      <w:lvlText w:val="%1."/>
      <w:lvlJc w:val="left"/>
      <w:pPr>
        <w:ind w:left="397" w:hanging="397"/>
      </w:pPr>
      <w:rPr>
        <w:rFonts w:hint="default"/>
        <w:b w:val="0"/>
        <w:bCs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4">
    <w:nsid w:val="2556208B"/>
    <w:multiLevelType w:val="hybridMultilevel"/>
    <w:tmpl w:val="E2A2078A"/>
    <w:lvl w:ilvl="0">
      <w:start w:val="3"/>
      <w:numFmt w:val="decimal"/>
      <w:lvlText w:val="%1."/>
      <w:lvlJc w:val="left"/>
      <w:pPr>
        <w:ind w:left="397" w:hanging="397"/>
      </w:pPr>
      <w:rPr>
        <w:rFonts w:hint="default"/>
        <w:b/>
        <w:sz w:val="24"/>
      </w:rPr>
    </w:lvl>
    <w:lvl w:ilvl="1" w:tentative="1">
      <w:start w:val="1"/>
      <w:numFmt w:val="lowerLetter"/>
      <w:lvlText w:val="%2."/>
      <w:lvlJc w:val="left"/>
      <w:pPr>
        <w:ind w:left="1695" w:hanging="360"/>
      </w:pPr>
    </w:lvl>
    <w:lvl w:ilvl="2" w:tentative="1">
      <w:start w:val="1"/>
      <w:numFmt w:val="lowerRoman"/>
      <w:lvlText w:val="%3."/>
      <w:lvlJc w:val="right"/>
      <w:pPr>
        <w:ind w:left="2415" w:hanging="180"/>
      </w:pPr>
    </w:lvl>
    <w:lvl w:ilvl="3" w:tentative="1">
      <w:start w:val="1"/>
      <w:numFmt w:val="decimal"/>
      <w:lvlText w:val="%4."/>
      <w:lvlJc w:val="left"/>
      <w:pPr>
        <w:ind w:left="3135" w:hanging="360"/>
      </w:pPr>
    </w:lvl>
    <w:lvl w:ilvl="4" w:tentative="1">
      <w:start w:val="1"/>
      <w:numFmt w:val="lowerLetter"/>
      <w:lvlText w:val="%5."/>
      <w:lvlJc w:val="left"/>
      <w:pPr>
        <w:ind w:left="3855" w:hanging="360"/>
      </w:pPr>
    </w:lvl>
    <w:lvl w:ilvl="5" w:tentative="1">
      <w:start w:val="1"/>
      <w:numFmt w:val="lowerRoman"/>
      <w:lvlText w:val="%6."/>
      <w:lvlJc w:val="right"/>
      <w:pPr>
        <w:ind w:left="4575" w:hanging="180"/>
      </w:pPr>
    </w:lvl>
    <w:lvl w:ilvl="6" w:tentative="1">
      <w:start w:val="1"/>
      <w:numFmt w:val="decimal"/>
      <w:lvlText w:val="%7."/>
      <w:lvlJc w:val="left"/>
      <w:pPr>
        <w:ind w:left="5295" w:hanging="360"/>
      </w:pPr>
    </w:lvl>
    <w:lvl w:ilvl="7" w:tentative="1">
      <w:start w:val="1"/>
      <w:numFmt w:val="lowerLetter"/>
      <w:lvlText w:val="%8."/>
      <w:lvlJc w:val="left"/>
      <w:pPr>
        <w:ind w:left="6015" w:hanging="360"/>
      </w:pPr>
    </w:lvl>
    <w:lvl w:ilvl="8" w:tentative="1">
      <w:start w:val="1"/>
      <w:numFmt w:val="lowerRoman"/>
      <w:lvlText w:val="%9."/>
      <w:lvlJc w:val="right"/>
      <w:pPr>
        <w:ind w:left="6735" w:hanging="180"/>
      </w:pPr>
    </w:lvl>
  </w:abstractNum>
  <w:abstractNum w:abstractNumId="25">
    <w:nsid w:val="25B258DC"/>
    <w:multiLevelType w:val="hybridMultilevel"/>
    <w:tmpl w:val="C3B21EA6"/>
    <w:lvl w:ilvl="0">
      <w:start w:val="5"/>
      <w:numFmt w:val="decimal"/>
      <w:lvlText w:val="%1."/>
      <w:lvlJc w:val="left"/>
      <w:pPr>
        <w:ind w:left="397" w:hanging="397"/>
      </w:pPr>
      <w:rPr>
        <w:rFonts w:hint="default"/>
        <w:b/>
        <w:sz w:val="24"/>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6">
    <w:nsid w:val="267336A0"/>
    <w:multiLevelType w:val="hybridMultilevel"/>
    <w:tmpl w:val="1B828A38"/>
    <w:lvl w:ilvl="0">
      <w:start w:val="1"/>
      <w:numFmt w:val="decimal"/>
      <w:lvlText w:val="%1."/>
      <w:lvlJc w:val="center"/>
      <w:pPr>
        <w:ind w:left="397" w:hanging="397"/>
      </w:pPr>
      <w:rPr>
        <w:rFonts w:hint="default"/>
        <w:b w:val="0"/>
        <w:bCs/>
        <w:sz w:val="24"/>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7">
    <w:nsid w:val="269E2E01"/>
    <w:multiLevelType w:val="hybridMultilevel"/>
    <w:tmpl w:val="77045082"/>
    <w:lvl w:ilvl="0">
      <w:start w:val="1"/>
      <w:numFmt w:val="hebrew1"/>
      <w:lvlText w:val="%1."/>
      <w:lvlJc w:val="left"/>
      <w:pPr>
        <w:ind w:left="794" w:hanging="397"/>
      </w:pPr>
      <w:rPr>
        <w:rFonts w:hint="default"/>
      </w:rPr>
    </w:lvl>
    <w:lvl w:ilvl="1">
      <w:start w:val="1"/>
      <w:numFmt w:val="hebrew1"/>
      <w:lvlText w:val="%2."/>
      <w:lvlJc w:val="left"/>
      <w:pPr>
        <w:ind w:left="794" w:hanging="397"/>
      </w:pPr>
      <w:rPr>
        <w:rFonts w:hint="default"/>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8">
    <w:nsid w:val="270D4E7D"/>
    <w:multiLevelType w:val="hybridMultilevel"/>
    <w:tmpl w:val="DD52334E"/>
    <w:lvl w:ilvl="0">
      <w:start w:val="3"/>
      <w:numFmt w:val="decimal"/>
      <w:lvlText w:val="%1."/>
      <w:lvlJc w:val="left"/>
      <w:pPr>
        <w:ind w:left="397" w:hanging="397"/>
      </w:pPr>
      <w:rPr>
        <w:rFonts w:hint="default"/>
        <w:b/>
        <w:bCs w:val="0"/>
        <w:sz w:val="24"/>
      </w:rPr>
    </w:lvl>
    <w:lvl w:ilvl="1" w:tentative="1">
      <w:start w:val="1"/>
      <w:numFmt w:val="lowerLetter"/>
      <w:lvlText w:val="%2."/>
      <w:lvlJc w:val="left"/>
      <w:pPr>
        <w:ind w:left="1695" w:hanging="360"/>
      </w:pPr>
    </w:lvl>
    <w:lvl w:ilvl="2" w:tentative="1">
      <w:start w:val="1"/>
      <w:numFmt w:val="lowerRoman"/>
      <w:lvlText w:val="%3."/>
      <w:lvlJc w:val="right"/>
      <w:pPr>
        <w:ind w:left="2415" w:hanging="180"/>
      </w:pPr>
    </w:lvl>
    <w:lvl w:ilvl="3" w:tentative="1">
      <w:start w:val="1"/>
      <w:numFmt w:val="decimal"/>
      <w:lvlText w:val="%4."/>
      <w:lvlJc w:val="left"/>
      <w:pPr>
        <w:ind w:left="3135" w:hanging="360"/>
      </w:pPr>
    </w:lvl>
    <w:lvl w:ilvl="4" w:tentative="1">
      <w:start w:val="1"/>
      <w:numFmt w:val="lowerLetter"/>
      <w:lvlText w:val="%5."/>
      <w:lvlJc w:val="left"/>
      <w:pPr>
        <w:ind w:left="3855" w:hanging="360"/>
      </w:pPr>
    </w:lvl>
    <w:lvl w:ilvl="5" w:tentative="1">
      <w:start w:val="1"/>
      <w:numFmt w:val="lowerRoman"/>
      <w:lvlText w:val="%6."/>
      <w:lvlJc w:val="right"/>
      <w:pPr>
        <w:ind w:left="4575" w:hanging="180"/>
      </w:pPr>
    </w:lvl>
    <w:lvl w:ilvl="6" w:tentative="1">
      <w:start w:val="1"/>
      <w:numFmt w:val="decimal"/>
      <w:lvlText w:val="%7."/>
      <w:lvlJc w:val="left"/>
      <w:pPr>
        <w:ind w:left="5295" w:hanging="360"/>
      </w:pPr>
    </w:lvl>
    <w:lvl w:ilvl="7" w:tentative="1">
      <w:start w:val="1"/>
      <w:numFmt w:val="lowerLetter"/>
      <w:lvlText w:val="%8."/>
      <w:lvlJc w:val="left"/>
      <w:pPr>
        <w:ind w:left="6015" w:hanging="360"/>
      </w:pPr>
    </w:lvl>
    <w:lvl w:ilvl="8" w:tentative="1">
      <w:start w:val="1"/>
      <w:numFmt w:val="lowerRoman"/>
      <w:lvlText w:val="%9."/>
      <w:lvlJc w:val="right"/>
      <w:pPr>
        <w:ind w:left="6735" w:hanging="180"/>
      </w:pPr>
    </w:lvl>
  </w:abstractNum>
  <w:abstractNum w:abstractNumId="29">
    <w:nsid w:val="27134E29"/>
    <w:multiLevelType w:val="hybridMultilevel"/>
    <w:tmpl w:val="73DE9462"/>
    <w:lvl w:ilvl="0">
      <w:start w:val="3"/>
      <w:numFmt w:val="decimal"/>
      <w:lvlText w:val="%1."/>
      <w:lvlJc w:val="left"/>
      <w:pPr>
        <w:ind w:left="397" w:hanging="397"/>
      </w:pPr>
      <w:rPr>
        <w:rFonts w:hint="default"/>
        <w:b w:val="0"/>
        <w:bCs/>
        <w:sz w:val="24"/>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0">
    <w:nsid w:val="29124616"/>
    <w:multiLevelType w:val="hybridMultilevel"/>
    <w:tmpl w:val="FEFA5854"/>
    <w:lvl w:ilvl="0">
      <w:start w:val="1"/>
      <w:numFmt w:val="decimal"/>
      <w:lvlText w:val="%1."/>
      <w:lvlJc w:val="left"/>
      <w:pPr>
        <w:ind w:left="720" w:hanging="360"/>
      </w:pPr>
      <w:rPr>
        <w:rFonts w:hint="default"/>
        <w:b w:val="0"/>
        <w:bCs w:val="0"/>
        <w:lang w:bidi="he-IL"/>
      </w:rPr>
    </w:lvl>
    <w:lvl w:ilvl="1">
      <w:start w:val="4"/>
      <w:numFmt w:val="decimal"/>
      <w:lvlText w:val="%2."/>
      <w:lvlJc w:val="left"/>
      <w:pPr>
        <w:ind w:left="397" w:hanging="397"/>
      </w:pPr>
      <w:rPr>
        <w:rFonts w:hint="default"/>
        <w:b w:val="0"/>
        <w:bCs w:val="0"/>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1">
    <w:nsid w:val="29E9791D"/>
    <w:multiLevelType w:val="hybridMultilevel"/>
    <w:tmpl w:val="82BC0C9E"/>
    <w:lvl w:ilvl="0">
      <w:start w:val="2"/>
      <w:numFmt w:val="decimal"/>
      <w:lvlText w:val="%1."/>
      <w:lvlJc w:val="left"/>
      <w:pPr>
        <w:ind w:left="397" w:hanging="397"/>
      </w:pPr>
      <w:rPr>
        <w:rFonts w:hint="default"/>
        <w:b/>
        <w:sz w:val="24"/>
      </w:rPr>
    </w:lvl>
    <w:lvl w:ilvl="1" w:tentative="1">
      <w:start w:val="1"/>
      <w:numFmt w:val="lowerLetter"/>
      <w:lvlText w:val="%2."/>
      <w:lvlJc w:val="left"/>
      <w:pPr>
        <w:ind w:left="1695" w:hanging="360"/>
      </w:pPr>
    </w:lvl>
    <w:lvl w:ilvl="2" w:tentative="1">
      <w:start w:val="1"/>
      <w:numFmt w:val="lowerRoman"/>
      <w:lvlText w:val="%3."/>
      <w:lvlJc w:val="right"/>
      <w:pPr>
        <w:ind w:left="2415" w:hanging="180"/>
      </w:pPr>
    </w:lvl>
    <w:lvl w:ilvl="3" w:tentative="1">
      <w:start w:val="1"/>
      <w:numFmt w:val="decimal"/>
      <w:lvlText w:val="%4."/>
      <w:lvlJc w:val="left"/>
      <w:pPr>
        <w:ind w:left="3135" w:hanging="360"/>
      </w:pPr>
    </w:lvl>
    <w:lvl w:ilvl="4" w:tentative="1">
      <w:start w:val="1"/>
      <w:numFmt w:val="lowerLetter"/>
      <w:lvlText w:val="%5."/>
      <w:lvlJc w:val="left"/>
      <w:pPr>
        <w:ind w:left="3855" w:hanging="360"/>
      </w:pPr>
    </w:lvl>
    <w:lvl w:ilvl="5" w:tentative="1">
      <w:start w:val="1"/>
      <w:numFmt w:val="lowerRoman"/>
      <w:lvlText w:val="%6."/>
      <w:lvlJc w:val="right"/>
      <w:pPr>
        <w:ind w:left="4575" w:hanging="180"/>
      </w:pPr>
    </w:lvl>
    <w:lvl w:ilvl="6" w:tentative="1">
      <w:start w:val="1"/>
      <w:numFmt w:val="decimal"/>
      <w:lvlText w:val="%7."/>
      <w:lvlJc w:val="left"/>
      <w:pPr>
        <w:ind w:left="5295" w:hanging="360"/>
      </w:pPr>
    </w:lvl>
    <w:lvl w:ilvl="7" w:tentative="1">
      <w:start w:val="1"/>
      <w:numFmt w:val="lowerLetter"/>
      <w:lvlText w:val="%8."/>
      <w:lvlJc w:val="left"/>
      <w:pPr>
        <w:ind w:left="6015" w:hanging="360"/>
      </w:pPr>
    </w:lvl>
    <w:lvl w:ilvl="8" w:tentative="1">
      <w:start w:val="1"/>
      <w:numFmt w:val="lowerRoman"/>
      <w:lvlText w:val="%9."/>
      <w:lvlJc w:val="right"/>
      <w:pPr>
        <w:ind w:left="6735" w:hanging="180"/>
      </w:pPr>
    </w:lvl>
  </w:abstractNum>
  <w:abstractNum w:abstractNumId="32">
    <w:nsid w:val="2A4436CD"/>
    <w:multiLevelType w:val="hybridMultilevel"/>
    <w:tmpl w:val="E9364FF0"/>
    <w:lvl w:ilvl="0">
      <w:start w:val="1"/>
      <w:numFmt w:val="decimal"/>
      <w:lvlText w:val="%1."/>
      <w:lvlJc w:val="left"/>
      <w:pPr>
        <w:ind w:left="397" w:hanging="397"/>
      </w:pPr>
      <w:rPr>
        <w:rFonts w:ascii="David" w:hAnsi="David" w:hint="default"/>
        <w:b w:val="0"/>
        <w:bCs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3">
    <w:nsid w:val="2B3E35B3"/>
    <w:multiLevelType w:val="hybridMultilevel"/>
    <w:tmpl w:val="B6B60B06"/>
    <w:lvl w:ilvl="0">
      <w:start w:val="2"/>
      <w:numFmt w:val="decimal"/>
      <w:lvlText w:val="%1."/>
      <w:lvlJc w:val="left"/>
      <w:pPr>
        <w:ind w:left="397" w:hanging="397"/>
      </w:pPr>
      <w:rPr>
        <w:rFonts w:hint="default"/>
        <w:b/>
        <w:sz w:val="24"/>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4">
    <w:nsid w:val="2DE56E8C"/>
    <w:multiLevelType w:val="singleLevel"/>
    <w:tmpl w:val="1FD0DF68"/>
    <w:lvl w:ilvl="0">
      <w:start w:val="1"/>
      <w:numFmt w:val="none"/>
      <w:pStyle w:val="BulletList2"/>
      <w:lvlText w:val=""/>
      <w:lvlJc w:val="center"/>
      <w:pPr>
        <w:tabs>
          <w:tab w:val="num" w:pos="1083"/>
        </w:tabs>
        <w:ind w:left="1083" w:hanging="306"/>
      </w:pPr>
      <w:rPr>
        <w:rFonts w:ascii="Symbol" w:hAnsi="Symbol" w:hint="default"/>
      </w:rPr>
    </w:lvl>
  </w:abstractNum>
  <w:abstractNum w:abstractNumId="35">
    <w:nsid w:val="304B76D2"/>
    <w:multiLevelType w:val="hybridMultilevel"/>
    <w:tmpl w:val="BC14C998"/>
    <w:lvl w:ilvl="0">
      <w:start w:val="1"/>
      <w:numFmt w:val="decimal"/>
      <w:lvlText w:val="%1."/>
      <w:lvlJc w:val="left"/>
      <w:pPr>
        <w:ind w:left="397" w:hanging="397"/>
      </w:pPr>
      <w:rPr>
        <w:rFonts w:hint="default"/>
        <w:b/>
        <w:bCs w:val="0"/>
        <w:sz w:val="24"/>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6">
    <w:nsid w:val="31804679"/>
    <w:multiLevelType w:val="hybridMultilevel"/>
    <w:tmpl w:val="AD1A6A06"/>
    <w:lvl w:ilvl="0">
      <w:start w:val="1"/>
      <w:numFmt w:val="decimal"/>
      <w:lvlText w:val="%1."/>
      <w:lvlJc w:val="left"/>
      <w:pPr>
        <w:ind w:left="397" w:hanging="397"/>
      </w:pPr>
      <w:rPr>
        <w:rFonts w:hint="default"/>
        <w:b/>
        <w:bCs/>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7">
    <w:nsid w:val="34526053"/>
    <w:multiLevelType w:val="hybridMultilevel"/>
    <w:tmpl w:val="99828CCA"/>
    <w:lvl w:ilvl="0">
      <w:start w:val="1"/>
      <w:numFmt w:val="decimal"/>
      <w:lvlText w:val="%1."/>
      <w:lvlJc w:val="left"/>
      <w:pPr>
        <w:ind w:left="397" w:hanging="397"/>
      </w:pPr>
      <w:rPr>
        <w:rFonts w:hint="default"/>
        <w:b/>
        <w:bCs w:val="0"/>
        <w:sz w:val="24"/>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8">
    <w:nsid w:val="37ED49A6"/>
    <w:multiLevelType w:val="hybridMultilevel"/>
    <w:tmpl w:val="5C9405F8"/>
    <w:lvl w:ilvl="0">
      <w:start w:val="1"/>
      <w:numFmt w:val="decimal"/>
      <w:lvlText w:val="%1."/>
      <w:lvlJc w:val="left"/>
      <w:pPr>
        <w:ind w:left="397" w:hanging="397"/>
      </w:pPr>
      <w:rPr>
        <w:rFonts w:hint="default"/>
        <w:b/>
        <w:bCs w:val="0"/>
        <w:sz w:val="24"/>
      </w:rPr>
    </w:lvl>
    <w:lvl w:ilvl="1" w:tentative="1">
      <w:start w:val="1"/>
      <w:numFmt w:val="lowerLetter"/>
      <w:lvlText w:val="%2."/>
      <w:lvlJc w:val="left"/>
      <w:pPr>
        <w:ind w:left="1695" w:hanging="360"/>
      </w:pPr>
    </w:lvl>
    <w:lvl w:ilvl="2" w:tentative="1">
      <w:start w:val="1"/>
      <w:numFmt w:val="lowerRoman"/>
      <w:lvlText w:val="%3."/>
      <w:lvlJc w:val="right"/>
      <w:pPr>
        <w:ind w:left="2415" w:hanging="180"/>
      </w:pPr>
    </w:lvl>
    <w:lvl w:ilvl="3" w:tentative="1">
      <w:start w:val="1"/>
      <w:numFmt w:val="decimal"/>
      <w:lvlText w:val="%4."/>
      <w:lvlJc w:val="left"/>
      <w:pPr>
        <w:ind w:left="3135" w:hanging="360"/>
      </w:pPr>
    </w:lvl>
    <w:lvl w:ilvl="4" w:tentative="1">
      <w:start w:val="1"/>
      <w:numFmt w:val="lowerLetter"/>
      <w:lvlText w:val="%5."/>
      <w:lvlJc w:val="left"/>
      <w:pPr>
        <w:ind w:left="3855" w:hanging="360"/>
      </w:pPr>
    </w:lvl>
    <w:lvl w:ilvl="5" w:tentative="1">
      <w:start w:val="1"/>
      <w:numFmt w:val="lowerRoman"/>
      <w:lvlText w:val="%6."/>
      <w:lvlJc w:val="right"/>
      <w:pPr>
        <w:ind w:left="4575" w:hanging="180"/>
      </w:pPr>
    </w:lvl>
    <w:lvl w:ilvl="6" w:tentative="1">
      <w:start w:val="1"/>
      <w:numFmt w:val="decimal"/>
      <w:lvlText w:val="%7."/>
      <w:lvlJc w:val="left"/>
      <w:pPr>
        <w:ind w:left="5295" w:hanging="360"/>
      </w:pPr>
    </w:lvl>
    <w:lvl w:ilvl="7" w:tentative="1">
      <w:start w:val="1"/>
      <w:numFmt w:val="lowerLetter"/>
      <w:lvlText w:val="%8."/>
      <w:lvlJc w:val="left"/>
      <w:pPr>
        <w:ind w:left="6015" w:hanging="360"/>
      </w:pPr>
    </w:lvl>
    <w:lvl w:ilvl="8" w:tentative="1">
      <w:start w:val="1"/>
      <w:numFmt w:val="lowerRoman"/>
      <w:lvlText w:val="%9."/>
      <w:lvlJc w:val="right"/>
      <w:pPr>
        <w:ind w:left="6735" w:hanging="180"/>
      </w:pPr>
    </w:lvl>
  </w:abstractNum>
  <w:abstractNum w:abstractNumId="39">
    <w:nsid w:val="38682135"/>
    <w:multiLevelType w:val="hybridMultilevel"/>
    <w:tmpl w:val="6984856C"/>
    <w:lvl w:ilvl="0">
      <w:start w:val="1"/>
      <w:numFmt w:val="decimal"/>
      <w:lvlText w:val="%1."/>
      <w:lvlJc w:val="left"/>
      <w:pPr>
        <w:ind w:left="397" w:hanging="397"/>
      </w:pPr>
      <w:rPr>
        <w:rFonts w:hint="default"/>
        <w:b/>
        <w:bCs/>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0">
    <w:nsid w:val="3BA731A4"/>
    <w:multiLevelType w:val="multilevel"/>
    <w:tmpl w:val="00DEBF2A"/>
    <w:lvl w:ilvl="0">
      <w:start w:val="1"/>
      <w:numFmt w:val="decimal"/>
      <w:pStyle w:val="Hn1"/>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color w:val="auto"/>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41">
    <w:nsid w:val="3C390E62"/>
    <w:multiLevelType w:val="hybridMultilevel"/>
    <w:tmpl w:val="F23807E8"/>
    <w:lvl w:ilvl="0">
      <w:start w:val="1"/>
      <w:numFmt w:val="hebrew1"/>
      <w:lvlText w:val="%1."/>
      <w:lvlJc w:val="center"/>
      <w:pPr>
        <w:ind w:left="794" w:hanging="397"/>
      </w:pPr>
      <w:rPr>
        <w:rFonts w:hint="default"/>
      </w:rPr>
    </w:lvl>
    <w:lvl w:ilvl="1">
      <w:start w:val="1"/>
      <w:numFmt w:val="hebrew1"/>
      <w:lvlText w:val="%2."/>
      <w:lvlJc w:val="left"/>
      <w:pPr>
        <w:ind w:left="794" w:hanging="397"/>
      </w:pPr>
      <w:rPr>
        <w:rFonts w:hint="default"/>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2">
    <w:nsid w:val="3EC00D7F"/>
    <w:multiLevelType w:val="hybridMultilevel"/>
    <w:tmpl w:val="247CF3F4"/>
    <w:lvl w:ilvl="0">
      <w:start w:val="1"/>
      <w:numFmt w:val="decimal"/>
      <w:lvlText w:val="%1."/>
      <w:lvlJc w:val="left"/>
      <w:pPr>
        <w:ind w:left="397" w:hanging="397"/>
      </w:pPr>
      <w:rPr>
        <w:rFonts w:hint="default"/>
        <w:b/>
        <w:bCs/>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3">
    <w:nsid w:val="3FF8495A"/>
    <w:multiLevelType w:val="hybridMultilevel"/>
    <w:tmpl w:val="CB3EB6E8"/>
    <w:lvl w:ilvl="0">
      <w:start w:val="1"/>
      <w:numFmt w:val="decimal"/>
      <w:lvlText w:val="%1."/>
      <w:lvlJc w:val="left"/>
      <w:pPr>
        <w:ind w:left="720" w:hanging="360"/>
      </w:pPr>
      <w:rPr>
        <w:rFonts w:hint="default"/>
        <w:b w:val="0"/>
        <w:bCs w:val="0"/>
        <w:lang w:bidi="he-IL"/>
      </w:rPr>
    </w:lvl>
    <w:lvl w:ilvl="1">
      <w:start w:val="3"/>
      <w:numFmt w:val="decimal"/>
      <w:lvlText w:val="%2."/>
      <w:lvlJc w:val="left"/>
      <w:pPr>
        <w:ind w:left="397" w:hanging="397"/>
      </w:pPr>
      <w:rPr>
        <w:rFonts w:hint="default"/>
        <w:b w:val="0"/>
        <w:bCs w:val="0"/>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4">
    <w:nsid w:val="42631FF7"/>
    <w:multiLevelType w:val="hybridMultilevel"/>
    <w:tmpl w:val="48F8B8AC"/>
    <w:lvl w:ilvl="0">
      <w:start w:val="1"/>
      <w:numFmt w:val="decimal"/>
      <w:lvlText w:val="%1."/>
      <w:lvlJc w:val="left"/>
      <w:pPr>
        <w:ind w:left="397" w:hanging="397"/>
      </w:pPr>
      <w:rPr>
        <w:rFonts w:hint="default"/>
        <w:b w:val="0"/>
        <w:bCs/>
        <w:sz w:val="24"/>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5">
    <w:nsid w:val="459C2999"/>
    <w:multiLevelType w:val="multilevel"/>
    <w:tmpl w:val="065C52B0"/>
    <w:lvl w:ilvl="0">
      <w:start w:val="1"/>
      <w:numFmt w:val="hebrew1"/>
      <w:pStyle w:val="7324"/>
      <w:lvlText w:val="%1."/>
      <w:lvlJc w:val="left"/>
      <w:pPr>
        <w:ind w:left="340" w:hanging="340"/>
      </w:pPr>
      <w:rPr>
        <w:rFonts w:ascii="Tahoma" w:eastAsia="Times New Roman" w:hAnsi="Tahoma" w:cs="Tahoma" w:hint="default"/>
        <w:lang w:bidi="he-IL"/>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46">
    <w:nsid w:val="47A9619E"/>
    <w:multiLevelType w:val="hybridMultilevel"/>
    <w:tmpl w:val="9F54E832"/>
    <w:lvl w:ilvl="0">
      <w:start w:val="1"/>
      <w:numFmt w:val="decimal"/>
      <w:lvlText w:val="%1."/>
      <w:lvlJc w:val="center"/>
      <w:pPr>
        <w:ind w:left="397" w:hanging="397"/>
      </w:pPr>
      <w:rPr>
        <w:rFonts w:hint="default"/>
        <w:b w:val="0"/>
        <w:bCs/>
        <w:sz w:val="24"/>
      </w:rPr>
    </w:lvl>
    <w:lvl w:ilvl="1" w:tentative="1">
      <w:start w:val="1"/>
      <w:numFmt w:val="lowerLetter"/>
      <w:lvlText w:val="%2."/>
      <w:lvlJc w:val="left"/>
      <w:pPr>
        <w:ind w:left="1695" w:hanging="360"/>
      </w:pPr>
    </w:lvl>
    <w:lvl w:ilvl="2" w:tentative="1">
      <w:start w:val="1"/>
      <w:numFmt w:val="lowerRoman"/>
      <w:lvlText w:val="%3."/>
      <w:lvlJc w:val="right"/>
      <w:pPr>
        <w:ind w:left="2415" w:hanging="180"/>
      </w:pPr>
    </w:lvl>
    <w:lvl w:ilvl="3" w:tentative="1">
      <w:start w:val="1"/>
      <w:numFmt w:val="decimal"/>
      <w:lvlText w:val="%4."/>
      <w:lvlJc w:val="left"/>
      <w:pPr>
        <w:ind w:left="3135" w:hanging="360"/>
      </w:pPr>
    </w:lvl>
    <w:lvl w:ilvl="4" w:tentative="1">
      <w:start w:val="1"/>
      <w:numFmt w:val="lowerLetter"/>
      <w:lvlText w:val="%5."/>
      <w:lvlJc w:val="left"/>
      <w:pPr>
        <w:ind w:left="3855" w:hanging="360"/>
      </w:pPr>
    </w:lvl>
    <w:lvl w:ilvl="5" w:tentative="1">
      <w:start w:val="1"/>
      <w:numFmt w:val="lowerRoman"/>
      <w:lvlText w:val="%6."/>
      <w:lvlJc w:val="right"/>
      <w:pPr>
        <w:ind w:left="4575" w:hanging="180"/>
      </w:pPr>
    </w:lvl>
    <w:lvl w:ilvl="6" w:tentative="1">
      <w:start w:val="1"/>
      <w:numFmt w:val="decimal"/>
      <w:lvlText w:val="%7."/>
      <w:lvlJc w:val="left"/>
      <w:pPr>
        <w:ind w:left="5295" w:hanging="360"/>
      </w:pPr>
    </w:lvl>
    <w:lvl w:ilvl="7" w:tentative="1">
      <w:start w:val="1"/>
      <w:numFmt w:val="lowerLetter"/>
      <w:lvlText w:val="%8."/>
      <w:lvlJc w:val="left"/>
      <w:pPr>
        <w:ind w:left="6015" w:hanging="360"/>
      </w:pPr>
    </w:lvl>
    <w:lvl w:ilvl="8" w:tentative="1">
      <w:start w:val="1"/>
      <w:numFmt w:val="lowerRoman"/>
      <w:lvlText w:val="%9."/>
      <w:lvlJc w:val="right"/>
      <w:pPr>
        <w:ind w:left="6735" w:hanging="180"/>
      </w:pPr>
    </w:lvl>
  </w:abstractNum>
  <w:abstractNum w:abstractNumId="47">
    <w:nsid w:val="489835E0"/>
    <w:multiLevelType w:val="hybridMultilevel"/>
    <w:tmpl w:val="697414CC"/>
    <w:lvl w:ilvl="0">
      <w:start w:val="1"/>
      <w:numFmt w:val="decimal"/>
      <w:lvlText w:val="%1."/>
      <w:lvlJc w:val="left"/>
      <w:pPr>
        <w:ind w:left="397" w:hanging="397"/>
      </w:pPr>
      <w:rPr>
        <w:rFonts w:hint="default"/>
        <w:b/>
        <w:bCs w:val="0"/>
        <w:sz w:val="24"/>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8">
    <w:nsid w:val="49533FEA"/>
    <w:multiLevelType w:val="multilevel"/>
    <w:tmpl w:val="18EED218"/>
    <w:lvl w:ilvl="0">
      <w:start w:val="1"/>
      <w:numFmt w:val="decimal"/>
      <w:pStyle w:val="7150"/>
      <w:lvlText w:val="%1."/>
      <w:lvlJc w:val="left"/>
      <w:pPr>
        <w:ind w:left="340" w:hanging="340"/>
      </w:pPr>
      <w:rPr>
        <w:rFonts w:hint="default"/>
      </w:rPr>
    </w:lvl>
    <w:lvl w:ilvl="1">
      <w:start w:val="1"/>
      <w:numFmt w:val="hebrew1"/>
      <w:pStyle w:val="7160"/>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49">
    <w:nsid w:val="4A295DC8"/>
    <w:multiLevelType w:val="hybridMultilevel"/>
    <w:tmpl w:val="18608F94"/>
    <w:lvl w:ilvl="0">
      <w:start w:val="1"/>
      <w:numFmt w:val="decimal"/>
      <w:lvlText w:val="%1."/>
      <w:lvlJc w:val="left"/>
      <w:pPr>
        <w:ind w:left="794" w:hanging="397"/>
      </w:pPr>
      <w:rPr>
        <w:rFonts w:hint="default"/>
        <w:b/>
        <w:sz w:val="24"/>
      </w:rPr>
    </w:lvl>
    <w:lvl w:ilvl="1" w:tentative="1">
      <w:start w:val="1"/>
      <w:numFmt w:val="lowerLetter"/>
      <w:lvlText w:val="%2."/>
      <w:lvlJc w:val="left"/>
      <w:pPr>
        <w:ind w:left="1695" w:hanging="360"/>
      </w:pPr>
    </w:lvl>
    <w:lvl w:ilvl="2" w:tentative="1">
      <w:start w:val="1"/>
      <w:numFmt w:val="lowerRoman"/>
      <w:lvlText w:val="%3."/>
      <w:lvlJc w:val="right"/>
      <w:pPr>
        <w:ind w:left="2415" w:hanging="180"/>
      </w:pPr>
    </w:lvl>
    <w:lvl w:ilvl="3" w:tentative="1">
      <w:start w:val="1"/>
      <w:numFmt w:val="decimal"/>
      <w:lvlText w:val="%4."/>
      <w:lvlJc w:val="left"/>
      <w:pPr>
        <w:ind w:left="3135" w:hanging="360"/>
      </w:pPr>
    </w:lvl>
    <w:lvl w:ilvl="4" w:tentative="1">
      <w:start w:val="1"/>
      <w:numFmt w:val="lowerLetter"/>
      <w:lvlText w:val="%5."/>
      <w:lvlJc w:val="left"/>
      <w:pPr>
        <w:ind w:left="3855" w:hanging="360"/>
      </w:pPr>
    </w:lvl>
    <w:lvl w:ilvl="5" w:tentative="1">
      <w:start w:val="1"/>
      <w:numFmt w:val="lowerRoman"/>
      <w:lvlText w:val="%6."/>
      <w:lvlJc w:val="right"/>
      <w:pPr>
        <w:ind w:left="4575" w:hanging="180"/>
      </w:pPr>
    </w:lvl>
    <w:lvl w:ilvl="6" w:tentative="1">
      <w:start w:val="1"/>
      <w:numFmt w:val="decimal"/>
      <w:lvlText w:val="%7."/>
      <w:lvlJc w:val="left"/>
      <w:pPr>
        <w:ind w:left="5295" w:hanging="360"/>
      </w:pPr>
    </w:lvl>
    <w:lvl w:ilvl="7" w:tentative="1">
      <w:start w:val="1"/>
      <w:numFmt w:val="lowerLetter"/>
      <w:lvlText w:val="%8."/>
      <w:lvlJc w:val="left"/>
      <w:pPr>
        <w:ind w:left="6015" w:hanging="360"/>
      </w:pPr>
    </w:lvl>
    <w:lvl w:ilvl="8" w:tentative="1">
      <w:start w:val="1"/>
      <w:numFmt w:val="lowerRoman"/>
      <w:lvlText w:val="%9."/>
      <w:lvlJc w:val="right"/>
      <w:pPr>
        <w:ind w:left="6735" w:hanging="180"/>
      </w:pPr>
    </w:lvl>
  </w:abstractNum>
  <w:abstractNum w:abstractNumId="50">
    <w:nsid w:val="4BA65D06"/>
    <w:multiLevelType w:val="hybridMultilevel"/>
    <w:tmpl w:val="237E0E42"/>
    <w:lvl w:ilvl="0">
      <w:start w:val="4"/>
      <w:numFmt w:val="decimal"/>
      <w:lvlText w:val="%1."/>
      <w:lvlJc w:val="left"/>
      <w:pPr>
        <w:ind w:left="397" w:hanging="397"/>
      </w:pPr>
      <w:rPr>
        <w:rFonts w:ascii="David" w:hAnsi="David" w:hint="default"/>
        <w:b w:val="0"/>
        <w:bCs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1">
    <w:nsid w:val="4BC7670B"/>
    <w:multiLevelType w:val="hybridMultilevel"/>
    <w:tmpl w:val="0F48C2EA"/>
    <w:lvl w:ilvl="0">
      <w:start w:val="1"/>
      <w:numFmt w:val="decimal"/>
      <w:lvlText w:val="%1."/>
      <w:lvlJc w:val="center"/>
      <w:pPr>
        <w:ind w:left="397" w:hanging="397"/>
      </w:pPr>
      <w:rPr>
        <w:rFonts w:hint="default"/>
        <w:b w:val="0"/>
        <w:bCs/>
        <w:sz w:val="24"/>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2">
    <w:nsid w:val="4CBE512F"/>
    <w:multiLevelType w:val="hybridMultilevel"/>
    <w:tmpl w:val="66E0FEA8"/>
    <w:lvl w:ilvl="0">
      <w:start w:val="1"/>
      <w:numFmt w:val="decimal"/>
      <w:lvlText w:val="%1."/>
      <w:lvlJc w:val="left"/>
      <w:pPr>
        <w:ind w:left="397" w:hanging="397"/>
      </w:pPr>
      <w:rPr>
        <w:rFonts w:hint="default"/>
        <w:b/>
        <w:bCs/>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3">
    <w:nsid w:val="4CFC1299"/>
    <w:multiLevelType w:val="hybridMultilevel"/>
    <w:tmpl w:val="45484C0C"/>
    <w:lvl w:ilvl="0">
      <w:start w:val="2"/>
      <w:numFmt w:val="decimal"/>
      <w:lvlText w:val="%1."/>
      <w:lvlJc w:val="left"/>
      <w:pPr>
        <w:ind w:left="397" w:hanging="397"/>
      </w:pPr>
      <w:rPr>
        <w:rFonts w:hint="default"/>
        <w:b/>
        <w:bCs w:val="0"/>
        <w:sz w:val="24"/>
      </w:rPr>
    </w:lvl>
    <w:lvl w:ilvl="1" w:tentative="1">
      <w:start w:val="1"/>
      <w:numFmt w:val="lowerLetter"/>
      <w:lvlText w:val="%2."/>
      <w:lvlJc w:val="left"/>
      <w:pPr>
        <w:ind w:left="1695" w:hanging="360"/>
      </w:pPr>
    </w:lvl>
    <w:lvl w:ilvl="2" w:tentative="1">
      <w:start w:val="1"/>
      <w:numFmt w:val="lowerRoman"/>
      <w:lvlText w:val="%3."/>
      <w:lvlJc w:val="right"/>
      <w:pPr>
        <w:ind w:left="2415" w:hanging="180"/>
      </w:pPr>
    </w:lvl>
    <w:lvl w:ilvl="3" w:tentative="1">
      <w:start w:val="1"/>
      <w:numFmt w:val="decimal"/>
      <w:lvlText w:val="%4."/>
      <w:lvlJc w:val="left"/>
      <w:pPr>
        <w:ind w:left="3135" w:hanging="360"/>
      </w:pPr>
    </w:lvl>
    <w:lvl w:ilvl="4" w:tentative="1">
      <w:start w:val="1"/>
      <w:numFmt w:val="lowerLetter"/>
      <w:lvlText w:val="%5."/>
      <w:lvlJc w:val="left"/>
      <w:pPr>
        <w:ind w:left="3855" w:hanging="360"/>
      </w:pPr>
    </w:lvl>
    <w:lvl w:ilvl="5" w:tentative="1">
      <w:start w:val="1"/>
      <w:numFmt w:val="lowerRoman"/>
      <w:lvlText w:val="%6."/>
      <w:lvlJc w:val="right"/>
      <w:pPr>
        <w:ind w:left="4575" w:hanging="180"/>
      </w:pPr>
    </w:lvl>
    <w:lvl w:ilvl="6" w:tentative="1">
      <w:start w:val="1"/>
      <w:numFmt w:val="decimal"/>
      <w:lvlText w:val="%7."/>
      <w:lvlJc w:val="left"/>
      <w:pPr>
        <w:ind w:left="5295" w:hanging="360"/>
      </w:pPr>
    </w:lvl>
    <w:lvl w:ilvl="7" w:tentative="1">
      <w:start w:val="1"/>
      <w:numFmt w:val="lowerLetter"/>
      <w:lvlText w:val="%8."/>
      <w:lvlJc w:val="left"/>
      <w:pPr>
        <w:ind w:left="6015" w:hanging="360"/>
      </w:pPr>
    </w:lvl>
    <w:lvl w:ilvl="8" w:tentative="1">
      <w:start w:val="1"/>
      <w:numFmt w:val="lowerRoman"/>
      <w:lvlText w:val="%9."/>
      <w:lvlJc w:val="right"/>
      <w:pPr>
        <w:ind w:left="6735" w:hanging="180"/>
      </w:pPr>
    </w:lvl>
  </w:abstractNum>
  <w:abstractNum w:abstractNumId="54">
    <w:nsid w:val="4D057D02"/>
    <w:multiLevelType w:val="hybridMultilevel"/>
    <w:tmpl w:val="62FE0B6E"/>
    <w:lvl w:ilvl="0">
      <w:start w:val="1"/>
      <w:numFmt w:val="bullet"/>
      <w:lvlText w:val=""/>
      <w:lvlJc w:val="left"/>
      <w:pPr>
        <w:ind w:left="720" w:hanging="360"/>
      </w:pPr>
      <w:rPr>
        <w:rFonts w:ascii="Wingdings" w:hAnsi="Wingdings" w:hint="default"/>
        <w:b/>
        <w:bCs w:val="0"/>
        <w:color w:val="13666B" w:themeColor="accent3" w:themeShade="80"/>
        <w:sz w:val="22"/>
        <w:szCs w:val="22"/>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5">
    <w:nsid w:val="4D2F3BBF"/>
    <w:multiLevelType w:val="hybridMultilevel"/>
    <w:tmpl w:val="0902D466"/>
    <w:lvl w:ilvl="0">
      <w:start w:val="1"/>
      <w:numFmt w:val="hebrew1"/>
      <w:lvlText w:val="%1."/>
      <w:lvlJc w:val="left"/>
      <w:pPr>
        <w:ind w:left="794" w:hanging="397"/>
      </w:pPr>
      <w:rPr>
        <w:rFonts w:hint="default"/>
        <w:b/>
        <w:sz w:val="24"/>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6">
    <w:nsid w:val="4D590A58"/>
    <w:multiLevelType w:val="hybridMultilevel"/>
    <w:tmpl w:val="901C2072"/>
    <w:lvl w:ilvl="0">
      <w:start w:val="1"/>
      <w:numFmt w:val="decimal"/>
      <w:lvlText w:val="%1."/>
      <w:lvlJc w:val="left"/>
      <w:pPr>
        <w:ind w:left="397" w:hanging="397"/>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7">
    <w:nsid w:val="50A33641"/>
    <w:multiLevelType w:val="hybridMultilevel"/>
    <w:tmpl w:val="D72AF8DA"/>
    <w:lvl w:ilvl="0">
      <w:start w:val="1"/>
      <w:numFmt w:val="decimal"/>
      <w:lvlText w:val="%1."/>
      <w:lvlJc w:val="left"/>
      <w:pPr>
        <w:ind w:left="397" w:hanging="397"/>
      </w:pPr>
      <w:rPr>
        <w:rFonts w:hint="default"/>
        <w:b/>
        <w:sz w:val="24"/>
      </w:rPr>
    </w:lvl>
    <w:lvl w:ilvl="1" w:tentative="1">
      <w:start w:val="1"/>
      <w:numFmt w:val="lowerLetter"/>
      <w:lvlText w:val="%2."/>
      <w:lvlJc w:val="left"/>
      <w:pPr>
        <w:ind w:left="1695" w:hanging="360"/>
      </w:pPr>
    </w:lvl>
    <w:lvl w:ilvl="2" w:tentative="1">
      <w:start w:val="1"/>
      <w:numFmt w:val="lowerRoman"/>
      <w:lvlText w:val="%3."/>
      <w:lvlJc w:val="right"/>
      <w:pPr>
        <w:ind w:left="2415" w:hanging="180"/>
      </w:pPr>
    </w:lvl>
    <w:lvl w:ilvl="3" w:tentative="1">
      <w:start w:val="1"/>
      <w:numFmt w:val="decimal"/>
      <w:lvlText w:val="%4."/>
      <w:lvlJc w:val="left"/>
      <w:pPr>
        <w:ind w:left="3135" w:hanging="360"/>
      </w:pPr>
    </w:lvl>
    <w:lvl w:ilvl="4" w:tentative="1">
      <w:start w:val="1"/>
      <w:numFmt w:val="lowerLetter"/>
      <w:lvlText w:val="%5."/>
      <w:lvlJc w:val="left"/>
      <w:pPr>
        <w:ind w:left="3855" w:hanging="360"/>
      </w:pPr>
    </w:lvl>
    <w:lvl w:ilvl="5" w:tentative="1">
      <w:start w:val="1"/>
      <w:numFmt w:val="lowerRoman"/>
      <w:lvlText w:val="%6."/>
      <w:lvlJc w:val="right"/>
      <w:pPr>
        <w:ind w:left="4575" w:hanging="180"/>
      </w:pPr>
    </w:lvl>
    <w:lvl w:ilvl="6" w:tentative="1">
      <w:start w:val="1"/>
      <w:numFmt w:val="decimal"/>
      <w:lvlText w:val="%7."/>
      <w:lvlJc w:val="left"/>
      <w:pPr>
        <w:ind w:left="5295" w:hanging="360"/>
      </w:pPr>
    </w:lvl>
    <w:lvl w:ilvl="7" w:tentative="1">
      <w:start w:val="1"/>
      <w:numFmt w:val="lowerLetter"/>
      <w:lvlText w:val="%8."/>
      <w:lvlJc w:val="left"/>
      <w:pPr>
        <w:ind w:left="6015" w:hanging="360"/>
      </w:pPr>
    </w:lvl>
    <w:lvl w:ilvl="8" w:tentative="1">
      <w:start w:val="1"/>
      <w:numFmt w:val="lowerRoman"/>
      <w:lvlText w:val="%9."/>
      <w:lvlJc w:val="right"/>
      <w:pPr>
        <w:ind w:left="6735" w:hanging="180"/>
      </w:pPr>
    </w:lvl>
  </w:abstractNum>
  <w:abstractNum w:abstractNumId="58">
    <w:nsid w:val="519160EA"/>
    <w:multiLevelType w:val="hybridMultilevel"/>
    <w:tmpl w:val="1F3EE07E"/>
    <w:lvl w:ilvl="0">
      <w:start w:val="3"/>
      <w:numFmt w:val="decimal"/>
      <w:lvlText w:val="%1."/>
      <w:lvlJc w:val="left"/>
      <w:pPr>
        <w:ind w:left="397" w:hanging="397"/>
      </w:pPr>
      <w:rPr>
        <w:rFonts w:hint="default"/>
        <w:b/>
        <w:sz w:val="24"/>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9">
    <w:nsid w:val="51CB1C38"/>
    <w:multiLevelType w:val="hybridMultilevel"/>
    <w:tmpl w:val="AF9A5CC2"/>
    <w:lvl w:ilvl="0">
      <w:start w:val="1"/>
      <w:numFmt w:val="decimal"/>
      <w:lvlText w:val="%1."/>
      <w:lvlJc w:val="left"/>
      <w:pPr>
        <w:ind w:left="397" w:hanging="397"/>
      </w:pPr>
      <w:rPr>
        <w:rFonts w:hint="default"/>
        <w:b/>
        <w:bCs/>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0">
    <w:nsid w:val="5B115433"/>
    <w:multiLevelType w:val="hybridMultilevel"/>
    <w:tmpl w:val="5E52E32C"/>
    <w:lvl w:ilvl="0">
      <w:start w:val="1"/>
      <w:numFmt w:val="decimal"/>
      <w:lvlText w:val="%1."/>
      <w:lvlJc w:val="left"/>
      <w:pPr>
        <w:ind w:left="397" w:hanging="397"/>
      </w:pPr>
      <w:rPr>
        <w:rFonts w:hint="default"/>
        <w:b/>
        <w:bCs/>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1">
    <w:nsid w:val="5C1E3822"/>
    <w:multiLevelType w:val="hybridMultilevel"/>
    <w:tmpl w:val="C0D8D238"/>
    <w:lvl w:ilvl="0">
      <w:start w:val="1"/>
      <w:numFmt w:val="decimal"/>
      <w:lvlText w:val="%1."/>
      <w:lvlJc w:val="left"/>
      <w:pPr>
        <w:ind w:left="397" w:hanging="397"/>
      </w:pPr>
      <w:rPr>
        <w:rFonts w:hint="default"/>
        <w:b/>
        <w:sz w:val="24"/>
      </w:rPr>
    </w:lvl>
    <w:lvl w:ilvl="1" w:tentative="1">
      <w:start w:val="1"/>
      <w:numFmt w:val="lowerLetter"/>
      <w:lvlText w:val="%2."/>
      <w:lvlJc w:val="left"/>
      <w:pPr>
        <w:ind w:left="1695" w:hanging="360"/>
      </w:pPr>
    </w:lvl>
    <w:lvl w:ilvl="2" w:tentative="1">
      <w:start w:val="1"/>
      <w:numFmt w:val="lowerRoman"/>
      <w:lvlText w:val="%3."/>
      <w:lvlJc w:val="right"/>
      <w:pPr>
        <w:ind w:left="2415" w:hanging="180"/>
      </w:pPr>
    </w:lvl>
    <w:lvl w:ilvl="3" w:tentative="1">
      <w:start w:val="1"/>
      <w:numFmt w:val="decimal"/>
      <w:lvlText w:val="%4."/>
      <w:lvlJc w:val="left"/>
      <w:pPr>
        <w:ind w:left="3135" w:hanging="360"/>
      </w:pPr>
    </w:lvl>
    <w:lvl w:ilvl="4" w:tentative="1">
      <w:start w:val="1"/>
      <w:numFmt w:val="lowerLetter"/>
      <w:lvlText w:val="%5."/>
      <w:lvlJc w:val="left"/>
      <w:pPr>
        <w:ind w:left="3855" w:hanging="360"/>
      </w:pPr>
    </w:lvl>
    <w:lvl w:ilvl="5" w:tentative="1">
      <w:start w:val="1"/>
      <w:numFmt w:val="lowerRoman"/>
      <w:lvlText w:val="%6."/>
      <w:lvlJc w:val="right"/>
      <w:pPr>
        <w:ind w:left="4575" w:hanging="180"/>
      </w:pPr>
    </w:lvl>
    <w:lvl w:ilvl="6" w:tentative="1">
      <w:start w:val="1"/>
      <w:numFmt w:val="decimal"/>
      <w:lvlText w:val="%7."/>
      <w:lvlJc w:val="left"/>
      <w:pPr>
        <w:ind w:left="5295" w:hanging="360"/>
      </w:pPr>
    </w:lvl>
    <w:lvl w:ilvl="7" w:tentative="1">
      <w:start w:val="1"/>
      <w:numFmt w:val="lowerLetter"/>
      <w:lvlText w:val="%8."/>
      <w:lvlJc w:val="left"/>
      <w:pPr>
        <w:ind w:left="6015" w:hanging="360"/>
      </w:pPr>
    </w:lvl>
    <w:lvl w:ilvl="8" w:tentative="1">
      <w:start w:val="1"/>
      <w:numFmt w:val="lowerRoman"/>
      <w:lvlText w:val="%9."/>
      <w:lvlJc w:val="right"/>
      <w:pPr>
        <w:ind w:left="6735" w:hanging="180"/>
      </w:pPr>
    </w:lvl>
  </w:abstractNum>
  <w:abstractNum w:abstractNumId="62">
    <w:nsid w:val="5C2D00DD"/>
    <w:multiLevelType w:val="multilevel"/>
    <w:tmpl w:val="CB2CFB36"/>
    <w:styleLink w:val="-"/>
    <w:lvl w:ilvl="0">
      <w:start w:val="1"/>
      <w:numFmt w:val="decimal"/>
      <w:lvlText w:val="%1."/>
      <w:lvlJc w:val="left"/>
      <w:pPr>
        <w:tabs>
          <w:tab w:val="num" w:pos="357"/>
        </w:tabs>
        <w:ind w:left="357" w:hanging="357"/>
      </w:pPr>
    </w:lvl>
    <w:lvl w:ilvl="1">
      <w:start w:val="1"/>
      <w:numFmt w:val="decimal"/>
      <w:lvlText w:val="%1.%2."/>
      <w:lvlJc w:val="left"/>
      <w:pPr>
        <w:tabs>
          <w:tab w:val="num" w:pos="794"/>
        </w:tabs>
        <w:ind w:left="794" w:hanging="437"/>
      </w:pPr>
    </w:lvl>
    <w:lvl w:ilvl="2">
      <w:start w:val="1"/>
      <w:numFmt w:val="decimal"/>
      <w:lvlText w:val="%1.%2.%3."/>
      <w:lvlJc w:val="left"/>
      <w:pPr>
        <w:tabs>
          <w:tab w:val="num" w:pos="1440"/>
        </w:tabs>
        <w:ind w:left="1225" w:hanging="505"/>
      </w:pPr>
    </w:lvl>
    <w:lvl w:ilvl="3">
      <w:start w:val="1"/>
      <w:numFmt w:val="decimal"/>
      <w:lvlText w:val="%1.%2.%3.%4."/>
      <w:lvlJc w:val="left"/>
      <w:pPr>
        <w:tabs>
          <w:tab w:val="num" w:pos="1797"/>
        </w:tabs>
        <w:ind w:left="1729" w:hanging="652"/>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63">
    <w:nsid w:val="5CA041A3"/>
    <w:multiLevelType w:val="hybridMultilevel"/>
    <w:tmpl w:val="3668C560"/>
    <w:lvl w:ilvl="0">
      <w:start w:val="1"/>
      <w:numFmt w:val="decimal"/>
      <w:lvlText w:val="%1."/>
      <w:lvlJc w:val="left"/>
      <w:pPr>
        <w:ind w:left="397" w:hanging="397"/>
      </w:pPr>
      <w:rPr>
        <w:rFonts w:hint="default"/>
        <w:b/>
        <w:sz w:val="24"/>
      </w:rPr>
    </w:lvl>
    <w:lvl w:ilvl="1" w:tentative="1">
      <w:start w:val="1"/>
      <w:numFmt w:val="lowerLetter"/>
      <w:lvlText w:val="%2."/>
      <w:lvlJc w:val="left"/>
      <w:pPr>
        <w:ind w:left="1695" w:hanging="360"/>
      </w:pPr>
    </w:lvl>
    <w:lvl w:ilvl="2" w:tentative="1">
      <w:start w:val="1"/>
      <w:numFmt w:val="lowerRoman"/>
      <w:lvlText w:val="%3."/>
      <w:lvlJc w:val="right"/>
      <w:pPr>
        <w:ind w:left="2415" w:hanging="180"/>
      </w:pPr>
    </w:lvl>
    <w:lvl w:ilvl="3" w:tentative="1">
      <w:start w:val="1"/>
      <w:numFmt w:val="decimal"/>
      <w:lvlText w:val="%4."/>
      <w:lvlJc w:val="left"/>
      <w:pPr>
        <w:ind w:left="3135" w:hanging="360"/>
      </w:pPr>
    </w:lvl>
    <w:lvl w:ilvl="4" w:tentative="1">
      <w:start w:val="1"/>
      <w:numFmt w:val="lowerLetter"/>
      <w:lvlText w:val="%5."/>
      <w:lvlJc w:val="left"/>
      <w:pPr>
        <w:ind w:left="3855" w:hanging="360"/>
      </w:pPr>
    </w:lvl>
    <w:lvl w:ilvl="5" w:tentative="1">
      <w:start w:val="1"/>
      <w:numFmt w:val="lowerRoman"/>
      <w:lvlText w:val="%6."/>
      <w:lvlJc w:val="right"/>
      <w:pPr>
        <w:ind w:left="4575" w:hanging="180"/>
      </w:pPr>
    </w:lvl>
    <w:lvl w:ilvl="6" w:tentative="1">
      <w:start w:val="1"/>
      <w:numFmt w:val="decimal"/>
      <w:lvlText w:val="%7."/>
      <w:lvlJc w:val="left"/>
      <w:pPr>
        <w:ind w:left="5295" w:hanging="360"/>
      </w:pPr>
    </w:lvl>
    <w:lvl w:ilvl="7" w:tentative="1">
      <w:start w:val="1"/>
      <w:numFmt w:val="lowerLetter"/>
      <w:lvlText w:val="%8."/>
      <w:lvlJc w:val="left"/>
      <w:pPr>
        <w:ind w:left="6015" w:hanging="360"/>
      </w:pPr>
    </w:lvl>
    <w:lvl w:ilvl="8" w:tentative="1">
      <w:start w:val="1"/>
      <w:numFmt w:val="lowerRoman"/>
      <w:lvlText w:val="%9."/>
      <w:lvlJc w:val="right"/>
      <w:pPr>
        <w:ind w:left="6735" w:hanging="180"/>
      </w:pPr>
    </w:lvl>
  </w:abstractNum>
  <w:abstractNum w:abstractNumId="64">
    <w:nsid w:val="5CF15DB6"/>
    <w:multiLevelType w:val="hybridMultilevel"/>
    <w:tmpl w:val="E1CCF4BC"/>
    <w:lvl w:ilvl="0">
      <w:start w:val="1"/>
      <w:numFmt w:val="hebrew1"/>
      <w:lvlText w:val="%1."/>
      <w:lvlJc w:val="center"/>
      <w:pPr>
        <w:ind w:left="794" w:hanging="397"/>
      </w:pPr>
      <w:rPr>
        <w:rFonts w:hint="default"/>
        <w:b/>
        <w:bCs w:val="0"/>
        <w:sz w:val="24"/>
      </w:rPr>
    </w:lvl>
    <w:lvl w:ilvl="1" w:tentative="1">
      <w:start w:val="1"/>
      <w:numFmt w:val="lowerLetter"/>
      <w:lvlText w:val="%2."/>
      <w:lvlJc w:val="left"/>
      <w:pPr>
        <w:ind w:left="2234" w:hanging="360"/>
      </w:pPr>
    </w:lvl>
    <w:lvl w:ilvl="2" w:tentative="1">
      <w:start w:val="1"/>
      <w:numFmt w:val="lowerRoman"/>
      <w:lvlText w:val="%3."/>
      <w:lvlJc w:val="right"/>
      <w:pPr>
        <w:ind w:left="2954" w:hanging="180"/>
      </w:pPr>
    </w:lvl>
    <w:lvl w:ilvl="3" w:tentative="1">
      <w:start w:val="1"/>
      <w:numFmt w:val="decimal"/>
      <w:lvlText w:val="%4."/>
      <w:lvlJc w:val="left"/>
      <w:pPr>
        <w:ind w:left="3674" w:hanging="360"/>
      </w:pPr>
    </w:lvl>
    <w:lvl w:ilvl="4" w:tentative="1">
      <w:start w:val="1"/>
      <w:numFmt w:val="lowerLetter"/>
      <w:lvlText w:val="%5."/>
      <w:lvlJc w:val="left"/>
      <w:pPr>
        <w:ind w:left="4394" w:hanging="360"/>
      </w:pPr>
    </w:lvl>
    <w:lvl w:ilvl="5" w:tentative="1">
      <w:start w:val="1"/>
      <w:numFmt w:val="lowerRoman"/>
      <w:lvlText w:val="%6."/>
      <w:lvlJc w:val="right"/>
      <w:pPr>
        <w:ind w:left="5114" w:hanging="180"/>
      </w:pPr>
    </w:lvl>
    <w:lvl w:ilvl="6" w:tentative="1">
      <w:start w:val="1"/>
      <w:numFmt w:val="decimal"/>
      <w:lvlText w:val="%7."/>
      <w:lvlJc w:val="left"/>
      <w:pPr>
        <w:ind w:left="5834" w:hanging="360"/>
      </w:pPr>
    </w:lvl>
    <w:lvl w:ilvl="7" w:tentative="1">
      <w:start w:val="1"/>
      <w:numFmt w:val="lowerLetter"/>
      <w:lvlText w:val="%8."/>
      <w:lvlJc w:val="left"/>
      <w:pPr>
        <w:ind w:left="6554" w:hanging="360"/>
      </w:pPr>
    </w:lvl>
    <w:lvl w:ilvl="8" w:tentative="1">
      <w:start w:val="1"/>
      <w:numFmt w:val="lowerRoman"/>
      <w:lvlText w:val="%9."/>
      <w:lvlJc w:val="right"/>
      <w:pPr>
        <w:ind w:left="7274" w:hanging="180"/>
      </w:pPr>
    </w:lvl>
  </w:abstractNum>
  <w:abstractNum w:abstractNumId="65">
    <w:nsid w:val="5D553D21"/>
    <w:multiLevelType w:val="hybridMultilevel"/>
    <w:tmpl w:val="E4C4C7AA"/>
    <w:lvl w:ilvl="0">
      <w:start w:val="1"/>
      <w:numFmt w:val="decimal"/>
      <w:lvlText w:val="%1."/>
      <w:lvlJc w:val="center"/>
      <w:pPr>
        <w:ind w:left="397" w:hanging="397"/>
      </w:pPr>
      <w:rPr>
        <w:rFonts w:hint="default"/>
        <w:b/>
        <w:bCs w:val="0"/>
        <w:sz w:val="24"/>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6">
    <w:nsid w:val="5D5F4BB6"/>
    <w:multiLevelType w:val="hybridMultilevel"/>
    <w:tmpl w:val="5E9AAA1E"/>
    <w:lvl w:ilvl="0">
      <w:start w:val="6"/>
      <w:numFmt w:val="decimal"/>
      <w:lvlText w:val="%1."/>
      <w:lvlJc w:val="left"/>
      <w:pPr>
        <w:ind w:left="397" w:hanging="397"/>
      </w:pPr>
      <w:rPr>
        <w:rFonts w:hint="default"/>
        <w:b/>
        <w:sz w:val="24"/>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7">
    <w:nsid w:val="5D7F29F7"/>
    <w:multiLevelType w:val="hybridMultilevel"/>
    <w:tmpl w:val="ABFC5A12"/>
    <w:lvl w:ilvl="0">
      <w:start w:val="1"/>
      <w:numFmt w:val="hebrew1"/>
      <w:pStyle w:val="70"/>
      <w:lvlText w:val="%1."/>
      <w:lvlJc w:val="left"/>
      <w:pPr>
        <w:ind w:left="794" w:hanging="397"/>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8">
    <w:nsid w:val="5F743717"/>
    <w:multiLevelType w:val="multilevel"/>
    <w:tmpl w:val="54B40DD4"/>
    <w:lvl w:ilvl="0">
      <w:start w:val="1"/>
      <w:numFmt w:val="decimal"/>
      <w:pStyle w:val="a21"/>
      <w:lvlText w:val="%1."/>
      <w:lvlJc w:val="left"/>
      <w:pPr>
        <w:tabs>
          <w:tab w:val="num" w:pos="360"/>
        </w:tabs>
        <w:ind w:left="360" w:hanging="360"/>
      </w:pPr>
      <w:rPr>
        <w:rFonts w:cs="David" w:hint="cs"/>
        <w:szCs w:val="24"/>
      </w:rPr>
    </w:lvl>
    <w:lvl w:ilvl="1">
      <w:start w:val="1"/>
      <w:numFmt w:val="decimal"/>
      <w:lvlText w:val="%1.%2."/>
      <w:lvlJc w:val="left"/>
      <w:pPr>
        <w:tabs>
          <w:tab w:val="num" w:pos="792"/>
        </w:tabs>
        <w:ind w:left="792" w:hanging="432"/>
      </w:pPr>
      <w:rPr>
        <w:rFonts w:cs="David" w:hint="cs"/>
        <w:b w:val="0"/>
        <w:bCs w:val="0"/>
        <w:sz w:val="24"/>
        <w:szCs w:val="24"/>
      </w:rPr>
    </w:lvl>
    <w:lvl w:ilvl="2">
      <w:start w:val="1"/>
      <w:numFmt w:val="decimal"/>
      <w:lvlText w:val="%1.%2.%3."/>
      <w:lvlJc w:val="left"/>
      <w:pPr>
        <w:tabs>
          <w:tab w:val="num" w:pos="1418"/>
        </w:tabs>
        <w:ind w:left="1418" w:hanging="624"/>
      </w:pPr>
      <w:rPr>
        <w:rFonts w:cs="David" w:hint="cs"/>
        <w:b w:val="0"/>
        <w:bCs w:val="0"/>
        <w:szCs w:val="24"/>
      </w:rPr>
    </w:lvl>
    <w:lvl w:ilvl="3">
      <w:start w:val="1"/>
      <w:numFmt w:val="decimal"/>
      <w:lvlText w:val="%1.%2.%3.%4."/>
      <w:lvlJc w:val="left"/>
      <w:pPr>
        <w:tabs>
          <w:tab w:val="num" w:pos="2098"/>
        </w:tabs>
        <w:ind w:left="2098" w:hanging="680"/>
      </w:pPr>
      <w:rPr>
        <w:rFonts w:cs="David" w:hint="cs"/>
        <w:b w:val="0"/>
        <w:bCs w:val="0"/>
        <w:szCs w:val="24"/>
      </w:rPr>
    </w:lvl>
    <w:lvl w:ilvl="4">
      <w:start w:val="1"/>
      <w:numFmt w:val="decimal"/>
      <w:lvlText w:val="%1.%2.%3.%4.%5."/>
      <w:lvlJc w:val="left"/>
      <w:pPr>
        <w:tabs>
          <w:tab w:val="num" w:pos="2325"/>
        </w:tabs>
        <w:ind w:left="2325" w:hanging="227"/>
      </w:pPr>
      <w:rPr>
        <w:rFonts w:cs="David" w:hint="cs"/>
        <w:szCs w:val="24"/>
      </w:rPr>
    </w:lvl>
    <w:lvl w:ilvl="5">
      <w:start w:val="1"/>
      <w:numFmt w:val="decimal"/>
      <w:lvlText w:val="%1.%2.%3.%4.%5.%6."/>
      <w:lvlJc w:val="left"/>
      <w:pPr>
        <w:tabs>
          <w:tab w:val="num" w:pos="2880"/>
        </w:tabs>
        <w:ind w:left="2736" w:hanging="936"/>
      </w:pPr>
      <w:rPr>
        <w:rFonts w:cs="David" w:hint="cs"/>
      </w:rPr>
    </w:lvl>
    <w:lvl w:ilvl="6">
      <w:start w:val="1"/>
      <w:numFmt w:val="decimal"/>
      <w:lvlText w:val="%1.%2.%3.%4.%5.%6.%7."/>
      <w:lvlJc w:val="left"/>
      <w:pPr>
        <w:tabs>
          <w:tab w:val="num" w:pos="3600"/>
        </w:tabs>
        <w:ind w:left="3240" w:hanging="1080"/>
      </w:pPr>
      <w:rPr>
        <w:rFonts w:cs="TypoUpright BT" w:hint="default"/>
      </w:rPr>
    </w:lvl>
    <w:lvl w:ilvl="7">
      <w:start w:val="1"/>
      <w:numFmt w:val="decimal"/>
      <w:lvlText w:val="%1.%2.%3.%4.%5.%6.%7.%8."/>
      <w:lvlJc w:val="left"/>
      <w:pPr>
        <w:tabs>
          <w:tab w:val="num" w:pos="3960"/>
        </w:tabs>
        <w:ind w:left="3744" w:hanging="1224"/>
      </w:pPr>
      <w:rPr>
        <w:rFonts w:cs="TypoUpright BT" w:hint="default"/>
      </w:rPr>
    </w:lvl>
    <w:lvl w:ilvl="8">
      <w:start w:val="1"/>
      <w:numFmt w:val="decimal"/>
      <w:lvlText w:val="%1.%2.%3.%4.%5.%6.%7.%8.%9."/>
      <w:lvlJc w:val="left"/>
      <w:pPr>
        <w:tabs>
          <w:tab w:val="num" w:pos="4680"/>
        </w:tabs>
        <w:ind w:left="4320" w:hanging="1440"/>
      </w:pPr>
      <w:rPr>
        <w:rFonts w:cs="TypoUpright BT" w:hint="default"/>
      </w:rPr>
    </w:lvl>
  </w:abstractNum>
  <w:abstractNum w:abstractNumId="69">
    <w:nsid w:val="656055E2"/>
    <w:multiLevelType w:val="hybridMultilevel"/>
    <w:tmpl w:val="2A5A0E14"/>
    <w:lvl w:ilvl="0">
      <w:start w:val="5"/>
      <w:numFmt w:val="decimal"/>
      <w:lvlText w:val="%1."/>
      <w:lvlJc w:val="left"/>
      <w:pPr>
        <w:ind w:left="397" w:hanging="397"/>
      </w:pPr>
      <w:rPr>
        <w:rFonts w:hint="default"/>
        <w:b w:val="0"/>
        <w:bCs/>
        <w:sz w:val="24"/>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0">
    <w:nsid w:val="656E700F"/>
    <w:multiLevelType w:val="hybridMultilevel"/>
    <w:tmpl w:val="A6BE537C"/>
    <w:lvl w:ilvl="0">
      <w:start w:val="1"/>
      <w:numFmt w:val="decimal"/>
      <w:lvlText w:val="%1."/>
      <w:lvlJc w:val="left"/>
      <w:pPr>
        <w:ind w:left="397" w:hanging="397"/>
      </w:pPr>
      <w:rPr>
        <w:rFonts w:hint="default"/>
        <w:b/>
        <w:bCs w:val="0"/>
        <w:sz w:val="24"/>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1">
    <w:nsid w:val="65E8514F"/>
    <w:multiLevelType w:val="hybridMultilevel"/>
    <w:tmpl w:val="7D7C7032"/>
    <w:lvl w:ilvl="0">
      <w:start w:val="1"/>
      <w:numFmt w:val="decimal"/>
      <w:lvlText w:val="%1."/>
      <w:lvlJc w:val="left"/>
      <w:pPr>
        <w:ind w:left="720" w:hanging="360"/>
      </w:pPr>
      <w:rPr>
        <w:rFonts w:hint="default"/>
        <w:b w:val="0"/>
        <w:bCs w:val="0"/>
        <w:lang w:bidi="he-IL"/>
      </w:rPr>
    </w:lvl>
    <w:lvl w:ilvl="1">
      <w:start w:val="1"/>
      <w:numFmt w:val="decimal"/>
      <w:lvlText w:val="%2."/>
      <w:lvlJc w:val="left"/>
      <w:pPr>
        <w:ind w:left="397" w:hanging="397"/>
      </w:pPr>
      <w:rPr>
        <w:rFonts w:hint="default"/>
        <w:b w:val="0"/>
        <w:bCs w:val="0"/>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2">
    <w:nsid w:val="665C1BB2"/>
    <w:multiLevelType w:val="hybridMultilevel"/>
    <w:tmpl w:val="4B7AEE00"/>
    <w:lvl w:ilvl="0">
      <w:start w:val="1"/>
      <w:numFmt w:val="decimal"/>
      <w:lvlText w:val="%1."/>
      <w:lvlJc w:val="left"/>
      <w:pPr>
        <w:ind w:left="397" w:hanging="397"/>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3">
    <w:nsid w:val="66800362"/>
    <w:multiLevelType w:val="hybridMultilevel"/>
    <w:tmpl w:val="6524A038"/>
    <w:lvl w:ilvl="0">
      <w:start w:val="2"/>
      <w:numFmt w:val="bullet"/>
      <w:lvlText w:val=""/>
      <w:lvlJc w:val="left"/>
      <w:pPr>
        <w:ind w:left="397" w:hanging="284"/>
      </w:pPr>
      <w:rPr>
        <w:rFonts w:ascii="Symbol" w:hAnsi="Symbol" w:eastAsiaTheme="minorHAnsi" w:cs="David" w:hint="default"/>
        <w:b/>
        <w:bCs w:val="0"/>
        <w:i w:val="0"/>
        <w:caps w:val="0"/>
        <w:strike w:val="0"/>
        <w:dstrike w:val="0"/>
        <w:vanish w:val="0"/>
        <w:color w:val="auto"/>
        <w:sz w:val="22"/>
        <w:szCs w:val="18"/>
        <w:vertAlign w:val="baseline"/>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4">
    <w:nsid w:val="67893280"/>
    <w:multiLevelType w:val="hybridMultilevel"/>
    <w:tmpl w:val="E07ECD1E"/>
    <w:lvl w:ilvl="0">
      <w:start w:val="1"/>
      <w:numFmt w:val="decimal"/>
      <w:lvlText w:val="%1."/>
      <w:lvlJc w:val="left"/>
      <w:pPr>
        <w:ind w:left="397" w:hanging="397"/>
      </w:pPr>
      <w:rPr>
        <w:rFonts w:hint="default"/>
        <w:b/>
        <w:bCs/>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5">
    <w:nsid w:val="6A620347"/>
    <w:multiLevelType w:val="hybridMultilevel"/>
    <w:tmpl w:val="C8AE74F0"/>
    <w:lvl w:ilvl="0">
      <w:start w:val="1"/>
      <w:numFmt w:val="decimal"/>
      <w:lvlText w:val="%1."/>
      <w:lvlJc w:val="left"/>
      <w:pPr>
        <w:ind w:left="397" w:hanging="397"/>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6">
    <w:nsid w:val="6AA5792A"/>
    <w:multiLevelType w:val="hybridMultilevel"/>
    <w:tmpl w:val="A03EF392"/>
    <w:lvl w:ilvl="0">
      <w:start w:val="4"/>
      <w:numFmt w:val="decimal"/>
      <w:lvlText w:val="%1."/>
      <w:lvlJc w:val="left"/>
      <w:pPr>
        <w:ind w:left="397" w:hanging="397"/>
      </w:pPr>
      <w:rPr>
        <w:rFonts w:hint="default"/>
        <w:b/>
        <w:sz w:val="24"/>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7">
    <w:nsid w:val="6B421549"/>
    <w:multiLevelType w:val="hybridMultilevel"/>
    <w:tmpl w:val="39A4C69A"/>
    <w:lvl w:ilvl="0">
      <w:start w:val="1"/>
      <w:numFmt w:val="hebrew1"/>
      <w:lvlText w:val="%1."/>
      <w:lvlJc w:val="center"/>
      <w:pPr>
        <w:ind w:left="794" w:hanging="397"/>
      </w:pPr>
      <w:rPr>
        <w:rFonts w:hint="default"/>
        <w:b/>
        <w:sz w:val="24"/>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8">
    <w:nsid w:val="6BFE3484"/>
    <w:multiLevelType w:val="hybridMultilevel"/>
    <w:tmpl w:val="EBE2BD48"/>
    <w:lvl w:ilvl="0">
      <w:start w:val="1"/>
      <w:numFmt w:val="decimal"/>
      <w:lvlText w:val="%1."/>
      <w:lvlJc w:val="left"/>
      <w:pPr>
        <w:ind w:left="720" w:hanging="360"/>
      </w:pPr>
      <w:rPr>
        <w:rFonts w:hint="default"/>
        <w:b w:val="0"/>
        <w:bCs w:val="0"/>
        <w:lang w:bidi="he-IL"/>
      </w:rPr>
    </w:lvl>
    <w:lvl w:ilvl="1">
      <w:start w:val="2"/>
      <w:numFmt w:val="decimal"/>
      <w:lvlText w:val="%2."/>
      <w:lvlJc w:val="left"/>
      <w:pPr>
        <w:ind w:left="397" w:hanging="397"/>
      </w:pPr>
      <w:rPr>
        <w:rFonts w:hint="default"/>
        <w:b w:val="0"/>
        <w:bCs w:val="0"/>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9">
    <w:nsid w:val="734618A8"/>
    <w:multiLevelType w:val="hybridMultilevel"/>
    <w:tmpl w:val="45F09684"/>
    <w:lvl w:ilvl="0">
      <w:start w:val="1"/>
      <w:numFmt w:val="decimal"/>
      <w:lvlText w:val="%1."/>
      <w:lvlJc w:val="left"/>
      <w:pPr>
        <w:ind w:left="397" w:hanging="397"/>
      </w:pPr>
      <w:rPr>
        <w:rFonts w:hint="default"/>
        <w:b/>
        <w:sz w:val="24"/>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0">
    <w:nsid w:val="73D91588"/>
    <w:multiLevelType w:val="hybridMultilevel"/>
    <w:tmpl w:val="63A41118"/>
    <w:lvl w:ilvl="0">
      <w:start w:val="4"/>
      <w:numFmt w:val="decimal"/>
      <w:lvlText w:val="%1."/>
      <w:lvlJc w:val="left"/>
      <w:pPr>
        <w:ind w:left="397" w:hanging="397"/>
      </w:pPr>
      <w:rPr>
        <w:rFonts w:ascii="David" w:hAnsi="David" w:hint="default"/>
        <w:b w:val="0"/>
        <w:bCs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1">
    <w:nsid w:val="743E3A92"/>
    <w:multiLevelType w:val="hybridMultilevel"/>
    <w:tmpl w:val="87F41094"/>
    <w:lvl w:ilvl="0">
      <w:start w:val="5"/>
      <w:numFmt w:val="decimal"/>
      <w:lvlText w:val="%1."/>
      <w:lvlJc w:val="left"/>
      <w:pPr>
        <w:ind w:left="397" w:hanging="397"/>
      </w:pPr>
      <w:rPr>
        <w:rFonts w:ascii="David" w:hAnsi="David" w:hint="default"/>
        <w:b w:val="0"/>
        <w:bCs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2">
    <w:nsid w:val="74A7726F"/>
    <w:multiLevelType w:val="hybridMultilevel"/>
    <w:tmpl w:val="23500B78"/>
    <w:lvl w:ilvl="0">
      <w:start w:val="1"/>
      <w:numFmt w:val="hebrew1"/>
      <w:lvlText w:val="%1."/>
      <w:lvlJc w:val="left"/>
      <w:pPr>
        <w:ind w:left="794" w:hanging="397"/>
      </w:pPr>
      <w:rPr>
        <w:rFonts w:hint="default"/>
        <w:b/>
        <w:sz w:val="24"/>
      </w:rPr>
    </w:lvl>
    <w:lvl w:ilvl="1" w:tentative="1">
      <w:start w:val="1"/>
      <w:numFmt w:val="lowerLetter"/>
      <w:lvlText w:val="%2."/>
      <w:lvlJc w:val="left"/>
      <w:pPr>
        <w:ind w:left="1837" w:hanging="360"/>
      </w:pPr>
    </w:lvl>
    <w:lvl w:ilvl="2" w:tentative="1">
      <w:start w:val="1"/>
      <w:numFmt w:val="lowerRoman"/>
      <w:lvlText w:val="%3."/>
      <w:lvlJc w:val="right"/>
      <w:pPr>
        <w:ind w:left="2557" w:hanging="180"/>
      </w:pPr>
    </w:lvl>
    <w:lvl w:ilvl="3" w:tentative="1">
      <w:start w:val="1"/>
      <w:numFmt w:val="decimal"/>
      <w:lvlText w:val="%4."/>
      <w:lvlJc w:val="left"/>
      <w:pPr>
        <w:ind w:left="3277" w:hanging="360"/>
      </w:pPr>
    </w:lvl>
    <w:lvl w:ilvl="4" w:tentative="1">
      <w:start w:val="1"/>
      <w:numFmt w:val="lowerLetter"/>
      <w:lvlText w:val="%5."/>
      <w:lvlJc w:val="left"/>
      <w:pPr>
        <w:ind w:left="3997" w:hanging="360"/>
      </w:pPr>
    </w:lvl>
    <w:lvl w:ilvl="5" w:tentative="1">
      <w:start w:val="1"/>
      <w:numFmt w:val="lowerRoman"/>
      <w:lvlText w:val="%6."/>
      <w:lvlJc w:val="right"/>
      <w:pPr>
        <w:ind w:left="4717" w:hanging="180"/>
      </w:pPr>
    </w:lvl>
    <w:lvl w:ilvl="6" w:tentative="1">
      <w:start w:val="1"/>
      <w:numFmt w:val="decimal"/>
      <w:lvlText w:val="%7."/>
      <w:lvlJc w:val="left"/>
      <w:pPr>
        <w:ind w:left="5437" w:hanging="360"/>
      </w:pPr>
    </w:lvl>
    <w:lvl w:ilvl="7" w:tentative="1">
      <w:start w:val="1"/>
      <w:numFmt w:val="lowerLetter"/>
      <w:lvlText w:val="%8."/>
      <w:lvlJc w:val="left"/>
      <w:pPr>
        <w:ind w:left="6157" w:hanging="360"/>
      </w:pPr>
    </w:lvl>
    <w:lvl w:ilvl="8" w:tentative="1">
      <w:start w:val="1"/>
      <w:numFmt w:val="lowerRoman"/>
      <w:lvlText w:val="%9."/>
      <w:lvlJc w:val="right"/>
      <w:pPr>
        <w:ind w:left="6877" w:hanging="180"/>
      </w:pPr>
    </w:lvl>
  </w:abstractNum>
  <w:abstractNum w:abstractNumId="83">
    <w:nsid w:val="75D530F7"/>
    <w:multiLevelType w:val="hybridMultilevel"/>
    <w:tmpl w:val="8F205E90"/>
    <w:lvl w:ilvl="0">
      <w:start w:val="1"/>
      <w:numFmt w:val="decimal"/>
      <w:lvlText w:val="%1."/>
      <w:lvlJc w:val="left"/>
      <w:pPr>
        <w:ind w:left="720" w:hanging="360"/>
      </w:pPr>
      <w:rPr>
        <w:rFonts w:hint="default"/>
        <w:b/>
        <w:bCs/>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4">
    <w:nsid w:val="75D834B3"/>
    <w:multiLevelType w:val="multilevel"/>
    <w:tmpl w:val="E6D65EBE"/>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85">
    <w:nsid w:val="789D6714"/>
    <w:multiLevelType w:val="hybridMultilevel"/>
    <w:tmpl w:val="86AC0EFC"/>
    <w:lvl w:ilvl="0">
      <w:start w:val="1"/>
      <w:numFmt w:val="decimal"/>
      <w:lvlText w:val="%1."/>
      <w:lvlJc w:val="left"/>
      <w:pPr>
        <w:ind w:left="397" w:hanging="397"/>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6">
    <w:nsid w:val="7A1E1F19"/>
    <w:multiLevelType w:val="hybridMultilevel"/>
    <w:tmpl w:val="101EA558"/>
    <w:lvl w:ilvl="0">
      <w:start w:val="1"/>
      <w:numFmt w:val="decimal"/>
      <w:lvlText w:val="%1."/>
      <w:lvlJc w:val="left"/>
      <w:pPr>
        <w:ind w:left="397" w:hanging="397"/>
      </w:pPr>
      <w:rPr>
        <w:rFonts w:hint="default"/>
        <w:b w:val="0"/>
        <w:bCs/>
        <w:sz w:val="24"/>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7">
    <w:nsid w:val="7C7F5D7B"/>
    <w:multiLevelType w:val="hybridMultilevel"/>
    <w:tmpl w:val="2852301E"/>
    <w:lvl w:ilvl="0">
      <w:start w:val="1"/>
      <w:numFmt w:val="decimal"/>
      <w:lvlText w:val="%1."/>
      <w:lvlJc w:val="left"/>
      <w:pPr>
        <w:ind w:left="397" w:hanging="397"/>
      </w:pPr>
      <w:rPr>
        <w:rFonts w:hint="default"/>
        <w:b/>
        <w:bCs w:val="0"/>
        <w:sz w:val="24"/>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8">
    <w:nsid w:val="7D365B29"/>
    <w:multiLevelType w:val="multilevel"/>
    <w:tmpl w:val="E3AA6D54"/>
    <w:lvl w:ilvl="0">
      <w:start w:val="1"/>
      <w:numFmt w:val="hebrew1"/>
      <w:pStyle w:val="7322"/>
      <w:lvlText w:val="%1."/>
      <w:lvlJc w:val="left"/>
      <w:pPr>
        <w:ind w:left="663" w:hanging="340"/>
      </w:pPr>
      <w:rPr>
        <w:rFonts w:ascii="Tahoma" w:hAnsi="Tahoma" w:eastAsiaTheme="minorHAnsi" w:cs="Tahoma" w:hint="default"/>
        <w:b w:val="0"/>
        <w:bCs w:val="0"/>
      </w:rPr>
    </w:lvl>
    <w:lvl w:ilvl="1">
      <w:start w:val="1"/>
      <w:numFmt w:val="hebrew1"/>
      <w:lvlText w:val="%2."/>
      <w:lvlJc w:val="left"/>
      <w:pPr>
        <w:ind w:left="1003" w:hanging="340"/>
      </w:pPr>
    </w:lvl>
    <w:lvl w:ilvl="2">
      <w:start w:val="1"/>
      <w:numFmt w:val="decimal"/>
      <w:lvlText w:val="(%3)"/>
      <w:lvlJc w:val="left"/>
      <w:pPr>
        <w:ind w:left="1400" w:hanging="397"/>
      </w:pPr>
    </w:lvl>
    <w:lvl w:ilvl="3">
      <w:start w:val="1"/>
      <w:numFmt w:val="hebrew1"/>
      <w:lvlText w:val="(%4)"/>
      <w:lvlJc w:val="left"/>
      <w:pPr>
        <w:ind w:left="1797" w:hanging="397"/>
      </w:pPr>
    </w:lvl>
    <w:lvl w:ilvl="4">
      <w:start w:val="1"/>
      <w:numFmt w:val="lowerLetter"/>
      <w:lvlText w:val="(%5)"/>
      <w:lvlJc w:val="left"/>
      <w:pPr>
        <w:ind w:left="2120" w:hanging="357"/>
      </w:pPr>
    </w:lvl>
    <w:lvl w:ilvl="5">
      <w:start w:val="1"/>
      <w:numFmt w:val="lowerRoman"/>
      <w:lvlText w:val="(%6)"/>
      <w:lvlJc w:val="left"/>
      <w:pPr>
        <w:ind w:left="2483" w:hanging="363"/>
      </w:pPr>
    </w:lvl>
    <w:lvl w:ilvl="6">
      <w:start w:val="1"/>
      <w:numFmt w:val="decimal"/>
      <w:lvlText w:val="%7."/>
      <w:lvlJc w:val="left"/>
      <w:pPr>
        <w:ind w:left="2840" w:hanging="357"/>
      </w:pPr>
    </w:lvl>
    <w:lvl w:ilvl="7">
      <w:start w:val="1"/>
      <w:numFmt w:val="lowerLetter"/>
      <w:lvlText w:val="%8."/>
      <w:lvlJc w:val="left"/>
      <w:pPr>
        <w:ind w:left="3203" w:hanging="363"/>
      </w:pPr>
    </w:lvl>
    <w:lvl w:ilvl="8">
      <w:start w:val="1"/>
      <w:numFmt w:val="lowerRoman"/>
      <w:lvlText w:val="%9."/>
      <w:lvlJc w:val="left"/>
      <w:pPr>
        <w:ind w:left="3560" w:hanging="357"/>
      </w:pPr>
    </w:lvl>
  </w:abstractNum>
  <w:num w:numId="1">
    <w:abstractNumId w:val="62"/>
  </w:num>
  <w:num w:numId="2">
    <w:abstractNumId w:val="34"/>
  </w:num>
  <w:num w:numId="3">
    <w:abstractNumId w:val="40"/>
  </w:num>
  <w:num w:numId="4">
    <w:abstractNumId w:val="88"/>
  </w:num>
  <w:num w:numId="5">
    <w:abstractNumId w:val="6"/>
  </w:num>
  <w:num w:numId="6">
    <w:abstractNumId w:val="45"/>
  </w:num>
  <w:num w:numId="7">
    <w:abstractNumId w:val="68"/>
  </w:num>
  <w:num w:numId="8">
    <w:abstractNumId w:val="11"/>
  </w:num>
  <w:num w:numId="9">
    <w:abstractNumId w:val="67"/>
  </w:num>
  <w:num w:numId="10">
    <w:abstractNumId w:val="71"/>
  </w:num>
  <w:num w:numId="11">
    <w:abstractNumId w:val="32"/>
  </w:num>
  <w:num w:numId="12">
    <w:abstractNumId w:val="48"/>
  </w:num>
  <w:num w:numId="13">
    <w:abstractNumId w:val="54"/>
  </w:num>
  <w:num w:numId="14">
    <w:abstractNumId w:val="12"/>
  </w:num>
  <w:num w:numId="15">
    <w:abstractNumId w:val="84"/>
  </w:num>
  <w:num w:numId="16">
    <w:abstractNumId w:val="2"/>
  </w:num>
  <w:num w:numId="17">
    <w:abstractNumId w:val="74"/>
  </w:num>
  <w:num w:numId="18">
    <w:abstractNumId w:val="42"/>
  </w:num>
  <w:num w:numId="19">
    <w:abstractNumId w:val="75"/>
  </w:num>
  <w:num w:numId="20">
    <w:abstractNumId w:val="77"/>
  </w:num>
  <w:num w:numId="21">
    <w:abstractNumId w:val="1"/>
  </w:num>
  <w:num w:numId="22">
    <w:abstractNumId w:val="21"/>
  </w:num>
  <w:num w:numId="23">
    <w:abstractNumId w:val="4"/>
  </w:num>
  <w:num w:numId="24">
    <w:abstractNumId w:val="26"/>
  </w:num>
  <w:num w:numId="25">
    <w:abstractNumId w:val="55"/>
  </w:num>
  <w:num w:numId="26">
    <w:abstractNumId w:val="49"/>
  </w:num>
  <w:num w:numId="27">
    <w:abstractNumId w:val="0"/>
  </w:num>
  <w:num w:numId="28">
    <w:abstractNumId w:val="61"/>
  </w:num>
  <w:num w:numId="29">
    <w:abstractNumId w:val="57"/>
  </w:num>
  <w:num w:numId="30">
    <w:abstractNumId w:val="63"/>
  </w:num>
  <w:num w:numId="31">
    <w:abstractNumId w:val="13"/>
  </w:num>
  <w:num w:numId="32">
    <w:abstractNumId w:val="9"/>
  </w:num>
  <w:num w:numId="33">
    <w:abstractNumId w:val="86"/>
  </w:num>
  <w:num w:numId="34">
    <w:abstractNumId w:val="44"/>
  </w:num>
  <w:num w:numId="35">
    <w:abstractNumId w:val="17"/>
  </w:num>
  <w:num w:numId="36">
    <w:abstractNumId w:val="38"/>
  </w:num>
  <w:num w:numId="37">
    <w:abstractNumId w:val="19"/>
  </w:num>
  <w:num w:numId="38">
    <w:abstractNumId w:val="70"/>
  </w:num>
  <w:num w:numId="39">
    <w:abstractNumId w:val="10"/>
  </w:num>
  <w:num w:numId="40">
    <w:abstractNumId w:val="18"/>
  </w:num>
  <w:num w:numId="41">
    <w:abstractNumId w:val="87"/>
  </w:num>
  <w:num w:numId="42">
    <w:abstractNumId w:val="64"/>
  </w:num>
  <w:num w:numId="43">
    <w:abstractNumId w:val="5"/>
  </w:num>
  <w:num w:numId="44">
    <w:abstractNumId w:val="46"/>
  </w:num>
  <w:num w:numId="45">
    <w:abstractNumId w:val="51"/>
  </w:num>
  <w:num w:numId="46">
    <w:abstractNumId w:val="65"/>
  </w:num>
  <w:num w:numId="47">
    <w:abstractNumId w:val="82"/>
  </w:num>
  <w:num w:numId="48">
    <w:abstractNumId w:val="16"/>
  </w:num>
  <w:num w:numId="49">
    <w:abstractNumId w:val="35"/>
  </w:num>
  <w:num w:numId="50">
    <w:abstractNumId w:val="47"/>
  </w:num>
  <w:num w:numId="51">
    <w:abstractNumId w:val="37"/>
  </w:num>
  <w:num w:numId="52">
    <w:abstractNumId w:val="22"/>
  </w:num>
  <w:num w:numId="53">
    <w:abstractNumId w:val="80"/>
  </w:num>
  <w:num w:numId="54">
    <w:abstractNumId w:val="41"/>
  </w:num>
  <w:num w:numId="55">
    <w:abstractNumId w:val="85"/>
  </w:num>
  <w:num w:numId="56">
    <w:abstractNumId w:val="56"/>
  </w:num>
  <w:num w:numId="57">
    <w:abstractNumId w:val="60"/>
  </w:num>
  <w:num w:numId="58">
    <w:abstractNumId w:val="73"/>
  </w:num>
  <w:num w:numId="59">
    <w:abstractNumId w:val="27"/>
  </w:num>
  <w:num w:numId="60">
    <w:abstractNumId w:val="83"/>
  </w:num>
  <w:num w:numId="61">
    <w:abstractNumId w:val="23"/>
  </w:num>
  <w:num w:numId="62">
    <w:abstractNumId w:val="72"/>
  </w:num>
  <w:num w:numId="63">
    <w:abstractNumId w:val="15"/>
  </w:num>
  <w:num w:numId="64">
    <w:abstractNumId w:val="59"/>
  </w:num>
  <w:num w:numId="65">
    <w:abstractNumId w:val="52"/>
  </w:num>
  <w:num w:numId="66">
    <w:abstractNumId w:val="39"/>
  </w:num>
  <w:num w:numId="67">
    <w:abstractNumId w:val="36"/>
  </w:num>
  <w:num w:numId="68">
    <w:abstractNumId w:val="20"/>
  </w:num>
  <w:num w:numId="69">
    <w:abstractNumId w:val="78"/>
  </w:num>
  <w:num w:numId="70">
    <w:abstractNumId w:val="43"/>
  </w:num>
  <w:num w:numId="71">
    <w:abstractNumId w:val="30"/>
  </w:num>
  <w:num w:numId="72">
    <w:abstractNumId w:val="50"/>
  </w:num>
  <w:num w:numId="73">
    <w:abstractNumId w:val="14"/>
  </w:num>
  <w:num w:numId="74">
    <w:abstractNumId w:val="81"/>
  </w:num>
  <w:num w:numId="75">
    <w:abstractNumId w:val="53"/>
  </w:num>
  <w:num w:numId="76">
    <w:abstractNumId w:val="28"/>
  </w:num>
  <w:num w:numId="77">
    <w:abstractNumId w:val="8"/>
  </w:num>
  <w:num w:numId="78">
    <w:abstractNumId w:val="7"/>
  </w:num>
  <w:num w:numId="79">
    <w:abstractNumId w:val="29"/>
  </w:num>
  <w:num w:numId="80">
    <w:abstractNumId w:val="3"/>
  </w:num>
  <w:num w:numId="81">
    <w:abstractNumId w:val="69"/>
  </w:num>
  <w:num w:numId="82">
    <w:abstractNumId w:val="33"/>
  </w:num>
  <w:num w:numId="83">
    <w:abstractNumId w:val="58"/>
  </w:num>
  <w:num w:numId="84">
    <w:abstractNumId w:val="76"/>
  </w:num>
  <w:num w:numId="85">
    <w:abstractNumId w:val="25"/>
  </w:num>
  <w:num w:numId="86">
    <w:abstractNumId w:val="66"/>
  </w:num>
  <w:num w:numId="87">
    <w:abstractNumId w:val="79"/>
  </w:num>
  <w:num w:numId="88">
    <w:abstractNumId w:val="31"/>
  </w:num>
  <w:num w:numId="89">
    <w:abstractNumId w:val="24"/>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hideSpellingErrors/>
  <w:hideGrammaticalErrors/>
  <w:zoom w:percent="117"/>
  <w:displayBackgroundShape/>
  <w:gutterAtTop/>
  <w:proofState w:spelling="clean" w:grammar="clean"/>
  <w:attachedTemplate r:id="rId1"/>
  <w:stylePaneFormatFilter w:val="1004" w:allStyles="0" w:alternateStyleNames="0" w:clearFormatting="1" w:customStyles="0" w:directFormattingOnNumbering="0" w:directFormattingOnParagraphs="0" w:directFormattingOnRuns="0" w:directFormattingOnTables="0" w:headingStyles="0" w:latentStyles="1" w:numberingStyles="0" w:stylesInUse="0" w:tableStyles="0" w:top3HeadingStyles="0" w:visibleStyles="0"/>
  <w:stylePaneSortMethod w:val="name"/>
  <w:defaultTabStop w:val="170"/>
  <w:autoHyphenation/>
  <w:evenAndOddHeaders/>
  <w:characterSpacingControl w:val="doNotCompress"/>
  <w:footnotePr>
    <w:footnote w:id="0"/>
    <w:footnote w:id="1"/>
  </w:foot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05CC"/>
    <w:rsid w:val="000001A4"/>
    <w:rsid w:val="0000041E"/>
    <w:rsid w:val="0000085D"/>
    <w:rsid w:val="00001899"/>
    <w:rsid w:val="000018EF"/>
    <w:rsid w:val="00001C6B"/>
    <w:rsid w:val="00001D5A"/>
    <w:rsid w:val="00001EF4"/>
    <w:rsid w:val="00002EF7"/>
    <w:rsid w:val="00003343"/>
    <w:rsid w:val="00003557"/>
    <w:rsid w:val="00003ABB"/>
    <w:rsid w:val="00003B77"/>
    <w:rsid w:val="00003D51"/>
    <w:rsid w:val="00003EBB"/>
    <w:rsid w:val="00003F96"/>
    <w:rsid w:val="00004277"/>
    <w:rsid w:val="0000520D"/>
    <w:rsid w:val="000054B7"/>
    <w:rsid w:val="00005638"/>
    <w:rsid w:val="00005B23"/>
    <w:rsid w:val="00005EE0"/>
    <w:rsid w:val="000062EC"/>
    <w:rsid w:val="00006B59"/>
    <w:rsid w:val="00006C34"/>
    <w:rsid w:val="000071AD"/>
    <w:rsid w:val="000100D6"/>
    <w:rsid w:val="000100D8"/>
    <w:rsid w:val="0001014C"/>
    <w:rsid w:val="00010747"/>
    <w:rsid w:val="000107D8"/>
    <w:rsid w:val="00011BFC"/>
    <w:rsid w:val="00011DF7"/>
    <w:rsid w:val="00012269"/>
    <w:rsid w:val="00012487"/>
    <w:rsid w:val="00012657"/>
    <w:rsid w:val="00012944"/>
    <w:rsid w:val="00013641"/>
    <w:rsid w:val="00013BC3"/>
    <w:rsid w:val="00013E84"/>
    <w:rsid w:val="0001431C"/>
    <w:rsid w:val="0001482C"/>
    <w:rsid w:val="00014D29"/>
    <w:rsid w:val="000155F0"/>
    <w:rsid w:val="000157CF"/>
    <w:rsid w:val="00015A22"/>
    <w:rsid w:val="00016541"/>
    <w:rsid w:val="000166CA"/>
    <w:rsid w:val="000168DE"/>
    <w:rsid w:val="0001735B"/>
    <w:rsid w:val="00020441"/>
    <w:rsid w:val="000206F1"/>
    <w:rsid w:val="00021298"/>
    <w:rsid w:val="00021ED5"/>
    <w:rsid w:val="00021FFB"/>
    <w:rsid w:val="000224FF"/>
    <w:rsid w:val="00023E81"/>
    <w:rsid w:val="000246D2"/>
    <w:rsid w:val="00024E0C"/>
    <w:rsid w:val="000251E2"/>
    <w:rsid w:val="0002526A"/>
    <w:rsid w:val="0002582E"/>
    <w:rsid w:val="000259C7"/>
    <w:rsid w:val="00026245"/>
    <w:rsid w:val="00026367"/>
    <w:rsid w:val="000264D7"/>
    <w:rsid w:val="00026738"/>
    <w:rsid w:val="00026ACC"/>
    <w:rsid w:val="0002705C"/>
    <w:rsid w:val="00027522"/>
    <w:rsid w:val="00027B6F"/>
    <w:rsid w:val="00027BF3"/>
    <w:rsid w:val="0003001D"/>
    <w:rsid w:val="00030345"/>
    <w:rsid w:val="000303C9"/>
    <w:rsid w:val="00031C68"/>
    <w:rsid w:val="00031C69"/>
    <w:rsid w:val="00031CEB"/>
    <w:rsid w:val="00032174"/>
    <w:rsid w:val="00032932"/>
    <w:rsid w:val="00033124"/>
    <w:rsid w:val="0003410F"/>
    <w:rsid w:val="00034327"/>
    <w:rsid w:val="0003470F"/>
    <w:rsid w:val="0003494D"/>
    <w:rsid w:val="00035688"/>
    <w:rsid w:val="00035B80"/>
    <w:rsid w:val="00035C03"/>
    <w:rsid w:val="00036B0F"/>
    <w:rsid w:val="00036C89"/>
    <w:rsid w:val="00036EB8"/>
    <w:rsid w:val="000406E3"/>
    <w:rsid w:val="00040918"/>
    <w:rsid w:val="00040C4D"/>
    <w:rsid w:val="00040EBB"/>
    <w:rsid w:val="000413AB"/>
    <w:rsid w:val="000414A8"/>
    <w:rsid w:val="000419ED"/>
    <w:rsid w:val="00042688"/>
    <w:rsid w:val="00042837"/>
    <w:rsid w:val="0004293F"/>
    <w:rsid w:val="00042BB1"/>
    <w:rsid w:val="00043204"/>
    <w:rsid w:val="000436EC"/>
    <w:rsid w:val="00043931"/>
    <w:rsid w:val="00043FA4"/>
    <w:rsid w:val="00044686"/>
    <w:rsid w:val="000448BE"/>
    <w:rsid w:val="00045038"/>
    <w:rsid w:val="000456D3"/>
    <w:rsid w:val="00046670"/>
    <w:rsid w:val="000470AE"/>
    <w:rsid w:val="00047976"/>
    <w:rsid w:val="00047A92"/>
    <w:rsid w:val="00047CF6"/>
    <w:rsid w:val="00047F74"/>
    <w:rsid w:val="000501A4"/>
    <w:rsid w:val="00050419"/>
    <w:rsid w:val="00050995"/>
    <w:rsid w:val="00050BDE"/>
    <w:rsid w:val="00050DDE"/>
    <w:rsid w:val="000510A1"/>
    <w:rsid w:val="0005218A"/>
    <w:rsid w:val="00052281"/>
    <w:rsid w:val="00052AE4"/>
    <w:rsid w:val="00052E94"/>
    <w:rsid w:val="000532AA"/>
    <w:rsid w:val="00053AA7"/>
    <w:rsid w:val="00053D09"/>
    <w:rsid w:val="00054562"/>
    <w:rsid w:val="00054B57"/>
    <w:rsid w:val="0005582D"/>
    <w:rsid w:val="0005596D"/>
    <w:rsid w:val="00055BE3"/>
    <w:rsid w:val="00055CB5"/>
    <w:rsid w:val="00055E07"/>
    <w:rsid w:val="00055E4C"/>
    <w:rsid w:val="00055EC9"/>
    <w:rsid w:val="00056B3E"/>
    <w:rsid w:val="000571B9"/>
    <w:rsid w:val="0005725C"/>
    <w:rsid w:val="00057574"/>
    <w:rsid w:val="00057F8D"/>
    <w:rsid w:val="00060045"/>
    <w:rsid w:val="00060178"/>
    <w:rsid w:val="0006038F"/>
    <w:rsid w:val="00061010"/>
    <w:rsid w:val="000611FF"/>
    <w:rsid w:val="00061760"/>
    <w:rsid w:val="0006189A"/>
    <w:rsid w:val="000618D0"/>
    <w:rsid w:val="00061A2F"/>
    <w:rsid w:val="00061D7A"/>
    <w:rsid w:val="00062475"/>
    <w:rsid w:val="00062BF2"/>
    <w:rsid w:val="00063297"/>
    <w:rsid w:val="00063A11"/>
    <w:rsid w:val="00063BDC"/>
    <w:rsid w:val="0006411D"/>
    <w:rsid w:val="000644E4"/>
    <w:rsid w:val="0006456C"/>
    <w:rsid w:val="00064637"/>
    <w:rsid w:val="00065003"/>
    <w:rsid w:val="000651DF"/>
    <w:rsid w:val="00066AF6"/>
    <w:rsid w:val="00066F43"/>
    <w:rsid w:val="0006721D"/>
    <w:rsid w:val="000672AB"/>
    <w:rsid w:val="000675B0"/>
    <w:rsid w:val="00067A5D"/>
    <w:rsid w:val="00067A76"/>
    <w:rsid w:val="00067E32"/>
    <w:rsid w:val="00067F12"/>
    <w:rsid w:val="000706BF"/>
    <w:rsid w:val="000707EE"/>
    <w:rsid w:val="00070E3F"/>
    <w:rsid w:val="000710A8"/>
    <w:rsid w:val="00071965"/>
    <w:rsid w:val="00071DAA"/>
    <w:rsid w:val="00071F2E"/>
    <w:rsid w:val="0007200F"/>
    <w:rsid w:val="00072B83"/>
    <w:rsid w:val="00072DD1"/>
    <w:rsid w:val="00072FE8"/>
    <w:rsid w:val="000736B3"/>
    <w:rsid w:val="000738F6"/>
    <w:rsid w:val="00073B6B"/>
    <w:rsid w:val="00073C31"/>
    <w:rsid w:val="00073D9F"/>
    <w:rsid w:val="0007429C"/>
    <w:rsid w:val="00074533"/>
    <w:rsid w:val="00074CF8"/>
    <w:rsid w:val="00074F31"/>
    <w:rsid w:val="00076452"/>
    <w:rsid w:val="00076758"/>
    <w:rsid w:val="00076ED7"/>
    <w:rsid w:val="0007717F"/>
    <w:rsid w:val="0007762A"/>
    <w:rsid w:val="000779CE"/>
    <w:rsid w:val="00077B79"/>
    <w:rsid w:val="00080072"/>
    <w:rsid w:val="000803F2"/>
    <w:rsid w:val="00080C22"/>
    <w:rsid w:val="00081D0E"/>
    <w:rsid w:val="000821CA"/>
    <w:rsid w:val="000824F8"/>
    <w:rsid w:val="0008345D"/>
    <w:rsid w:val="00083692"/>
    <w:rsid w:val="000837F2"/>
    <w:rsid w:val="00083FD0"/>
    <w:rsid w:val="00084E3A"/>
    <w:rsid w:val="00085086"/>
    <w:rsid w:val="00085A22"/>
    <w:rsid w:val="00085B99"/>
    <w:rsid w:val="0008625B"/>
    <w:rsid w:val="00086738"/>
    <w:rsid w:val="00086BCD"/>
    <w:rsid w:val="00086C6B"/>
    <w:rsid w:val="00087176"/>
    <w:rsid w:val="00087686"/>
    <w:rsid w:val="00087F13"/>
    <w:rsid w:val="000901C8"/>
    <w:rsid w:val="0009042C"/>
    <w:rsid w:val="000905E8"/>
    <w:rsid w:val="00090633"/>
    <w:rsid w:val="000907D0"/>
    <w:rsid w:val="00091397"/>
    <w:rsid w:val="000914DE"/>
    <w:rsid w:val="00091811"/>
    <w:rsid w:val="00091A72"/>
    <w:rsid w:val="00092EAB"/>
    <w:rsid w:val="0009349C"/>
    <w:rsid w:val="00093B10"/>
    <w:rsid w:val="00093E30"/>
    <w:rsid w:val="0009432F"/>
    <w:rsid w:val="00094D5D"/>
    <w:rsid w:val="00094E0C"/>
    <w:rsid w:val="00094F15"/>
    <w:rsid w:val="0009524E"/>
    <w:rsid w:val="000953AB"/>
    <w:rsid w:val="0009559D"/>
    <w:rsid w:val="000963C8"/>
    <w:rsid w:val="00096CF4"/>
    <w:rsid w:val="0009703F"/>
    <w:rsid w:val="00097CDE"/>
    <w:rsid w:val="000A00AE"/>
    <w:rsid w:val="000A01F2"/>
    <w:rsid w:val="000A0884"/>
    <w:rsid w:val="000A0915"/>
    <w:rsid w:val="000A134E"/>
    <w:rsid w:val="000A1533"/>
    <w:rsid w:val="000A15B1"/>
    <w:rsid w:val="000A1610"/>
    <w:rsid w:val="000A22CF"/>
    <w:rsid w:val="000A26F1"/>
    <w:rsid w:val="000A2BD8"/>
    <w:rsid w:val="000A3690"/>
    <w:rsid w:val="000A3E74"/>
    <w:rsid w:val="000A3ED4"/>
    <w:rsid w:val="000A4686"/>
    <w:rsid w:val="000A5140"/>
    <w:rsid w:val="000A567C"/>
    <w:rsid w:val="000A5B75"/>
    <w:rsid w:val="000A65A9"/>
    <w:rsid w:val="000A6921"/>
    <w:rsid w:val="000A69A7"/>
    <w:rsid w:val="000A6D5B"/>
    <w:rsid w:val="000A7523"/>
    <w:rsid w:val="000B03E7"/>
    <w:rsid w:val="000B0915"/>
    <w:rsid w:val="000B0929"/>
    <w:rsid w:val="000B0AB9"/>
    <w:rsid w:val="000B1102"/>
    <w:rsid w:val="000B153C"/>
    <w:rsid w:val="000B1C94"/>
    <w:rsid w:val="000B1FB4"/>
    <w:rsid w:val="000B2074"/>
    <w:rsid w:val="000B23E8"/>
    <w:rsid w:val="000B2C5B"/>
    <w:rsid w:val="000B2D9C"/>
    <w:rsid w:val="000B2DBE"/>
    <w:rsid w:val="000B3056"/>
    <w:rsid w:val="000B31AA"/>
    <w:rsid w:val="000B3A23"/>
    <w:rsid w:val="000B4419"/>
    <w:rsid w:val="000B463F"/>
    <w:rsid w:val="000B464E"/>
    <w:rsid w:val="000B4F23"/>
    <w:rsid w:val="000B55BB"/>
    <w:rsid w:val="000B597C"/>
    <w:rsid w:val="000B5AD4"/>
    <w:rsid w:val="000B6604"/>
    <w:rsid w:val="000B7912"/>
    <w:rsid w:val="000B7B95"/>
    <w:rsid w:val="000B7D4C"/>
    <w:rsid w:val="000C05CB"/>
    <w:rsid w:val="000C089C"/>
    <w:rsid w:val="000C0B98"/>
    <w:rsid w:val="000C0F17"/>
    <w:rsid w:val="000C0F60"/>
    <w:rsid w:val="000C164B"/>
    <w:rsid w:val="000C16F6"/>
    <w:rsid w:val="000C1D0D"/>
    <w:rsid w:val="000C27DC"/>
    <w:rsid w:val="000C2AB9"/>
    <w:rsid w:val="000C327F"/>
    <w:rsid w:val="000C3455"/>
    <w:rsid w:val="000C3BAD"/>
    <w:rsid w:val="000C3EE2"/>
    <w:rsid w:val="000C404B"/>
    <w:rsid w:val="000C43E0"/>
    <w:rsid w:val="000C492E"/>
    <w:rsid w:val="000C50A1"/>
    <w:rsid w:val="000C5E23"/>
    <w:rsid w:val="000C5F85"/>
    <w:rsid w:val="000C6AAF"/>
    <w:rsid w:val="000C7459"/>
    <w:rsid w:val="000C7CF8"/>
    <w:rsid w:val="000D02DC"/>
    <w:rsid w:val="000D04B8"/>
    <w:rsid w:val="000D0837"/>
    <w:rsid w:val="000D11EB"/>
    <w:rsid w:val="000D1714"/>
    <w:rsid w:val="000D2056"/>
    <w:rsid w:val="000D215D"/>
    <w:rsid w:val="000D22F0"/>
    <w:rsid w:val="000D239F"/>
    <w:rsid w:val="000D2A57"/>
    <w:rsid w:val="000D2CB9"/>
    <w:rsid w:val="000D2CDA"/>
    <w:rsid w:val="000D2F7F"/>
    <w:rsid w:val="000D2F93"/>
    <w:rsid w:val="000D2FE7"/>
    <w:rsid w:val="000D3DFF"/>
    <w:rsid w:val="000D4B88"/>
    <w:rsid w:val="000D53BB"/>
    <w:rsid w:val="000D543D"/>
    <w:rsid w:val="000D5B81"/>
    <w:rsid w:val="000D5C0B"/>
    <w:rsid w:val="000D63C9"/>
    <w:rsid w:val="000D69F0"/>
    <w:rsid w:val="000D7666"/>
    <w:rsid w:val="000D7EB1"/>
    <w:rsid w:val="000E013E"/>
    <w:rsid w:val="000E0809"/>
    <w:rsid w:val="000E1475"/>
    <w:rsid w:val="000E1FBD"/>
    <w:rsid w:val="000E2359"/>
    <w:rsid w:val="000E23EA"/>
    <w:rsid w:val="000E2715"/>
    <w:rsid w:val="000E2B2C"/>
    <w:rsid w:val="000E3022"/>
    <w:rsid w:val="000E3025"/>
    <w:rsid w:val="000E3B68"/>
    <w:rsid w:val="000E3D52"/>
    <w:rsid w:val="000E3DFA"/>
    <w:rsid w:val="000E3F0C"/>
    <w:rsid w:val="000E432E"/>
    <w:rsid w:val="000E44FD"/>
    <w:rsid w:val="000E4CE7"/>
    <w:rsid w:val="000E4D6A"/>
    <w:rsid w:val="000E4DF7"/>
    <w:rsid w:val="000E50E1"/>
    <w:rsid w:val="000E5149"/>
    <w:rsid w:val="000E54D2"/>
    <w:rsid w:val="000E5834"/>
    <w:rsid w:val="000E618D"/>
    <w:rsid w:val="000E6198"/>
    <w:rsid w:val="000E64A1"/>
    <w:rsid w:val="000E66F1"/>
    <w:rsid w:val="000E6AAF"/>
    <w:rsid w:val="000E6F44"/>
    <w:rsid w:val="000E73AF"/>
    <w:rsid w:val="000E7622"/>
    <w:rsid w:val="000E7B12"/>
    <w:rsid w:val="000F158C"/>
    <w:rsid w:val="000F1DEA"/>
    <w:rsid w:val="000F23C7"/>
    <w:rsid w:val="000F2408"/>
    <w:rsid w:val="000F2903"/>
    <w:rsid w:val="000F2A10"/>
    <w:rsid w:val="000F2E36"/>
    <w:rsid w:val="000F2F7E"/>
    <w:rsid w:val="000F33D7"/>
    <w:rsid w:val="000F3700"/>
    <w:rsid w:val="000F3C27"/>
    <w:rsid w:val="000F441E"/>
    <w:rsid w:val="000F4578"/>
    <w:rsid w:val="000F4B6E"/>
    <w:rsid w:val="000F4C79"/>
    <w:rsid w:val="000F5023"/>
    <w:rsid w:val="000F53C2"/>
    <w:rsid w:val="000F59F3"/>
    <w:rsid w:val="000F5EDB"/>
    <w:rsid w:val="000F60AB"/>
    <w:rsid w:val="000F62A9"/>
    <w:rsid w:val="000F6CAD"/>
    <w:rsid w:val="000F6F38"/>
    <w:rsid w:val="000F76A8"/>
    <w:rsid w:val="000F7725"/>
    <w:rsid w:val="000F78AE"/>
    <w:rsid w:val="001005F3"/>
    <w:rsid w:val="00101157"/>
    <w:rsid w:val="00101681"/>
    <w:rsid w:val="0010185F"/>
    <w:rsid w:val="00101BB0"/>
    <w:rsid w:val="00101D0F"/>
    <w:rsid w:val="00102185"/>
    <w:rsid w:val="0010231B"/>
    <w:rsid w:val="0010237C"/>
    <w:rsid w:val="001025E5"/>
    <w:rsid w:val="00103655"/>
    <w:rsid w:val="0010413A"/>
    <w:rsid w:val="00104FBC"/>
    <w:rsid w:val="00105970"/>
    <w:rsid w:val="00106A59"/>
    <w:rsid w:val="00107175"/>
    <w:rsid w:val="0010747A"/>
    <w:rsid w:val="00107A35"/>
    <w:rsid w:val="00107D4A"/>
    <w:rsid w:val="0011021D"/>
    <w:rsid w:val="00110250"/>
    <w:rsid w:val="00110F9F"/>
    <w:rsid w:val="0011146E"/>
    <w:rsid w:val="0011186B"/>
    <w:rsid w:val="00111AD4"/>
    <w:rsid w:val="00111F8A"/>
    <w:rsid w:val="00112134"/>
    <w:rsid w:val="001122C0"/>
    <w:rsid w:val="0011243F"/>
    <w:rsid w:val="00112D92"/>
    <w:rsid w:val="00112E28"/>
    <w:rsid w:val="001138DB"/>
    <w:rsid w:val="00113C2F"/>
    <w:rsid w:val="00113E28"/>
    <w:rsid w:val="00114290"/>
    <w:rsid w:val="00114325"/>
    <w:rsid w:val="0011483D"/>
    <w:rsid w:val="00114C7A"/>
    <w:rsid w:val="00114E4E"/>
    <w:rsid w:val="00115432"/>
    <w:rsid w:val="001157CE"/>
    <w:rsid w:val="00115E66"/>
    <w:rsid w:val="00115EA3"/>
    <w:rsid w:val="00116816"/>
    <w:rsid w:val="00116E1B"/>
    <w:rsid w:val="001172DF"/>
    <w:rsid w:val="00117408"/>
    <w:rsid w:val="00117C0E"/>
    <w:rsid w:val="00117DC2"/>
    <w:rsid w:val="00120D57"/>
    <w:rsid w:val="0012150C"/>
    <w:rsid w:val="00121682"/>
    <w:rsid w:val="00121EA1"/>
    <w:rsid w:val="0012279D"/>
    <w:rsid w:val="00122F2F"/>
    <w:rsid w:val="001239A8"/>
    <w:rsid w:val="001239E1"/>
    <w:rsid w:val="001243A4"/>
    <w:rsid w:val="001247BA"/>
    <w:rsid w:val="00124DC1"/>
    <w:rsid w:val="00125628"/>
    <w:rsid w:val="00125881"/>
    <w:rsid w:val="001262F9"/>
    <w:rsid w:val="001268C7"/>
    <w:rsid w:val="00127D9D"/>
    <w:rsid w:val="001305E5"/>
    <w:rsid w:val="00131349"/>
    <w:rsid w:val="0013138F"/>
    <w:rsid w:val="00131CCD"/>
    <w:rsid w:val="00132126"/>
    <w:rsid w:val="001321A1"/>
    <w:rsid w:val="0013302E"/>
    <w:rsid w:val="001337B3"/>
    <w:rsid w:val="0013406B"/>
    <w:rsid w:val="00134DAB"/>
    <w:rsid w:val="00134F83"/>
    <w:rsid w:val="001354CB"/>
    <w:rsid w:val="00135695"/>
    <w:rsid w:val="00135742"/>
    <w:rsid w:val="00135A23"/>
    <w:rsid w:val="00135B1B"/>
    <w:rsid w:val="0013637D"/>
    <w:rsid w:val="00136479"/>
    <w:rsid w:val="00136496"/>
    <w:rsid w:val="0013664A"/>
    <w:rsid w:val="00136669"/>
    <w:rsid w:val="0013667B"/>
    <w:rsid w:val="0013696C"/>
    <w:rsid w:val="00136A10"/>
    <w:rsid w:val="00136A3E"/>
    <w:rsid w:val="00137017"/>
    <w:rsid w:val="0013702C"/>
    <w:rsid w:val="00137337"/>
    <w:rsid w:val="001378D5"/>
    <w:rsid w:val="00137FF0"/>
    <w:rsid w:val="001400DC"/>
    <w:rsid w:val="00140560"/>
    <w:rsid w:val="00140A5E"/>
    <w:rsid w:val="00140CC4"/>
    <w:rsid w:val="00140CD9"/>
    <w:rsid w:val="00141160"/>
    <w:rsid w:val="00141853"/>
    <w:rsid w:val="00141BD6"/>
    <w:rsid w:val="00141E09"/>
    <w:rsid w:val="00141F98"/>
    <w:rsid w:val="00142206"/>
    <w:rsid w:val="00143176"/>
    <w:rsid w:val="001431D6"/>
    <w:rsid w:val="00143B4D"/>
    <w:rsid w:val="00143FFA"/>
    <w:rsid w:val="0014435E"/>
    <w:rsid w:val="0014465D"/>
    <w:rsid w:val="00144908"/>
    <w:rsid w:val="00144BB3"/>
    <w:rsid w:val="00144C4B"/>
    <w:rsid w:val="00144D5F"/>
    <w:rsid w:val="001451A4"/>
    <w:rsid w:val="0014551F"/>
    <w:rsid w:val="00145AB3"/>
    <w:rsid w:val="001460BB"/>
    <w:rsid w:val="001466D7"/>
    <w:rsid w:val="0014691B"/>
    <w:rsid w:val="001469CA"/>
    <w:rsid w:val="00146E34"/>
    <w:rsid w:val="0014715B"/>
    <w:rsid w:val="001475C5"/>
    <w:rsid w:val="00147605"/>
    <w:rsid w:val="00150248"/>
    <w:rsid w:val="00150611"/>
    <w:rsid w:val="00150A48"/>
    <w:rsid w:val="00150BE4"/>
    <w:rsid w:val="00150BE7"/>
    <w:rsid w:val="00150BEB"/>
    <w:rsid w:val="00150CC9"/>
    <w:rsid w:val="00150F89"/>
    <w:rsid w:val="00151B16"/>
    <w:rsid w:val="00152452"/>
    <w:rsid w:val="001526AC"/>
    <w:rsid w:val="001527A0"/>
    <w:rsid w:val="00152C2F"/>
    <w:rsid w:val="00153149"/>
    <w:rsid w:val="00153A60"/>
    <w:rsid w:val="00153D95"/>
    <w:rsid w:val="00154091"/>
    <w:rsid w:val="0015454A"/>
    <w:rsid w:val="00154682"/>
    <w:rsid w:val="00154827"/>
    <w:rsid w:val="00154F60"/>
    <w:rsid w:val="00155501"/>
    <w:rsid w:val="001560B9"/>
    <w:rsid w:val="00156CAA"/>
    <w:rsid w:val="00156DEF"/>
    <w:rsid w:val="0015702B"/>
    <w:rsid w:val="00157577"/>
    <w:rsid w:val="00157D86"/>
    <w:rsid w:val="00160155"/>
    <w:rsid w:val="0016031C"/>
    <w:rsid w:val="00161124"/>
    <w:rsid w:val="00161717"/>
    <w:rsid w:val="00161DA5"/>
    <w:rsid w:val="00162EAF"/>
    <w:rsid w:val="001630E8"/>
    <w:rsid w:val="001636F8"/>
    <w:rsid w:val="001637C1"/>
    <w:rsid w:val="001639FB"/>
    <w:rsid w:val="00163D00"/>
    <w:rsid w:val="001643E4"/>
    <w:rsid w:val="00164534"/>
    <w:rsid w:val="001648F4"/>
    <w:rsid w:val="00164B64"/>
    <w:rsid w:val="00164C99"/>
    <w:rsid w:val="00165294"/>
    <w:rsid w:val="00166364"/>
    <w:rsid w:val="00166477"/>
    <w:rsid w:val="001667D5"/>
    <w:rsid w:val="0016692C"/>
    <w:rsid w:val="00166D27"/>
    <w:rsid w:val="001672B6"/>
    <w:rsid w:val="001674FF"/>
    <w:rsid w:val="001675AA"/>
    <w:rsid w:val="00167D07"/>
    <w:rsid w:val="00170230"/>
    <w:rsid w:val="00170320"/>
    <w:rsid w:val="00170625"/>
    <w:rsid w:val="0017091D"/>
    <w:rsid w:val="00170DCB"/>
    <w:rsid w:val="00170E7D"/>
    <w:rsid w:val="0017146B"/>
    <w:rsid w:val="00171552"/>
    <w:rsid w:val="00171B4A"/>
    <w:rsid w:val="00171BD4"/>
    <w:rsid w:val="0017200D"/>
    <w:rsid w:val="0017265F"/>
    <w:rsid w:val="001730B0"/>
    <w:rsid w:val="001739FC"/>
    <w:rsid w:val="00173FDD"/>
    <w:rsid w:val="001747CF"/>
    <w:rsid w:val="00174A21"/>
    <w:rsid w:val="00175053"/>
    <w:rsid w:val="0017513A"/>
    <w:rsid w:val="00175FE2"/>
    <w:rsid w:val="00176411"/>
    <w:rsid w:val="00176B96"/>
    <w:rsid w:val="00177A33"/>
    <w:rsid w:val="00177D09"/>
    <w:rsid w:val="00177D2F"/>
    <w:rsid w:val="00180392"/>
    <w:rsid w:val="00180A11"/>
    <w:rsid w:val="0018148D"/>
    <w:rsid w:val="001814DD"/>
    <w:rsid w:val="00181A6A"/>
    <w:rsid w:val="001821A3"/>
    <w:rsid w:val="00182674"/>
    <w:rsid w:val="00182D37"/>
    <w:rsid w:val="00182DC0"/>
    <w:rsid w:val="00183085"/>
    <w:rsid w:val="001839FA"/>
    <w:rsid w:val="00183DDC"/>
    <w:rsid w:val="0018505D"/>
    <w:rsid w:val="001850BD"/>
    <w:rsid w:val="001850C6"/>
    <w:rsid w:val="0018586A"/>
    <w:rsid w:val="001858E5"/>
    <w:rsid w:val="00185AE7"/>
    <w:rsid w:val="00185B85"/>
    <w:rsid w:val="00185C35"/>
    <w:rsid w:val="00186BD2"/>
    <w:rsid w:val="00186F02"/>
    <w:rsid w:val="0018758B"/>
    <w:rsid w:val="00187D1B"/>
    <w:rsid w:val="001900F7"/>
    <w:rsid w:val="0019015A"/>
    <w:rsid w:val="00190396"/>
    <w:rsid w:val="00190855"/>
    <w:rsid w:val="00190F93"/>
    <w:rsid w:val="00191D43"/>
    <w:rsid w:val="00191FF6"/>
    <w:rsid w:val="00192E51"/>
    <w:rsid w:val="00192F16"/>
    <w:rsid w:val="00193071"/>
    <w:rsid w:val="0019340B"/>
    <w:rsid w:val="0019399F"/>
    <w:rsid w:val="00193B5A"/>
    <w:rsid w:val="00194286"/>
    <w:rsid w:val="00194332"/>
    <w:rsid w:val="001953E4"/>
    <w:rsid w:val="00195732"/>
    <w:rsid w:val="00195BC7"/>
    <w:rsid w:val="00195E40"/>
    <w:rsid w:val="00195EBA"/>
    <w:rsid w:val="001960B4"/>
    <w:rsid w:val="00196FD4"/>
    <w:rsid w:val="0019758B"/>
    <w:rsid w:val="00197B6F"/>
    <w:rsid w:val="00197B8A"/>
    <w:rsid w:val="00197CC1"/>
    <w:rsid w:val="001A0135"/>
    <w:rsid w:val="001A0CA6"/>
    <w:rsid w:val="001A166A"/>
    <w:rsid w:val="001A2081"/>
    <w:rsid w:val="001A2A50"/>
    <w:rsid w:val="001A2F88"/>
    <w:rsid w:val="001A30F6"/>
    <w:rsid w:val="001A325B"/>
    <w:rsid w:val="001A385B"/>
    <w:rsid w:val="001A38A7"/>
    <w:rsid w:val="001A3974"/>
    <w:rsid w:val="001A3E92"/>
    <w:rsid w:val="001A40B6"/>
    <w:rsid w:val="001A4314"/>
    <w:rsid w:val="001A4B1D"/>
    <w:rsid w:val="001A4C5A"/>
    <w:rsid w:val="001A4FC5"/>
    <w:rsid w:val="001A5D04"/>
    <w:rsid w:val="001A5DF1"/>
    <w:rsid w:val="001A613C"/>
    <w:rsid w:val="001A6276"/>
    <w:rsid w:val="001A72F6"/>
    <w:rsid w:val="001A7D06"/>
    <w:rsid w:val="001A7DFE"/>
    <w:rsid w:val="001A7E80"/>
    <w:rsid w:val="001B1030"/>
    <w:rsid w:val="001B120C"/>
    <w:rsid w:val="001B1655"/>
    <w:rsid w:val="001B17FB"/>
    <w:rsid w:val="001B2821"/>
    <w:rsid w:val="001B285C"/>
    <w:rsid w:val="001B2A02"/>
    <w:rsid w:val="001B2ACB"/>
    <w:rsid w:val="001B2D16"/>
    <w:rsid w:val="001B2DBB"/>
    <w:rsid w:val="001B31B5"/>
    <w:rsid w:val="001B3BE6"/>
    <w:rsid w:val="001B3EFA"/>
    <w:rsid w:val="001B41A2"/>
    <w:rsid w:val="001B49CC"/>
    <w:rsid w:val="001B4B0A"/>
    <w:rsid w:val="001B4D4D"/>
    <w:rsid w:val="001B4E87"/>
    <w:rsid w:val="001B4EA7"/>
    <w:rsid w:val="001B5656"/>
    <w:rsid w:val="001B5DFF"/>
    <w:rsid w:val="001B65B8"/>
    <w:rsid w:val="001B6CD1"/>
    <w:rsid w:val="001B6F86"/>
    <w:rsid w:val="001B70CA"/>
    <w:rsid w:val="001B75F0"/>
    <w:rsid w:val="001B7764"/>
    <w:rsid w:val="001C00D8"/>
    <w:rsid w:val="001C057E"/>
    <w:rsid w:val="001C1B42"/>
    <w:rsid w:val="001C2CAD"/>
    <w:rsid w:val="001C308D"/>
    <w:rsid w:val="001C3187"/>
    <w:rsid w:val="001C3232"/>
    <w:rsid w:val="001C34D5"/>
    <w:rsid w:val="001C3ED9"/>
    <w:rsid w:val="001C450A"/>
    <w:rsid w:val="001C45D9"/>
    <w:rsid w:val="001C49B8"/>
    <w:rsid w:val="001C5616"/>
    <w:rsid w:val="001C5A02"/>
    <w:rsid w:val="001C5BF5"/>
    <w:rsid w:val="001C5C3E"/>
    <w:rsid w:val="001C5C9D"/>
    <w:rsid w:val="001C5EB7"/>
    <w:rsid w:val="001C5FEF"/>
    <w:rsid w:val="001C6FC8"/>
    <w:rsid w:val="001C72B2"/>
    <w:rsid w:val="001D0073"/>
    <w:rsid w:val="001D0955"/>
    <w:rsid w:val="001D1192"/>
    <w:rsid w:val="001D223A"/>
    <w:rsid w:val="001D2243"/>
    <w:rsid w:val="001D228F"/>
    <w:rsid w:val="001D23D0"/>
    <w:rsid w:val="001D2793"/>
    <w:rsid w:val="001D2F2A"/>
    <w:rsid w:val="001D3679"/>
    <w:rsid w:val="001D3CC2"/>
    <w:rsid w:val="001D4406"/>
    <w:rsid w:val="001D461F"/>
    <w:rsid w:val="001D46D3"/>
    <w:rsid w:val="001D6714"/>
    <w:rsid w:val="001D713E"/>
    <w:rsid w:val="001D77E6"/>
    <w:rsid w:val="001D79C1"/>
    <w:rsid w:val="001E0306"/>
    <w:rsid w:val="001E09E8"/>
    <w:rsid w:val="001E0A7D"/>
    <w:rsid w:val="001E0D0D"/>
    <w:rsid w:val="001E1049"/>
    <w:rsid w:val="001E1237"/>
    <w:rsid w:val="001E1C40"/>
    <w:rsid w:val="001E1EC3"/>
    <w:rsid w:val="001E1FB9"/>
    <w:rsid w:val="001E1FD1"/>
    <w:rsid w:val="001E2246"/>
    <w:rsid w:val="001E23E2"/>
    <w:rsid w:val="001E2E5A"/>
    <w:rsid w:val="001E3778"/>
    <w:rsid w:val="001E3F7F"/>
    <w:rsid w:val="001E462B"/>
    <w:rsid w:val="001E4759"/>
    <w:rsid w:val="001E475C"/>
    <w:rsid w:val="001E527A"/>
    <w:rsid w:val="001E59BD"/>
    <w:rsid w:val="001E5C3E"/>
    <w:rsid w:val="001E61C9"/>
    <w:rsid w:val="001E641F"/>
    <w:rsid w:val="001E66A7"/>
    <w:rsid w:val="001E773D"/>
    <w:rsid w:val="001F068F"/>
    <w:rsid w:val="001F0BBB"/>
    <w:rsid w:val="001F0DE8"/>
    <w:rsid w:val="001F1703"/>
    <w:rsid w:val="001F2E3B"/>
    <w:rsid w:val="001F3363"/>
    <w:rsid w:val="001F3815"/>
    <w:rsid w:val="001F4057"/>
    <w:rsid w:val="001F407D"/>
    <w:rsid w:val="001F4183"/>
    <w:rsid w:val="001F54B2"/>
    <w:rsid w:val="001F5566"/>
    <w:rsid w:val="001F5736"/>
    <w:rsid w:val="001F6AE0"/>
    <w:rsid w:val="001F6B1F"/>
    <w:rsid w:val="001F6BA7"/>
    <w:rsid w:val="001F6CBF"/>
    <w:rsid w:val="001F76D7"/>
    <w:rsid w:val="00200434"/>
    <w:rsid w:val="00200E5B"/>
    <w:rsid w:val="00200FE9"/>
    <w:rsid w:val="002014C8"/>
    <w:rsid w:val="00202068"/>
    <w:rsid w:val="00202878"/>
    <w:rsid w:val="00202F8B"/>
    <w:rsid w:val="00203277"/>
    <w:rsid w:val="00203293"/>
    <w:rsid w:val="00203604"/>
    <w:rsid w:val="00203E25"/>
    <w:rsid w:val="00205724"/>
    <w:rsid w:val="00205C5F"/>
    <w:rsid w:val="002064F7"/>
    <w:rsid w:val="00206509"/>
    <w:rsid w:val="00206BDB"/>
    <w:rsid w:val="0020761B"/>
    <w:rsid w:val="00207E25"/>
    <w:rsid w:val="0021058F"/>
    <w:rsid w:val="0021135F"/>
    <w:rsid w:val="0021150C"/>
    <w:rsid w:val="00212144"/>
    <w:rsid w:val="002127FD"/>
    <w:rsid w:val="00212B04"/>
    <w:rsid w:val="00212EEA"/>
    <w:rsid w:val="002130B4"/>
    <w:rsid w:val="00213453"/>
    <w:rsid w:val="0021348C"/>
    <w:rsid w:val="00214BC0"/>
    <w:rsid w:val="00214CAA"/>
    <w:rsid w:val="002154D1"/>
    <w:rsid w:val="002157A9"/>
    <w:rsid w:val="00215BEE"/>
    <w:rsid w:val="00215F0A"/>
    <w:rsid w:val="0021654E"/>
    <w:rsid w:val="00216875"/>
    <w:rsid w:val="00217269"/>
    <w:rsid w:val="00217B31"/>
    <w:rsid w:val="002202E4"/>
    <w:rsid w:val="0022072A"/>
    <w:rsid w:val="00220B3D"/>
    <w:rsid w:val="0022100A"/>
    <w:rsid w:val="00221160"/>
    <w:rsid w:val="002213EE"/>
    <w:rsid w:val="00221401"/>
    <w:rsid w:val="00221922"/>
    <w:rsid w:val="00221B94"/>
    <w:rsid w:val="00221E3A"/>
    <w:rsid w:val="002220AB"/>
    <w:rsid w:val="00222AAD"/>
    <w:rsid w:val="00222C5D"/>
    <w:rsid w:val="002237A5"/>
    <w:rsid w:val="00224723"/>
    <w:rsid w:val="002248C1"/>
    <w:rsid w:val="00224C04"/>
    <w:rsid w:val="00224EF7"/>
    <w:rsid w:val="002251A4"/>
    <w:rsid w:val="00225489"/>
    <w:rsid w:val="00225718"/>
    <w:rsid w:val="00225CAE"/>
    <w:rsid w:val="0022615B"/>
    <w:rsid w:val="002263E1"/>
    <w:rsid w:val="00226528"/>
    <w:rsid w:val="0022685E"/>
    <w:rsid w:val="00226C31"/>
    <w:rsid w:val="0022705A"/>
    <w:rsid w:val="00227BBA"/>
    <w:rsid w:val="00227E88"/>
    <w:rsid w:val="0023004B"/>
    <w:rsid w:val="002301B6"/>
    <w:rsid w:val="00230B94"/>
    <w:rsid w:val="00230F6F"/>
    <w:rsid w:val="00231C3C"/>
    <w:rsid w:val="00231DC5"/>
    <w:rsid w:val="00232836"/>
    <w:rsid w:val="002338F8"/>
    <w:rsid w:val="00234167"/>
    <w:rsid w:val="00234AB5"/>
    <w:rsid w:val="00234F9B"/>
    <w:rsid w:val="00235682"/>
    <w:rsid w:val="0023589B"/>
    <w:rsid w:val="00235AEE"/>
    <w:rsid w:val="00235D75"/>
    <w:rsid w:val="002366CE"/>
    <w:rsid w:val="00236D0B"/>
    <w:rsid w:val="00236F10"/>
    <w:rsid w:val="002375D3"/>
    <w:rsid w:val="00237F59"/>
    <w:rsid w:val="0024001A"/>
    <w:rsid w:val="00240887"/>
    <w:rsid w:val="00240A1C"/>
    <w:rsid w:val="00241142"/>
    <w:rsid w:val="002415F1"/>
    <w:rsid w:val="00241958"/>
    <w:rsid w:val="002419F2"/>
    <w:rsid w:val="00242B95"/>
    <w:rsid w:val="00243E20"/>
    <w:rsid w:val="00244096"/>
    <w:rsid w:val="0024417D"/>
    <w:rsid w:val="00244754"/>
    <w:rsid w:val="00244A94"/>
    <w:rsid w:val="00244C55"/>
    <w:rsid w:val="00245470"/>
    <w:rsid w:val="00246CD7"/>
    <w:rsid w:val="00247618"/>
    <w:rsid w:val="00247C83"/>
    <w:rsid w:val="00250370"/>
    <w:rsid w:val="0025068A"/>
    <w:rsid w:val="00250751"/>
    <w:rsid w:val="002507E8"/>
    <w:rsid w:val="00250A7F"/>
    <w:rsid w:val="00250C24"/>
    <w:rsid w:val="00250D13"/>
    <w:rsid w:val="002516DF"/>
    <w:rsid w:val="00251B50"/>
    <w:rsid w:val="00251D67"/>
    <w:rsid w:val="002531F9"/>
    <w:rsid w:val="00253952"/>
    <w:rsid w:val="002539B8"/>
    <w:rsid w:val="00253AEB"/>
    <w:rsid w:val="00254CF4"/>
    <w:rsid w:val="00254EF4"/>
    <w:rsid w:val="00255877"/>
    <w:rsid w:val="0025598F"/>
    <w:rsid w:val="00255A3F"/>
    <w:rsid w:val="0025701A"/>
    <w:rsid w:val="002575ED"/>
    <w:rsid w:val="002576EB"/>
    <w:rsid w:val="0026008A"/>
    <w:rsid w:val="00260421"/>
    <w:rsid w:val="00260BF5"/>
    <w:rsid w:val="00260D04"/>
    <w:rsid w:val="0026130F"/>
    <w:rsid w:val="00261C84"/>
    <w:rsid w:val="00262130"/>
    <w:rsid w:val="00262A9E"/>
    <w:rsid w:val="00263521"/>
    <w:rsid w:val="00263A1E"/>
    <w:rsid w:val="00263DB7"/>
    <w:rsid w:val="00263F47"/>
    <w:rsid w:val="002643D4"/>
    <w:rsid w:val="00264AC3"/>
    <w:rsid w:val="00264CFB"/>
    <w:rsid w:val="0026519B"/>
    <w:rsid w:val="00265428"/>
    <w:rsid w:val="002654D1"/>
    <w:rsid w:val="00265C73"/>
    <w:rsid w:val="0026633D"/>
    <w:rsid w:val="00270A28"/>
    <w:rsid w:val="0027101D"/>
    <w:rsid w:val="0027121E"/>
    <w:rsid w:val="0027188F"/>
    <w:rsid w:val="002739B2"/>
    <w:rsid w:val="00273FDF"/>
    <w:rsid w:val="0027424D"/>
    <w:rsid w:val="00275141"/>
    <w:rsid w:val="00275281"/>
    <w:rsid w:val="002753C7"/>
    <w:rsid w:val="00275A79"/>
    <w:rsid w:val="002763F9"/>
    <w:rsid w:val="002765B7"/>
    <w:rsid w:val="00276D55"/>
    <w:rsid w:val="00277114"/>
    <w:rsid w:val="00277309"/>
    <w:rsid w:val="002774D4"/>
    <w:rsid w:val="0028138F"/>
    <w:rsid w:val="002813A0"/>
    <w:rsid w:val="002815CB"/>
    <w:rsid w:val="00281F46"/>
    <w:rsid w:val="00282151"/>
    <w:rsid w:val="00282C5A"/>
    <w:rsid w:val="00282D4B"/>
    <w:rsid w:val="00283FFC"/>
    <w:rsid w:val="002841CB"/>
    <w:rsid w:val="00284ABA"/>
    <w:rsid w:val="00284B06"/>
    <w:rsid w:val="00285362"/>
    <w:rsid w:val="00285B61"/>
    <w:rsid w:val="00285EC0"/>
    <w:rsid w:val="0028686C"/>
    <w:rsid w:val="0028694C"/>
    <w:rsid w:val="002869E1"/>
    <w:rsid w:val="00286A23"/>
    <w:rsid w:val="00286C34"/>
    <w:rsid w:val="002870FF"/>
    <w:rsid w:val="00287385"/>
    <w:rsid w:val="00287BEF"/>
    <w:rsid w:val="00287CB1"/>
    <w:rsid w:val="00290C01"/>
    <w:rsid w:val="00290D96"/>
    <w:rsid w:val="00291775"/>
    <w:rsid w:val="002920D3"/>
    <w:rsid w:val="002925B8"/>
    <w:rsid w:val="00292791"/>
    <w:rsid w:val="00292A58"/>
    <w:rsid w:val="00293FC3"/>
    <w:rsid w:val="00294150"/>
    <w:rsid w:val="00294251"/>
    <w:rsid w:val="00294784"/>
    <w:rsid w:val="00294AF0"/>
    <w:rsid w:val="00296A9F"/>
    <w:rsid w:val="002970CC"/>
    <w:rsid w:val="00297730"/>
    <w:rsid w:val="00297B77"/>
    <w:rsid w:val="00297FD7"/>
    <w:rsid w:val="002A04CC"/>
    <w:rsid w:val="002A0913"/>
    <w:rsid w:val="002A1117"/>
    <w:rsid w:val="002A11E1"/>
    <w:rsid w:val="002A18D6"/>
    <w:rsid w:val="002A1999"/>
    <w:rsid w:val="002A2132"/>
    <w:rsid w:val="002A232C"/>
    <w:rsid w:val="002A29AB"/>
    <w:rsid w:val="002A2A4E"/>
    <w:rsid w:val="002A2C5A"/>
    <w:rsid w:val="002A2C6A"/>
    <w:rsid w:val="002A3A3E"/>
    <w:rsid w:val="002A4153"/>
    <w:rsid w:val="002A4460"/>
    <w:rsid w:val="002A4707"/>
    <w:rsid w:val="002A4B57"/>
    <w:rsid w:val="002A4F87"/>
    <w:rsid w:val="002A53E2"/>
    <w:rsid w:val="002A57EB"/>
    <w:rsid w:val="002A598C"/>
    <w:rsid w:val="002A6418"/>
    <w:rsid w:val="002A64F8"/>
    <w:rsid w:val="002A68DE"/>
    <w:rsid w:val="002A6A8F"/>
    <w:rsid w:val="002A6B3B"/>
    <w:rsid w:val="002A7D21"/>
    <w:rsid w:val="002B0115"/>
    <w:rsid w:val="002B08F4"/>
    <w:rsid w:val="002B0C29"/>
    <w:rsid w:val="002B10E8"/>
    <w:rsid w:val="002B12C0"/>
    <w:rsid w:val="002B1394"/>
    <w:rsid w:val="002B30DB"/>
    <w:rsid w:val="002B3A8C"/>
    <w:rsid w:val="002B55FA"/>
    <w:rsid w:val="002B5A1F"/>
    <w:rsid w:val="002B5C10"/>
    <w:rsid w:val="002B5C6F"/>
    <w:rsid w:val="002B5D65"/>
    <w:rsid w:val="002B5EF2"/>
    <w:rsid w:val="002B637F"/>
    <w:rsid w:val="002B65DC"/>
    <w:rsid w:val="002B6803"/>
    <w:rsid w:val="002B6FB4"/>
    <w:rsid w:val="002B730D"/>
    <w:rsid w:val="002C06EB"/>
    <w:rsid w:val="002C15E2"/>
    <w:rsid w:val="002C1BB5"/>
    <w:rsid w:val="002C1D86"/>
    <w:rsid w:val="002C1EE0"/>
    <w:rsid w:val="002C247E"/>
    <w:rsid w:val="002C2579"/>
    <w:rsid w:val="002C28D3"/>
    <w:rsid w:val="002C2B0E"/>
    <w:rsid w:val="002C316A"/>
    <w:rsid w:val="002C3812"/>
    <w:rsid w:val="002C3B87"/>
    <w:rsid w:val="002C3D55"/>
    <w:rsid w:val="002C4139"/>
    <w:rsid w:val="002C4302"/>
    <w:rsid w:val="002C4F9F"/>
    <w:rsid w:val="002C53F3"/>
    <w:rsid w:val="002C54FF"/>
    <w:rsid w:val="002C58AD"/>
    <w:rsid w:val="002C65B3"/>
    <w:rsid w:val="002C6D22"/>
    <w:rsid w:val="002C70A2"/>
    <w:rsid w:val="002C7A5A"/>
    <w:rsid w:val="002C7D35"/>
    <w:rsid w:val="002C7FC3"/>
    <w:rsid w:val="002D083D"/>
    <w:rsid w:val="002D1688"/>
    <w:rsid w:val="002D2963"/>
    <w:rsid w:val="002D3201"/>
    <w:rsid w:val="002D32B9"/>
    <w:rsid w:val="002D34F8"/>
    <w:rsid w:val="002D38CB"/>
    <w:rsid w:val="002D3AC8"/>
    <w:rsid w:val="002D4617"/>
    <w:rsid w:val="002D4D38"/>
    <w:rsid w:val="002D4E81"/>
    <w:rsid w:val="002D5209"/>
    <w:rsid w:val="002D555F"/>
    <w:rsid w:val="002D5684"/>
    <w:rsid w:val="002D572F"/>
    <w:rsid w:val="002D5930"/>
    <w:rsid w:val="002D5D2C"/>
    <w:rsid w:val="002D65CF"/>
    <w:rsid w:val="002D6964"/>
    <w:rsid w:val="002D69A4"/>
    <w:rsid w:val="002D6DBD"/>
    <w:rsid w:val="002D6EF5"/>
    <w:rsid w:val="002D79C7"/>
    <w:rsid w:val="002D7F23"/>
    <w:rsid w:val="002E0151"/>
    <w:rsid w:val="002E01CC"/>
    <w:rsid w:val="002E07C7"/>
    <w:rsid w:val="002E0A57"/>
    <w:rsid w:val="002E0FD1"/>
    <w:rsid w:val="002E178D"/>
    <w:rsid w:val="002E188D"/>
    <w:rsid w:val="002E1E1F"/>
    <w:rsid w:val="002E2222"/>
    <w:rsid w:val="002E24BB"/>
    <w:rsid w:val="002E2DB0"/>
    <w:rsid w:val="002E2F27"/>
    <w:rsid w:val="002E3AA6"/>
    <w:rsid w:val="002E424B"/>
    <w:rsid w:val="002E4818"/>
    <w:rsid w:val="002E539E"/>
    <w:rsid w:val="002E56EA"/>
    <w:rsid w:val="002E5757"/>
    <w:rsid w:val="002E5ABF"/>
    <w:rsid w:val="002E6467"/>
    <w:rsid w:val="002E6B3E"/>
    <w:rsid w:val="002E707E"/>
    <w:rsid w:val="002E70B8"/>
    <w:rsid w:val="002E7528"/>
    <w:rsid w:val="002E76D3"/>
    <w:rsid w:val="002F06E7"/>
    <w:rsid w:val="002F1184"/>
    <w:rsid w:val="002F11D2"/>
    <w:rsid w:val="002F1452"/>
    <w:rsid w:val="002F1610"/>
    <w:rsid w:val="002F2019"/>
    <w:rsid w:val="002F24F0"/>
    <w:rsid w:val="002F2907"/>
    <w:rsid w:val="002F29CA"/>
    <w:rsid w:val="002F2C5D"/>
    <w:rsid w:val="002F3162"/>
    <w:rsid w:val="002F3B2B"/>
    <w:rsid w:val="002F3C8A"/>
    <w:rsid w:val="002F42B0"/>
    <w:rsid w:val="002F430E"/>
    <w:rsid w:val="002F44B2"/>
    <w:rsid w:val="002F4761"/>
    <w:rsid w:val="002F5163"/>
    <w:rsid w:val="002F5293"/>
    <w:rsid w:val="002F5524"/>
    <w:rsid w:val="002F5628"/>
    <w:rsid w:val="002F5916"/>
    <w:rsid w:val="002F5A80"/>
    <w:rsid w:val="002F5B51"/>
    <w:rsid w:val="002F5CEC"/>
    <w:rsid w:val="002F69ED"/>
    <w:rsid w:val="002F6FA5"/>
    <w:rsid w:val="002F724D"/>
    <w:rsid w:val="002F78B6"/>
    <w:rsid w:val="002F7C75"/>
    <w:rsid w:val="002F7D09"/>
    <w:rsid w:val="00300146"/>
    <w:rsid w:val="0030038A"/>
    <w:rsid w:val="0030043A"/>
    <w:rsid w:val="00300F74"/>
    <w:rsid w:val="0030114C"/>
    <w:rsid w:val="00301153"/>
    <w:rsid w:val="00301A99"/>
    <w:rsid w:val="00301A9A"/>
    <w:rsid w:val="003020D6"/>
    <w:rsid w:val="00302134"/>
    <w:rsid w:val="00302C17"/>
    <w:rsid w:val="00302DC7"/>
    <w:rsid w:val="0030338B"/>
    <w:rsid w:val="003038A7"/>
    <w:rsid w:val="00303A72"/>
    <w:rsid w:val="00303B4E"/>
    <w:rsid w:val="0030415A"/>
    <w:rsid w:val="0030451F"/>
    <w:rsid w:val="00304D83"/>
    <w:rsid w:val="00304E57"/>
    <w:rsid w:val="003050D0"/>
    <w:rsid w:val="0030516B"/>
    <w:rsid w:val="00305A00"/>
    <w:rsid w:val="00305E58"/>
    <w:rsid w:val="003063A3"/>
    <w:rsid w:val="003067B1"/>
    <w:rsid w:val="00306A3B"/>
    <w:rsid w:val="00306A59"/>
    <w:rsid w:val="003071E1"/>
    <w:rsid w:val="003073E1"/>
    <w:rsid w:val="00307A51"/>
    <w:rsid w:val="00307FA5"/>
    <w:rsid w:val="003108E3"/>
    <w:rsid w:val="00310C5E"/>
    <w:rsid w:val="00311190"/>
    <w:rsid w:val="0031135A"/>
    <w:rsid w:val="00312590"/>
    <w:rsid w:val="003126B6"/>
    <w:rsid w:val="0031327E"/>
    <w:rsid w:val="00313D58"/>
    <w:rsid w:val="00313EEC"/>
    <w:rsid w:val="00314144"/>
    <w:rsid w:val="0031468A"/>
    <w:rsid w:val="003149AC"/>
    <w:rsid w:val="00314F75"/>
    <w:rsid w:val="00315624"/>
    <w:rsid w:val="0031588E"/>
    <w:rsid w:val="00315BD6"/>
    <w:rsid w:val="00315D7F"/>
    <w:rsid w:val="00315FF2"/>
    <w:rsid w:val="00316385"/>
    <w:rsid w:val="00316C57"/>
    <w:rsid w:val="00316E46"/>
    <w:rsid w:val="00316F0F"/>
    <w:rsid w:val="003177E2"/>
    <w:rsid w:val="0032022E"/>
    <w:rsid w:val="00321066"/>
    <w:rsid w:val="0032110F"/>
    <w:rsid w:val="0032289E"/>
    <w:rsid w:val="003228CE"/>
    <w:rsid w:val="00322998"/>
    <w:rsid w:val="00322A81"/>
    <w:rsid w:val="00323027"/>
    <w:rsid w:val="0032331E"/>
    <w:rsid w:val="003233A8"/>
    <w:rsid w:val="00323874"/>
    <w:rsid w:val="00324236"/>
    <w:rsid w:val="0032448C"/>
    <w:rsid w:val="00324BC1"/>
    <w:rsid w:val="00324C2A"/>
    <w:rsid w:val="00324F0D"/>
    <w:rsid w:val="003257C6"/>
    <w:rsid w:val="00325F44"/>
    <w:rsid w:val="00326449"/>
    <w:rsid w:val="00326ABF"/>
    <w:rsid w:val="00326C7C"/>
    <w:rsid w:val="00326EF0"/>
    <w:rsid w:val="00326F6A"/>
    <w:rsid w:val="003271AB"/>
    <w:rsid w:val="00327593"/>
    <w:rsid w:val="0032765C"/>
    <w:rsid w:val="00327D99"/>
    <w:rsid w:val="003303FB"/>
    <w:rsid w:val="00330C5F"/>
    <w:rsid w:val="003318C2"/>
    <w:rsid w:val="00331924"/>
    <w:rsid w:val="00332663"/>
    <w:rsid w:val="003329E4"/>
    <w:rsid w:val="00332C43"/>
    <w:rsid w:val="00332F33"/>
    <w:rsid w:val="00333AA7"/>
    <w:rsid w:val="00333BC5"/>
    <w:rsid w:val="00334708"/>
    <w:rsid w:val="00334A65"/>
    <w:rsid w:val="00334D20"/>
    <w:rsid w:val="00335267"/>
    <w:rsid w:val="0033564C"/>
    <w:rsid w:val="003356A2"/>
    <w:rsid w:val="0033582C"/>
    <w:rsid w:val="00335A0A"/>
    <w:rsid w:val="00335CDC"/>
    <w:rsid w:val="0033672B"/>
    <w:rsid w:val="00336FBB"/>
    <w:rsid w:val="00337048"/>
    <w:rsid w:val="003370BA"/>
    <w:rsid w:val="003372D0"/>
    <w:rsid w:val="00337846"/>
    <w:rsid w:val="00337847"/>
    <w:rsid w:val="0033799E"/>
    <w:rsid w:val="00337BB0"/>
    <w:rsid w:val="00337C4E"/>
    <w:rsid w:val="00337EBF"/>
    <w:rsid w:val="0034038A"/>
    <w:rsid w:val="003405D2"/>
    <w:rsid w:val="003405E7"/>
    <w:rsid w:val="0034070F"/>
    <w:rsid w:val="00340C7C"/>
    <w:rsid w:val="00340D4D"/>
    <w:rsid w:val="0034149F"/>
    <w:rsid w:val="003417BA"/>
    <w:rsid w:val="003419FB"/>
    <w:rsid w:val="00341C37"/>
    <w:rsid w:val="00342163"/>
    <w:rsid w:val="00343B0B"/>
    <w:rsid w:val="00343D49"/>
    <w:rsid w:val="00344346"/>
    <w:rsid w:val="00344842"/>
    <w:rsid w:val="00344BBF"/>
    <w:rsid w:val="003451F8"/>
    <w:rsid w:val="00345827"/>
    <w:rsid w:val="00345868"/>
    <w:rsid w:val="0034637E"/>
    <w:rsid w:val="003464A9"/>
    <w:rsid w:val="003466B0"/>
    <w:rsid w:val="00346909"/>
    <w:rsid w:val="00346930"/>
    <w:rsid w:val="00347011"/>
    <w:rsid w:val="00347612"/>
    <w:rsid w:val="00347800"/>
    <w:rsid w:val="00347942"/>
    <w:rsid w:val="00347A15"/>
    <w:rsid w:val="003509DF"/>
    <w:rsid w:val="003513C7"/>
    <w:rsid w:val="0035145F"/>
    <w:rsid w:val="003519B1"/>
    <w:rsid w:val="00351AD0"/>
    <w:rsid w:val="00351F4E"/>
    <w:rsid w:val="00352339"/>
    <w:rsid w:val="003525D4"/>
    <w:rsid w:val="00352FE4"/>
    <w:rsid w:val="0035300F"/>
    <w:rsid w:val="0035343B"/>
    <w:rsid w:val="00354469"/>
    <w:rsid w:val="0035448A"/>
    <w:rsid w:val="003547DE"/>
    <w:rsid w:val="00355453"/>
    <w:rsid w:val="003555D2"/>
    <w:rsid w:val="003559A1"/>
    <w:rsid w:val="00355B59"/>
    <w:rsid w:val="00356540"/>
    <w:rsid w:val="003566E6"/>
    <w:rsid w:val="00356926"/>
    <w:rsid w:val="00356C79"/>
    <w:rsid w:val="00356CD5"/>
    <w:rsid w:val="003570AC"/>
    <w:rsid w:val="00357420"/>
    <w:rsid w:val="00357544"/>
    <w:rsid w:val="003578DC"/>
    <w:rsid w:val="00357C20"/>
    <w:rsid w:val="00360285"/>
    <w:rsid w:val="0036060B"/>
    <w:rsid w:val="003606C0"/>
    <w:rsid w:val="0036097F"/>
    <w:rsid w:val="003609EB"/>
    <w:rsid w:val="00360D47"/>
    <w:rsid w:val="00360FAE"/>
    <w:rsid w:val="00360FD1"/>
    <w:rsid w:val="00361812"/>
    <w:rsid w:val="00361AA2"/>
    <w:rsid w:val="00361C09"/>
    <w:rsid w:val="00362387"/>
    <w:rsid w:val="00362505"/>
    <w:rsid w:val="00363344"/>
    <w:rsid w:val="003633E1"/>
    <w:rsid w:val="00363CE5"/>
    <w:rsid w:val="00363DC6"/>
    <w:rsid w:val="00363FE3"/>
    <w:rsid w:val="003640C2"/>
    <w:rsid w:val="00364581"/>
    <w:rsid w:val="00364B53"/>
    <w:rsid w:val="00364BCA"/>
    <w:rsid w:val="003651FF"/>
    <w:rsid w:val="0036546B"/>
    <w:rsid w:val="0036568B"/>
    <w:rsid w:val="00365AB9"/>
    <w:rsid w:val="00365C9E"/>
    <w:rsid w:val="00365D63"/>
    <w:rsid w:val="00365DC9"/>
    <w:rsid w:val="00365DE2"/>
    <w:rsid w:val="0036639F"/>
    <w:rsid w:val="003665E9"/>
    <w:rsid w:val="003668A5"/>
    <w:rsid w:val="003671E8"/>
    <w:rsid w:val="003675CC"/>
    <w:rsid w:val="0037090C"/>
    <w:rsid w:val="0037112B"/>
    <w:rsid w:val="00371181"/>
    <w:rsid w:val="0037128C"/>
    <w:rsid w:val="00371316"/>
    <w:rsid w:val="00371B1D"/>
    <w:rsid w:val="0037230B"/>
    <w:rsid w:val="00372476"/>
    <w:rsid w:val="003724C3"/>
    <w:rsid w:val="0037259B"/>
    <w:rsid w:val="0037289B"/>
    <w:rsid w:val="003729F9"/>
    <w:rsid w:val="003734FE"/>
    <w:rsid w:val="0037370B"/>
    <w:rsid w:val="00373CE2"/>
    <w:rsid w:val="00374340"/>
    <w:rsid w:val="003747A9"/>
    <w:rsid w:val="00375215"/>
    <w:rsid w:val="003757DE"/>
    <w:rsid w:val="00375AE4"/>
    <w:rsid w:val="00375C87"/>
    <w:rsid w:val="00375F4A"/>
    <w:rsid w:val="00376061"/>
    <w:rsid w:val="003763F2"/>
    <w:rsid w:val="00376551"/>
    <w:rsid w:val="00376625"/>
    <w:rsid w:val="0037752E"/>
    <w:rsid w:val="0037753E"/>
    <w:rsid w:val="00377549"/>
    <w:rsid w:val="00377B33"/>
    <w:rsid w:val="00380052"/>
    <w:rsid w:val="003801D8"/>
    <w:rsid w:val="0038065D"/>
    <w:rsid w:val="003806AE"/>
    <w:rsid w:val="003817EF"/>
    <w:rsid w:val="00381983"/>
    <w:rsid w:val="003824AD"/>
    <w:rsid w:val="00382741"/>
    <w:rsid w:val="00382981"/>
    <w:rsid w:val="003839AA"/>
    <w:rsid w:val="00384299"/>
    <w:rsid w:val="003842D1"/>
    <w:rsid w:val="003843E4"/>
    <w:rsid w:val="00384988"/>
    <w:rsid w:val="00384BD7"/>
    <w:rsid w:val="00384EDD"/>
    <w:rsid w:val="00385426"/>
    <w:rsid w:val="003855E1"/>
    <w:rsid w:val="0038575C"/>
    <w:rsid w:val="00385CBB"/>
    <w:rsid w:val="00385FBB"/>
    <w:rsid w:val="00386498"/>
    <w:rsid w:val="00387351"/>
    <w:rsid w:val="00387685"/>
    <w:rsid w:val="00387987"/>
    <w:rsid w:val="00387E5E"/>
    <w:rsid w:val="003907CF"/>
    <w:rsid w:val="00391323"/>
    <w:rsid w:val="003913D9"/>
    <w:rsid w:val="00391776"/>
    <w:rsid w:val="00391943"/>
    <w:rsid w:val="00391D47"/>
    <w:rsid w:val="00392578"/>
    <w:rsid w:val="003926A8"/>
    <w:rsid w:val="00392806"/>
    <w:rsid w:val="003929A4"/>
    <w:rsid w:val="00392CEC"/>
    <w:rsid w:val="00392E92"/>
    <w:rsid w:val="00392F5B"/>
    <w:rsid w:val="00393D67"/>
    <w:rsid w:val="003941E1"/>
    <w:rsid w:val="0039455B"/>
    <w:rsid w:val="00394BB1"/>
    <w:rsid w:val="00395536"/>
    <w:rsid w:val="0039563E"/>
    <w:rsid w:val="0039592D"/>
    <w:rsid w:val="00396082"/>
    <w:rsid w:val="00396AAF"/>
    <w:rsid w:val="00396D3F"/>
    <w:rsid w:val="00396EB2"/>
    <w:rsid w:val="00396F8D"/>
    <w:rsid w:val="003971AD"/>
    <w:rsid w:val="00397234"/>
    <w:rsid w:val="0039724C"/>
    <w:rsid w:val="00397B41"/>
    <w:rsid w:val="00397C56"/>
    <w:rsid w:val="003A042B"/>
    <w:rsid w:val="003A0608"/>
    <w:rsid w:val="003A0852"/>
    <w:rsid w:val="003A08AE"/>
    <w:rsid w:val="003A156C"/>
    <w:rsid w:val="003A19F7"/>
    <w:rsid w:val="003A22C1"/>
    <w:rsid w:val="003A239E"/>
    <w:rsid w:val="003A260D"/>
    <w:rsid w:val="003A26D2"/>
    <w:rsid w:val="003A3978"/>
    <w:rsid w:val="003A3D05"/>
    <w:rsid w:val="003A47A9"/>
    <w:rsid w:val="003A5748"/>
    <w:rsid w:val="003A613A"/>
    <w:rsid w:val="003A66EF"/>
    <w:rsid w:val="003A689D"/>
    <w:rsid w:val="003A769E"/>
    <w:rsid w:val="003A780A"/>
    <w:rsid w:val="003A7F68"/>
    <w:rsid w:val="003B0B84"/>
    <w:rsid w:val="003B0BB0"/>
    <w:rsid w:val="003B0E50"/>
    <w:rsid w:val="003B1053"/>
    <w:rsid w:val="003B166B"/>
    <w:rsid w:val="003B1F61"/>
    <w:rsid w:val="003B23BE"/>
    <w:rsid w:val="003B30AD"/>
    <w:rsid w:val="003B4CBF"/>
    <w:rsid w:val="003B505F"/>
    <w:rsid w:val="003B57EC"/>
    <w:rsid w:val="003B5853"/>
    <w:rsid w:val="003B5A1E"/>
    <w:rsid w:val="003B5E39"/>
    <w:rsid w:val="003B639B"/>
    <w:rsid w:val="003B6576"/>
    <w:rsid w:val="003B6636"/>
    <w:rsid w:val="003B6D05"/>
    <w:rsid w:val="003B71E3"/>
    <w:rsid w:val="003B7A94"/>
    <w:rsid w:val="003B7CBC"/>
    <w:rsid w:val="003C0A02"/>
    <w:rsid w:val="003C2143"/>
    <w:rsid w:val="003C22AC"/>
    <w:rsid w:val="003C2534"/>
    <w:rsid w:val="003C26AC"/>
    <w:rsid w:val="003C2A0B"/>
    <w:rsid w:val="003C2EC6"/>
    <w:rsid w:val="003C32FE"/>
    <w:rsid w:val="003C3358"/>
    <w:rsid w:val="003C3DF6"/>
    <w:rsid w:val="003C41CF"/>
    <w:rsid w:val="003C4225"/>
    <w:rsid w:val="003C4F30"/>
    <w:rsid w:val="003C5044"/>
    <w:rsid w:val="003C5153"/>
    <w:rsid w:val="003C5BB1"/>
    <w:rsid w:val="003C5BC7"/>
    <w:rsid w:val="003C5ED9"/>
    <w:rsid w:val="003C6AE0"/>
    <w:rsid w:val="003C6C20"/>
    <w:rsid w:val="003C6C2D"/>
    <w:rsid w:val="003C73F8"/>
    <w:rsid w:val="003C7457"/>
    <w:rsid w:val="003C797F"/>
    <w:rsid w:val="003C7AD3"/>
    <w:rsid w:val="003C7B2D"/>
    <w:rsid w:val="003D04DB"/>
    <w:rsid w:val="003D0F6A"/>
    <w:rsid w:val="003D0F91"/>
    <w:rsid w:val="003D130F"/>
    <w:rsid w:val="003D16F2"/>
    <w:rsid w:val="003D1801"/>
    <w:rsid w:val="003D1D5C"/>
    <w:rsid w:val="003D1EB4"/>
    <w:rsid w:val="003D2136"/>
    <w:rsid w:val="003D2796"/>
    <w:rsid w:val="003D29BF"/>
    <w:rsid w:val="003D2ABC"/>
    <w:rsid w:val="003D2AE6"/>
    <w:rsid w:val="003D2C35"/>
    <w:rsid w:val="003D314F"/>
    <w:rsid w:val="003D3533"/>
    <w:rsid w:val="003D3F08"/>
    <w:rsid w:val="003D415E"/>
    <w:rsid w:val="003D4194"/>
    <w:rsid w:val="003D43B8"/>
    <w:rsid w:val="003D5549"/>
    <w:rsid w:val="003D5B8A"/>
    <w:rsid w:val="003D5BAF"/>
    <w:rsid w:val="003D5CAC"/>
    <w:rsid w:val="003D62C4"/>
    <w:rsid w:val="003D6310"/>
    <w:rsid w:val="003D6905"/>
    <w:rsid w:val="003D6CAC"/>
    <w:rsid w:val="003D6FE1"/>
    <w:rsid w:val="003D7383"/>
    <w:rsid w:val="003D7489"/>
    <w:rsid w:val="003D7A6A"/>
    <w:rsid w:val="003E000E"/>
    <w:rsid w:val="003E009E"/>
    <w:rsid w:val="003E0ABC"/>
    <w:rsid w:val="003E14F5"/>
    <w:rsid w:val="003E159B"/>
    <w:rsid w:val="003E20EB"/>
    <w:rsid w:val="003E2333"/>
    <w:rsid w:val="003E248F"/>
    <w:rsid w:val="003E26E6"/>
    <w:rsid w:val="003E2F13"/>
    <w:rsid w:val="003E31EE"/>
    <w:rsid w:val="003E364E"/>
    <w:rsid w:val="003E4969"/>
    <w:rsid w:val="003E4AD0"/>
    <w:rsid w:val="003E4D21"/>
    <w:rsid w:val="003E4D5A"/>
    <w:rsid w:val="003E58C2"/>
    <w:rsid w:val="003E5FCA"/>
    <w:rsid w:val="003E66A4"/>
    <w:rsid w:val="003E672B"/>
    <w:rsid w:val="003E6AB1"/>
    <w:rsid w:val="003E6F99"/>
    <w:rsid w:val="003E77E9"/>
    <w:rsid w:val="003E798E"/>
    <w:rsid w:val="003E7E55"/>
    <w:rsid w:val="003F0032"/>
    <w:rsid w:val="003F06E0"/>
    <w:rsid w:val="003F0C61"/>
    <w:rsid w:val="003F0D90"/>
    <w:rsid w:val="003F0E51"/>
    <w:rsid w:val="003F2708"/>
    <w:rsid w:val="003F2DBB"/>
    <w:rsid w:val="003F2F7C"/>
    <w:rsid w:val="003F316F"/>
    <w:rsid w:val="003F3D90"/>
    <w:rsid w:val="003F3E9D"/>
    <w:rsid w:val="003F4681"/>
    <w:rsid w:val="003F48CD"/>
    <w:rsid w:val="003F4A41"/>
    <w:rsid w:val="003F5248"/>
    <w:rsid w:val="003F5B6A"/>
    <w:rsid w:val="003F5DEF"/>
    <w:rsid w:val="003F60D2"/>
    <w:rsid w:val="003F6A36"/>
    <w:rsid w:val="003F6CB2"/>
    <w:rsid w:val="003F6D65"/>
    <w:rsid w:val="003F7085"/>
    <w:rsid w:val="003F733D"/>
    <w:rsid w:val="003F782E"/>
    <w:rsid w:val="003F7B2B"/>
    <w:rsid w:val="004002DD"/>
    <w:rsid w:val="00400D5E"/>
    <w:rsid w:val="00400ED7"/>
    <w:rsid w:val="00401ED1"/>
    <w:rsid w:val="00402817"/>
    <w:rsid w:val="004029F9"/>
    <w:rsid w:val="00402E73"/>
    <w:rsid w:val="004031B5"/>
    <w:rsid w:val="00403EED"/>
    <w:rsid w:val="00404135"/>
    <w:rsid w:val="0040422D"/>
    <w:rsid w:val="004045D8"/>
    <w:rsid w:val="0040464F"/>
    <w:rsid w:val="0040494A"/>
    <w:rsid w:val="00405277"/>
    <w:rsid w:val="0040531A"/>
    <w:rsid w:val="004064E0"/>
    <w:rsid w:val="00406B63"/>
    <w:rsid w:val="00406E80"/>
    <w:rsid w:val="00406F61"/>
    <w:rsid w:val="00406FEF"/>
    <w:rsid w:val="0040710C"/>
    <w:rsid w:val="004078B5"/>
    <w:rsid w:val="00410333"/>
    <w:rsid w:val="0041045D"/>
    <w:rsid w:val="004105DF"/>
    <w:rsid w:val="0041076C"/>
    <w:rsid w:val="00410935"/>
    <w:rsid w:val="00410D67"/>
    <w:rsid w:val="00410D75"/>
    <w:rsid w:val="00410D9E"/>
    <w:rsid w:val="00411671"/>
    <w:rsid w:val="0041180B"/>
    <w:rsid w:val="00411AFD"/>
    <w:rsid w:val="0041212D"/>
    <w:rsid w:val="0041284E"/>
    <w:rsid w:val="00412889"/>
    <w:rsid w:val="00413464"/>
    <w:rsid w:val="00413826"/>
    <w:rsid w:val="00413BE0"/>
    <w:rsid w:val="00413C2A"/>
    <w:rsid w:val="004146FA"/>
    <w:rsid w:val="00414A8A"/>
    <w:rsid w:val="00414CCC"/>
    <w:rsid w:val="004156B7"/>
    <w:rsid w:val="00416D06"/>
    <w:rsid w:val="00417266"/>
    <w:rsid w:val="0041751A"/>
    <w:rsid w:val="004175BE"/>
    <w:rsid w:val="00417D4C"/>
    <w:rsid w:val="00420371"/>
    <w:rsid w:val="00420374"/>
    <w:rsid w:val="004204DC"/>
    <w:rsid w:val="004206BA"/>
    <w:rsid w:val="0042090E"/>
    <w:rsid w:val="0042091E"/>
    <w:rsid w:val="00420DB1"/>
    <w:rsid w:val="0042151A"/>
    <w:rsid w:val="00421D2C"/>
    <w:rsid w:val="0042232C"/>
    <w:rsid w:val="00422BC0"/>
    <w:rsid w:val="00422E56"/>
    <w:rsid w:val="0042391F"/>
    <w:rsid w:val="00423B43"/>
    <w:rsid w:val="00423EBB"/>
    <w:rsid w:val="00423F7A"/>
    <w:rsid w:val="00424D94"/>
    <w:rsid w:val="00424DF9"/>
    <w:rsid w:val="004250F4"/>
    <w:rsid w:val="0042545B"/>
    <w:rsid w:val="00425711"/>
    <w:rsid w:val="00425E72"/>
    <w:rsid w:val="00425E85"/>
    <w:rsid w:val="00426037"/>
    <w:rsid w:val="0042649D"/>
    <w:rsid w:val="00426862"/>
    <w:rsid w:val="00426C4A"/>
    <w:rsid w:val="00426CE7"/>
    <w:rsid w:val="00426D50"/>
    <w:rsid w:val="00427673"/>
    <w:rsid w:val="004276E0"/>
    <w:rsid w:val="00427A72"/>
    <w:rsid w:val="00427D9F"/>
    <w:rsid w:val="00430277"/>
    <w:rsid w:val="00430AA9"/>
    <w:rsid w:val="00430B8F"/>
    <w:rsid w:val="00431AA5"/>
    <w:rsid w:val="00431C39"/>
    <w:rsid w:val="00432941"/>
    <w:rsid w:val="00432A56"/>
    <w:rsid w:val="00432EF3"/>
    <w:rsid w:val="004331F6"/>
    <w:rsid w:val="00433D69"/>
    <w:rsid w:val="00433DC5"/>
    <w:rsid w:val="00434C19"/>
    <w:rsid w:val="00435E93"/>
    <w:rsid w:val="0043603B"/>
    <w:rsid w:val="00436048"/>
    <w:rsid w:val="00436479"/>
    <w:rsid w:val="0043662F"/>
    <w:rsid w:val="0043667B"/>
    <w:rsid w:val="00436B23"/>
    <w:rsid w:val="00436B37"/>
    <w:rsid w:val="00436EC1"/>
    <w:rsid w:val="00437586"/>
    <w:rsid w:val="0043791D"/>
    <w:rsid w:val="00437CB8"/>
    <w:rsid w:val="00437D9B"/>
    <w:rsid w:val="00440A6B"/>
    <w:rsid w:val="00440C19"/>
    <w:rsid w:val="004413C7"/>
    <w:rsid w:val="004414E6"/>
    <w:rsid w:val="004417D2"/>
    <w:rsid w:val="00441D68"/>
    <w:rsid w:val="004424B2"/>
    <w:rsid w:val="004428A8"/>
    <w:rsid w:val="00442E2D"/>
    <w:rsid w:val="00442E67"/>
    <w:rsid w:val="0044305F"/>
    <w:rsid w:val="00443D1B"/>
    <w:rsid w:val="00443DA2"/>
    <w:rsid w:val="0044419E"/>
    <w:rsid w:val="00444597"/>
    <w:rsid w:val="00444692"/>
    <w:rsid w:val="004453BB"/>
    <w:rsid w:val="00445522"/>
    <w:rsid w:val="0044619B"/>
    <w:rsid w:val="00446802"/>
    <w:rsid w:val="004470C5"/>
    <w:rsid w:val="00447106"/>
    <w:rsid w:val="004474BB"/>
    <w:rsid w:val="004475E5"/>
    <w:rsid w:val="00447E19"/>
    <w:rsid w:val="004503E1"/>
    <w:rsid w:val="00451A68"/>
    <w:rsid w:val="00451AA2"/>
    <w:rsid w:val="00451E5C"/>
    <w:rsid w:val="0045209D"/>
    <w:rsid w:val="00452950"/>
    <w:rsid w:val="00452FA4"/>
    <w:rsid w:val="00453265"/>
    <w:rsid w:val="00453750"/>
    <w:rsid w:val="004537EC"/>
    <w:rsid w:val="00453CEB"/>
    <w:rsid w:val="00454096"/>
    <w:rsid w:val="004547C8"/>
    <w:rsid w:val="0045495E"/>
    <w:rsid w:val="004549E1"/>
    <w:rsid w:val="00454EF7"/>
    <w:rsid w:val="00455BC0"/>
    <w:rsid w:val="00455C7E"/>
    <w:rsid w:val="00455D98"/>
    <w:rsid w:val="004562F8"/>
    <w:rsid w:val="0045637F"/>
    <w:rsid w:val="00456519"/>
    <w:rsid w:val="00456A60"/>
    <w:rsid w:val="00456AD9"/>
    <w:rsid w:val="00456F88"/>
    <w:rsid w:val="00457ADE"/>
    <w:rsid w:val="00460179"/>
    <w:rsid w:val="00460B1C"/>
    <w:rsid w:val="00460EE3"/>
    <w:rsid w:val="00460FB8"/>
    <w:rsid w:val="004617CF"/>
    <w:rsid w:val="00461F7B"/>
    <w:rsid w:val="004622BB"/>
    <w:rsid w:val="00462348"/>
    <w:rsid w:val="004626B6"/>
    <w:rsid w:val="00463683"/>
    <w:rsid w:val="00463B04"/>
    <w:rsid w:val="00463FD6"/>
    <w:rsid w:val="00464D56"/>
    <w:rsid w:val="00464DF0"/>
    <w:rsid w:val="00465562"/>
    <w:rsid w:val="00465DDF"/>
    <w:rsid w:val="004661DB"/>
    <w:rsid w:val="004663C7"/>
    <w:rsid w:val="00466B28"/>
    <w:rsid w:val="004676B5"/>
    <w:rsid w:val="00467828"/>
    <w:rsid w:val="00467D31"/>
    <w:rsid w:val="00467D5E"/>
    <w:rsid w:val="004700FD"/>
    <w:rsid w:val="0047012B"/>
    <w:rsid w:val="004705A4"/>
    <w:rsid w:val="0047076A"/>
    <w:rsid w:val="0047089B"/>
    <w:rsid w:val="00470B26"/>
    <w:rsid w:val="00471164"/>
    <w:rsid w:val="00471238"/>
    <w:rsid w:val="0047126F"/>
    <w:rsid w:val="00471885"/>
    <w:rsid w:val="00471AA2"/>
    <w:rsid w:val="00471E18"/>
    <w:rsid w:val="00471FC6"/>
    <w:rsid w:val="0047228C"/>
    <w:rsid w:val="004736FF"/>
    <w:rsid w:val="00473871"/>
    <w:rsid w:val="004740B9"/>
    <w:rsid w:val="004743DF"/>
    <w:rsid w:val="00474EE3"/>
    <w:rsid w:val="00474EFE"/>
    <w:rsid w:val="0047620F"/>
    <w:rsid w:val="004763DF"/>
    <w:rsid w:val="00476508"/>
    <w:rsid w:val="004767BA"/>
    <w:rsid w:val="00476C99"/>
    <w:rsid w:val="00477447"/>
    <w:rsid w:val="0047794C"/>
    <w:rsid w:val="004779AA"/>
    <w:rsid w:val="00477F44"/>
    <w:rsid w:val="00480011"/>
    <w:rsid w:val="00480107"/>
    <w:rsid w:val="004809CB"/>
    <w:rsid w:val="00482259"/>
    <w:rsid w:val="004823EF"/>
    <w:rsid w:val="00482559"/>
    <w:rsid w:val="0048280E"/>
    <w:rsid w:val="00482892"/>
    <w:rsid w:val="00482C33"/>
    <w:rsid w:val="00482CB5"/>
    <w:rsid w:val="004830BE"/>
    <w:rsid w:val="004833CE"/>
    <w:rsid w:val="00483526"/>
    <w:rsid w:val="004836A0"/>
    <w:rsid w:val="00483BD1"/>
    <w:rsid w:val="00483D0D"/>
    <w:rsid w:val="004845B2"/>
    <w:rsid w:val="00485309"/>
    <w:rsid w:val="00485787"/>
    <w:rsid w:val="00486172"/>
    <w:rsid w:val="004865D8"/>
    <w:rsid w:val="0048673E"/>
    <w:rsid w:val="00486D58"/>
    <w:rsid w:val="00487169"/>
    <w:rsid w:val="004875EB"/>
    <w:rsid w:val="004878FE"/>
    <w:rsid w:val="00490012"/>
    <w:rsid w:val="0049015A"/>
    <w:rsid w:val="004902C9"/>
    <w:rsid w:val="00490D8B"/>
    <w:rsid w:val="00490E40"/>
    <w:rsid w:val="00491199"/>
    <w:rsid w:val="00491607"/>
    <w:rsid w:val="004919A3"/>
    <w:rsid w:val="00491D1E"/>
    <w:rsid w:val="00492854"/>
    <w:rsid w:val="00492A59"/>
    <w:rsid w:val="00492B5D"/>
    <w:rsid w:val="00492D47"/>
    <w:rsid w:val="004930AA"/>
    <w:rsid w:val="004939B6"/>
    <w:rsid w:val="00493AE1"/>
    <w:rsid w:val="00493CBE"/>
    <w:rsid w:val="004945A4"/>
    <w:rsid w:val="00494C49"/>
    <w:rsid w:val="00495214"/>
    <w:rsid w:val="00495276"/>
    <w:rsid w:val="004955D7"/>
    <w:rsid w:val="0049574B"/>
    <w:rsid w:val="00495B2E"/>
    <w:rsid w:val="004964BE"/>
    <w:rsid w:val="004964E5"/>
    <w:rsid w:val="004965B9"/>
    <w:rsid w:val="00497103"/>
    <w:rsid w:val="004976B0"/>
    <w:rsid w:val="00497953"/>
    <w:rsid w:val="00497FC7"/>
    <w:rsid w:val="00497FC9"/>
    <w:rsid w:val="004A0385"/>
    <w:rsid w:val="004A07F3"/>
    <w:rsid w:val="004A0E02"/>
    <w:rsid w:val="004A0E75"/>
    <w:rsid w:val="004A0EEB"/>
    <w:rsid w:val="004A122C"/>
    <w:rsid w:val="004A144B"/>
    <w:rsid w:val="004A1462"/>
    <w:rsid w:val="004A1FF4"/>
    <w:rsid w:val="004A234A"/>
    <w:rsid w:val="004A2819"/>
    <w:rsid w:val="004A30DB"/>
    <w:rsid w:val="004A3415"/>
    <w:rsid w:val="004A3A1C"/>
    <w:rsid w:val="004A4591"/>
    <w:rsid w:val="004A4B21"/>
    <w:rsid w:val="004A5124"/>
    <w:rsid w:val="004A581E"/>
    <w:rsid w:val="004A5AE0"/>
    <w:rsid w:val="004A5D89"/>
    <w:rsid w:val="004A5FCA"/>
    <w:rsid w:val="004A60D6"/>
    <w:rsid w:val="004A6B9E"/>
    <w:rsid w:val="004A6C9C"/>
    <w:rsid w:val="004A6CC0"/>
    <w:rsid w:val="004A6FE6"/>
    <w:rsid w:val="004A7203"/>
    <w:rsid w:val="004A7751"/>
    <w:rsid w:val="004A77C4"/>
    <w:rsid w:val="004A7ABE"/>
    <w:rsid w:val="004A7D31"/>
    <w:rsid w:val="004B0303"/>
    <w:rsid w:val="004B039B"/>
    <w:rsid w:val="004B098F"/>
    <w:rsid w:val="004B09A3"/>
    <w:rsid w:val="004B117A"/>
    <w:rsid w:val="004B18AE"/>
    <w:rsid w:val="004B21B0"/>
    <w:rsid w:val="004B2564"/>
    <w:rsid w:val="004B2D77"/>
    <w:rsid w:val="004B2F85"/>
    <w:rsid w:val="004B3850"/>
    <w:rsid w:val="004B3A7A"/>
    <w:rsid w:val="004B42DF"/>
    <w:rsid w:val="004B4502"/>
    <w:rsid w:val="004B4756"/>
    <w:rsid w:val="004B5F7A"/>
    <w:rsid w:val="004B6164"/>
    <w:rsid w:val="004B63AE"/>
    <w:rsid w:val="004B7C1A"/>
    <w:rsid w:val="004C056A"/>
    <w:rsid w:val="004C0FEC"/>
    <w:rsid w:val="004C0FFF"/>
    <w:rsid w:val="004C1260"/>
    <w:rsid w:val="004C1653"/>
    <w:rsid w:val="004C1BDC"/>
    <w:rsid w:val="004C209B"/>
    <w:rsid w:val="004C2149"/>
    <w:rsid w:val="004C2531"/>
    <w:rsid w:val="004C2B02"/>
    <w:rsid w:val="004C2E09"/>
    <w:rsid w:val="004C3342"/>
    <w:rsid w:val="004C3B1F"/>
    <w:rsid w:val="004C4056"/>
    <w:rsid w:val="004C4396"/>
    <w:rsid w:val="004C4AF0"/>
    <w:rsid w:val="004C4F65"/>
    <w:rsid w:val="004C52B7"/>
    <w:rsid w:val="004C58B1"/>
    <w:rsid w:val="004C6628"/>
    <w:rsid w:val="004C68E6"/>
    <w:rsid w:val="004C7A8F"/>
    <w:rsid w:val="004C7D9F"/>
    <w:rsid w:val="004D0357"/>
    <w:rsid w:val="004D16BE"/>
    <w:rsid w:val="004D181E"/>
    <w:rsid w:val="004D1983"/>
    <w:rsid w:val="004D1BC8"/>
    <w:rsid w:val="004D1D1F"/>
    <w:rsid w:val="004D2576"/>
    <w:rsid w:val="004D2869"/>
    <w:rsid w:val="004D2D0A"/>
    <w:rsid w:val="004D3387"/>
    <w:rsid w:val="004D38B0"/>
    <w:rsid w:val="004D3AAD"/>
    <w:rsid w:val="004D4C8A"/>
    <w:rsid w:val="004D562B"/>
    <w:rsid w:val="004D581B"/>
    <w:rsid w:val="004D5AD1"/>
    <w:rsid w:val="004D708B"/>
    <w:rsid w:val="004D7775"/>
    <w:rsid w:val="004D7A95"/>
    <w:rsid w:val="004D7ABD"/>
    <w:rsid w:val="004D7BF2"/>
    <w:rsid w:val="004E0BE3"/>
    <w:rsid w:val="004E0E03"/>
    <w:rsid w:val="004E0F37"/>
    <w:rsid w:val="004E13FA"/>
    <w:rsid w:val="004E1450"/>
    <w:rsid w:val="004E1AA9"/>
    <w:rsid w:val="004E1D0E"/>
    <w:rsid w:val="004E1DB7"/>
    <w:rsid w:val="004E1FE7"/>
    <w:rsid w:val="004E221D"/>
    <w:rsid w:val="004E229B"/>
    <w:rsid w:val="004E2601"/>
    <w:rsid w:val="004E2C89"/>
    <w:rsid w:val="004E3112"/>
    <w:rsid w:val="004E3885"/>
    <w:rsid w:val="004E3B2D"/>
    <w:rsid w:val="004E4096"/>
    <w:rsid w:val="004E5265"/>
    <w:rsid w:val="004E5B3C"/>
    <w:rsid w:val="004E6146"/>
    <w:rsid w:val="004E6717"/>
    <w:rsid w:val="004E694F"/>
    <w:rsid w:val="004E6D72"/>
    <w:rsid w:val="004E71DD"/>
    <w:rsid w:val="004E7219"/>
    <w:rsid w:val="004E7332"/>
    <w:rsid w:val="004E776C"/>
    <w:rsid w:val="004E7906"/>
    <w:rsid w:val="004E7A25"/>
    <w:rsid w:val="004E7F0D"/>
    <w:rsid w:val="004F01B0"/>
    <w:rsid w:val="004F05C6"/>
    <w:rsid w:val="004F1244"/>
    <w:rsid w:val="004F19E2"/>
    <w:rsid w:val="004F1D1F"/>
    <w:rsid w:val="004F23B5"/>
    <w:rsid w:val="004F24FD"/>
    <w:rsid w:val="004F2B67"/>
    <w:rsid w:val="004F2E45"/>
    <w:rsid w:val="004F30E8"/>
    <w:rsid w:val="004F431D"/>
    <w:rsid w:val="004F43AB"/>
    <w:rsid w:val="004F45C7"/>
    <w:rsid w:val="004F4C67"/>
    <w:rsid w:val="004F4F1F"/>
    <w:rsid w:val="004F4F7A"/>
    <w:rsid w:val="004F4F85"/>
    <w:rsid w:val="004F532F"/>
    <w:rsid w:val="004F539A"/>
    <w:rsid w:val="004F54F6"/>
    <w:rsid w:val="004F5524"/>
    <w:rsid w:val="004F5B56"/>
    <w:rsid w:val="004F679D"/>
    <w:rsid w:val="004F717A"/>
    <w:rsid w:val="0050010C"/>
    <w:rsid w:val="005001D1"/>
    <w:rsid w:val="005001D8"/>
    <w:rsid w:val="005002E1"/>
    <w:rsid w:val="005006C5"/>
    <w:rsid w:val="00500AF2"/>
    <w:rsid w:val="00500EA7"/>
    <w:rsid w:val="005010B6"/>
    <w:rsid w:val="005011A2"/>
    <w:rsid w:val="00501372"/>
    <w:rsid w:val="0050194A"/>
    <w:rsid w:val="00501D89"/>
    <w:rsid w:val="00501F13"/>
    <w:rsid w:val="0050204B"/>
    <w:rsid w:val="00502507"/>
    <w:rsid w:val="00502920"/>
    <w:rsid w:val="00502A0F"/>
    <w:rsid w:val="00502FAD"/>
    <w:rsid w:val="00503072"/>
    <w:rsid w:val="0050313A"/>
    <w:rsid w:val="005031BB"/>
    <w:rsid w:val="00503380"/>
    <w:rsid w:val="005038C5"/>
    <w:rsid w:val="00503B67"/>
    <w:rsid w:val="00503E67"/>
    <w:rsid w:val="00503F81"/>
    <w:rsid w:val="005048AA"/>
    <w:rsid w:val="005048E9"/>
    <w:rsid w:val="00504A34"/>
    <w:rsid w:val="00505366"/>
    <w:rsid w:val="0050657A"/>
    <w:rsid w:val="005066DB"/>
    <w:rsid w:val="00507986"/>
    <w:rsid w:val="0051013D"/>
    <w:rsid w:val="00510184"/>
    <w:rsid w:val="00510973"/>
    <w:rsid w:val="00510A6C"/>
    <w:rsid w:val="00510D89"/>
    <w:rsid w:val="00511B9D"/>
    <w:rsid w:val="00511F6D"/>
    <w:rsid w:val="005125A5"/>
    <w:rsid w:val="00512DCB"/>
    <w:rsid w:val="005130A4"/>
    <w:rsid w:val="0051326F"/>
    <w:rsid w:val="00513BCD"/>
    <w:rsid w:val="00513F33"/>
    <w:rsid w:val="005147FC"/>
    <w:rsid w:val="00514DD2"/>
    <w:rsid w:val="005158BE"/>
    <w:rsid w:val="00515C82"/>
    <w:rsid w:val="005164BC"/>
    <w:rsid w:val="00516835"/>
    <w:rsid w:val="005169B9"/>
    <w:rsid w:val="00516FB8"/>
    <w:rsid w:val="00517613"/>
    <w:rsid w:val="00517AA9"/>
    <w:rsid w:val="00517E6B"/>
    <w:rsid w:val="0052031E"/>
    <w:rsid w:val="005204F9"/>
    <w:rsid w:val="00520550"/>
    <w:rsid w:val="00520A36"/>
    <w:rsid w:val="00520B9E"/>
    <w:rsid w:val="00520C3B"/>
    <w:rsid w:val="00520C4B"/>
    <w:rsid w:val="0052156D"/>
    <w:rsid w:val="00521693"/>
    <w:rsid w:val="00521A4E"/>
    <w:rsid w:val="00522475"/>
    <w:rsid w:val="005227A0"/>
    <w:rsid w:val="0052289F"/>
    <w:rsid w:val="00522FC1"/>
    <w:rsid w:val="00523140"/>
    <w:rsid w:val="005232B5"/>
    <w:rsid w:val="005239EA"/>
    <w:rsid w:val="00523C70"/>
    <w:rsid w:val="00524289"/>
    <w:rsid w:val="00524400"/>
    <w:rsid w:val="00524F47"/>
    <w:rsid w:val="005250BC"/>
    <w:rsid w:val="005254F8"/>
    <w:rsid w:val="00525690"/>
    <w:rsid w:val="00525736"/>
    <w:rsid w:val="005259CE"/>
    <w:rsid w:val="00525FA7"/>
    <w:rsid w:val="00526053"/>
    <w:rsid w:val="005265D4"/>
    <w:rsid w:val="00526812"/>
    <w:rsid w:val="0052721A"/>
    <w:rsid w:val="005276BC"/>
    <w:rsid w:val="00527B92"/>
    <w:rsid w:val="00527F31"/>
    <w:rsid w:val="00530147"/>
    <w:rsid w:val="0053022D"/>
    <w:rsid w:val="005308B4"/>
    <w:rsid w:val="00530924"/>
    <w:rsid w:val="005315AB"/>
    <w:rsid w:val="00531D8C"/>
    <w:rsid w:val="00532196"/>
    <w:rsid w:val="005324E4"/>
    <w:rsid w:val="005325F3"/>
    <w:rsid w:val="005326D9"/>
    <w:rsid w:val="005327F4"/>
    <w:rsid w:val="00532AFD"/>
    <w:rsid w:val="00533572"/>
    <w:rsid w:val="005338E5"/>
    <w:rsid w:val="00534021"/>
    <w:rsid w:val="005342AA"/>
    <w:rsid w:val="00534623"/>
    <w:rsid w:val="005346A1"/>
    <w:rsid w:val="00534770"/>
    <w:rsid w:val="00534A74"/>
    <w:rsid w:val="00534EB1"/>
    <w:rsid w:val="005352B7"/>
    <w:rsid w:val="00535691"/>
    <w:rsid w:val="00535D72"/>
    <w:rsid w:val="00536216"/>
    <w:rsid w:val="0053634C"/>
    <w:rsid w:val="005364E8"/>
    <w:rsid w:val="005369F8"/>
    <w:rsid w:val="00536D35"/>
    <w:rsid w:val="005372F8"/>
    <w:rsid w:val="005373BF"/>
    <w:rsid w:val="005379CF"/>
    <w:rsid w:val="00537B4A"/>
    <w:rsid w:val="00537D3D"/>
    <w:rsid w:val="00537EE4"/>
    <w:rsid w:val="0054001C"/>
    <w:rsid w:val="005402FF"/>
    <w:rsid w:val="00540551"/>
    <w:rsid w:val="005408D0"/>
    <w:rsid w:val="00540A49"/>
    <w:rsid w:val="00540FF0"/>
    <w:rsid w:val="00541177"/>
    <w:rsid w:val="005413A3"/>
    <w:rsid w:val="00541A40"/>
    <w:rsid w:val="0054203F"/>
    <w:rsid w:val="00542988"/>
    <w:rsid w:val="00542C8D"/>
    <w:rsid w:val="00542CDA"/>
    <w:rsid w:val="00542EA3"/>
    <w:rsid w:val="0054365A"/>
    <w:rsid w:val="00543699"/>
    <w:rsid w:val="00543A22"/>
    <w:rsid w:val="00543F8A"/>
    <w:rsid w:val="0054509A"/>
    <w:rsid w:val="00545557"/>
    <w:rsid w:val="00545927"/>
    <w:rsid w:val="00545D29"/>
    <w:rsid w:val="00546559"/>
    <w:rsid w:val="00546B26"/>
    <w:rsid w:val="005474F6"/>
    <w:rsid w:val="00547C0F"/>
    <w:rsid w:val="00547D62"/>
    <w:rsid w:val="005500D2"/>
    <w:rsid w:val="00550964"/>
    <w:rsid w:val="00550A92"/>
    <w:rsid w:val="00550BA0"/>
    <w:rsid w:val="00550E94"/>
    <w:rsid w:val="005511EC"/>
    <w:rsid w:val="00551544"/>
    <w:rsid w:val="00551B42"/>
    <w:rsid w:val="00551DB7"/>
    <w:rsid w:val="00553469"/>
    <w:rsid w:val="00553B66"/>
    <w:rsid w:val="0055459A"/>
    <w:rsid w:val="00554A8A"/>
    <w:rsid w:val="00554AAD"/>
    <w:rsid w:val="005553F0"/>
    <w:rsid w:val="005554C5"/>
    <w:rsid w:val="005556CA"/>
    <w:rsid w:val="005559D1"/>
    <w:rsid w:val="00555CE4"/>
    <w:rsid w:val="00555D63"/>
    <w:rsid w:val="00556192"/>
    <w:rsid w:val="005565B2"/>
    <w:rsid w:val="00556E6F"/>
    <w:rsid w:val="00556F6F"/>
    <w:rsid w:val="00557296"/>
    <w:rsid w:val="00557A6C"/>
    <w:rsid w:val="005608B2"/>
    <w:rsid w:val="0056098B"/>
    <w:rsid w:val="0056099A"/>
    <w:rsid w:val="00560A43"/>
    <w:rsid w:val="00560FD3"/>
    <w:rsid w:val="00561000"/>
    <w:rsid w:val="00561471"/>
    <w:rsid w:val="0056270E"/>
    <w:rsid w:val="00562ECE"/>
    <w:rsid w:val="00563749"/>
    <w:rsid w:val="00563C85"/>
    <w:rsid w:val="00563DDB"/>
    <w:rsid w:val="00564813"/>
    <w:rsid w:val="0056546C"/>
    <w:rsid w:val="0056563A"/>
    <w:rsid w:val="00565966"/>
    <w:rsid w:val="00565B05"/>
    <w:rsid w:val="00565BD3"/>
    <w:rsid w:val="00565F1B"/>
    <w:rsid w:val="00566629"/>
    <w:rsid w:val="005674D2"/>
    <w:rsid w:val="00567686"/>
    <w:rsid w:val="005676DC"/>
    <w:rsid w:val="00567F43"/>
    <w:rsid w:val="005702C5"/>
    <w:rsid w:val="005703C5"/>
    <w:rsid w:val="00570460"/>
    <w:rsid w:val="005715C9"/>
    <w:rsid w:val="00571D67"/>
    <w:rsid w:val="00572E2F"/>
    <w:rsid w:val="00572E40"/>
    <w:rsid w:val="00573801"/>
    <w:rsid w:val="00574579"/>
    <w:rsid w:val="00574593"/>
    <w:rsid w:val="00574757"/>
    <w:rsid w:val="0057527E"/>
    <w:rsid w:val="00575554"/>
    <w:rsid w:val="00575A1D"/>
    <w:rsid w:val="00575A7F"/>
    <w:rsid w:val="005764A9"/>
    <w:rsid w:val="00576529"/>
    <w:rsid w:val="00576867"/>
    <w:rsid w:val="00576AAA"/>
    <w:rsid w:val="00576D2C"/>
    <w:rsid w:val="00576EFD"/>
    <w:rsid w:val="005771BB"/>
    <w:rsid w:val="00577BC4"/>
    <w:rsid w:val="005801AC"/>
    <w:rsid w:val="00580508"/>
    <w:rsid w:val="005806F9"/>
    <w:rsid w:val="00580C5C"/>
    <w:rsid w:val="00580DA8"/>
    <w:rsid w:val="00580F79"/>
    <w:rsid w:val="0058142E"/>
    <w:rsid w:val="005815C2"/>
    <w:rsid w:val="00581795"/>
    <w:rsid w:val="00581FED"/>
    <w:rsid w:val="00582A39"/>
    <w:rsid w:val="00582BF3"/>
    <w:rsid w:val="00583B95"/>
    <w:rsid w:val="005850FD"/>
    <w:rsid w:val="0058597D"/>
    <w:rsid w:val="00585BB5"/>
    <w:rsid w:val="00585F34"/>
    <w:rsid w:val="00586223"/>
    <w:rsid w:val="00586525"/>
    <w:rsid w:val="00586851"/>
    <w:rsid w:val="00586891"/>
    <w:rsid w:val="00587444"/>
    <w:rsid w:val="00587DC2"/>
    <w:rsid w:val="005906E5"/>
    <w:rsid w:val="005907E3"/>
    <w:rsid w:val="00590AE1"/>
    <w:rsid w:val="00590EBE"/>
    <w:rsid w:val="0059185F"/>
    <w:rsid w:val="00591F15"/>
    <w:rsid w:val="0059279B"/>
    <w:rsid w:val="00592EBE"/>
    <w:rsid w:val="00593050"/>
    <w:rsid w:val="0059372F"/>
    <w:rsid w:val="0059393A"/>
    <w:rsid w:val="00593D62"/>
    <w:rsid w:val="00594112"/>
    <w:rsid w:val="0059466A"/>
    <w:rsid w:val="00594734"/>
    <w:rsid w:val="0059494A"/>
    <w:rsid w:val="005950C8"/>
    <w:rsid w:val="0059531A"/>
    <w:rsid w:val="0059595B"/>
    <w:rsid w:val="00595A3D"/>
    <w:rsid w:val="00595D44"/>
    <w:rsid w:val="0059614A"/>
    <w:rsid w:val="005963B4"/>
    <w:rsid w:val="005967C6"/>
    <w:rsid w:val="00596A06"/>
    <w:rsid w:val="005977BF"/>
    <w:rsid w:val="0059796B"/>
    <w:rsid w:val="005A021D"/>
    <w:rsid w:val="005A0737"/>
    <w:rsid w:val="005A0CEA"/>
    <w:rsid w:val="005A1450"/>
    <w:rsid w:val="005A1556"/>
    <w:rsid w:val="005A17FB"/>
    <w:rsid w:val="005A1852"/>
    <w:rsid w:val="005A190A"/>
    <w:rsid w:val="005A1A19"/>
    <w:rsid w:val="005A1A1B"/>
    <w:rsid w:val="005A20C9"/>
    <w:rsid w:val="005A2216"/>
    <w:rsid w:val="005A24B5"/>
    <w:rsid w:val="005A2CFC"/>
    <w:rsid w:val="005A2F84"/>
    <w:rsid w:val="005A3347"/>
    <w:rsid w:val="005A4042"/>
    <w:rsid w:val="005A40BA"/>
    <w:rsid w:val="005A4228"/>
    <w:rsid w:val="005A504A"/>
    <w:rsid w:val="005A57D6"/>
    <w:rsid w:val="005A5A70"/>
    <w:rsid w:val="005A7389"/>
    <w:rsid w:val="005A78EE"/>
    <w:rsid w:val="005A7CA2"/>
    <w:rsid w:val="005A7E48"/>
    <w:rsid w:val="005A7FD3"/>
    <w:rsid w:val="005B02F2"/>
    <w:rsid w:val="005B095F"/>
    <w:rsid w:val="005B0B51"/>
    <w:rsid w:val="005B1071"/>
    <w:rsid w:val="005B1790"/>
    <w:rsid w:val="005B1A38"/>
    <w:rsid w:val="005B1F44"/>
    <w:rsid w:val="005B20D0"/>
    <w:rsid w:val="005B21E1"/>
    <w:rsid w:val="005B2AC2"/>
    <w:rsid w:val="005B2BF5"/>
    <w:rsid w:val="005B2DAB"/>
    <w:rsid w:val="005B3945"/>
    <w:rsid w:val="005B3A73"/>
    <w:rsid w:val="005B4811"/>
    <w:rsid w:val="005B4C75"/>
    <w:rsid w:val="005B529D"/>
    <w:rsid w:val="005B52D1"/>
    <w:rsid w:val="005B53E0"/>
    <w:rsid w:val="005B554D"/>
    <w:rsid w:val="005B5853"/>
    <w:rsid w:val="005B5E6C"/>
    <w:rsid w:val="005B63E4"/>
    <w:rsid w:val="005B69CA"/>
    <w:rsid w:val="005B6AB5"/>
    <w:rsid w:val="005B6CCC"/>
    <w:rsid w:val="005B71CE"/>
    <w:rsid w:val="005B757C"/>
    <w:rsid w:val="005B78A1"/>
    <w:rsid w:val="005B7F43"/>
    <w:rsid w:val="005C02D4"/>
    <w:rsid w:val="005C05FF"/>
    <w:rsid w:val="005C0704"/>
    <w:rsid w:val="005C14A0"/>
    <w:rsid w:val="005C1622"/>
    <w:rsid w:val="005C198B"/>
    <w:rsid w:val="005C23D7"/>
    <w:rsid w:val="005C26CE"/>
    <w:rsid w:val="005C27AB"/>
    <w:rsid w:val="005C2859"/>
    <w:rsid w:val="005C287F"/>
    <w:rsid w:val="005C2947"/>
    <w:rsid w:val="005C2D2D"/>
    <w:rsid w:val="005C3074"/>
    <w:rsid w:val="005C3857"/>
    <w:rsid w:val="005C4228"/>
    <w:rsid w:val="005C438E"/>
    <w:rsid w:val="005C43F3"/>
    <w:rsid w:val="005C552D"/>
    <w:rsid w:val="005C55B2"/>
    <w:rsid w:val="005C5648"/>
    <w:rsid w:val="005C57A7"/>
    <w:rsid w:val="005C605B"/>
    <w:rsid w:val="005C608E"/>
    <w:rsid w:val="005C62D9"/>
    <w:rsid w:val="005C6787"/>
    <w:rsid w:val="005C6B05"/>
    <w:rsid w:val="005C6E27"/>
    <w:rsid w:val="005C7994"/>
    <w:rsid w:val="005C7ABF"/>
    <w:rsid w:val="005C7C48"/>
    <w:rsid w:val="005C7CF3"/>
    <w:rsid w:val="005D00DB"/>
    <w:rsid w:val="005D07D2"/>
    <w:rsid w:val="005D0F46"/>
    <w:rsid w:val="005D0F8C"/>
    <w:rsid w:val="005D14F8"/>
    <w:rsid w:val="005D1BB8"/>
    <w:rsid w:val="005D1FBA"/>
    <w:rsid w:val="005D2018"/>
    <w:rsid w:val="005D24A9"/>
    <w:rsid w:val="005D25B7"/>
    <w:rsid w:val="005D25BE"/>
    <w:rsid w:val="005D293C"/>
    <w:rsid w:val="005D2A58"/>
    <w:rsid w:val="005D30B8"/>
    <w:rsid w:val="005D3ED4"/>
    <w:rsid w:val="005D48FE"/>
    <w:rsid w:val="005D4D45"/>
    <w:rsid w:val="005D4DA2"/>
    <w:rsid w:val="005D5504"/>
    <w:rsid w:val="005D5864"/>
    <w:rsid w:val="005D5880"/>
    <w:rsid w:val="005D5DA2"/>
    <w:rsid w:val="005D5EAC"/>
    <w:rsid w:val="005D6224"/>
    <w:rsid w:val="005D66B0"/>
    <w:rsid w:val="005D6BA1"/>
    <w:rsid w:val="005D6BC7"/>
    <w:rsid w:val="005D6C63"/>
    <w:rsid w:val="005D6E99"/>
    <w:rsid w:val="005D7598"/>
    <w:rsid w:val="005D776F"/>
    <w:rsid w:val="005E009F"/>
    <w:rsid w:val="005E0C21"/>
    <w:rsid w:val="005E1528"/>
    <w:rsid w:val="005E2189"/>
    <w:rsid w:val="005E25F7"/>
    <w:rsid w:val="005E2A5A"/>
    <w:rsid w:val="005E2C15"/>
    <w:rsid w:val="005E35A4"/>
    <w:rsid w:val="005E35FD"/>
    <w:rsid w:val="005E3B69"/>
    <w:rsid w:val="005E3DDA"/>
    <w:rsid w:val="005E41AC"/>
    <w:rsid w:val="005E4393"/>
    <w:rsid w:val="005E4583"/>
    <w:rsid w:val="005E4642"/>
    <w:rsid w:val="005E46DC"/>
    <w:rsid w:val="005E4866"/>
    <w:rsid w:val="005E4A51"/>
    <w:rsid w:val="005E4C95"/>
    <w:rsid w:val="005E58A5"/>
    <w:rsid w:val="005E5C62"/>
    <w:rsid w:val="005E5E61"/>
    <w:rsid w:val="005E6674"/>
    <w:rsid w:val="005E71D8"/>
    <w:rsid w:val="005E78E7"/>
    <w:rsid w:val="005F00DC"/>
    <w:rsid w:val="005F01BE"/>
    <w:rsid w:val="005F0224"/>
    <w:rsid w:val="005F038B"/>
    <w:rsid w:val="005F049B"/>
    <w:rsid w:val="005F06BA"/>
    <w:rsid w:val="005F0908"/>
    <w:rsid w:val="005F0B3C"/>
    <w:rsid w:val="005F0E3E"/>
    <w:rsid w:val="005F14B1"/>
    <w:rsid w:val="005F16C0"/>
    <w:rsid w:val="005F1D95"/>
    <w:rsid w:val="005F1FA4"/>
    <w:rsid w:val="005F2129"/>
    <w:rsid w:val="005F22F1"/>
    <w:rsid w:val="005F27EF"/>
    <w:rsid w:val="005F30B1"/>
    <w:rsid w:val="005F32C1"/>
    <w:rsid w:val="005F3434"/>
    <w:rsid w:val="005F3797"/>
    <w:rsid w:val="005F3AEF"/>
    <w:rsid w:val="005F3C03"/>
    <w:rsid w:val="005F3DD2"/>
    <w:rsid w:val="005F4418"/>
    <w:rsid w:val="005F492A"/>
    <w:rsid w:val="005F49D2"/>
    <w:rsid w:val="005F4CED"/>
    <w:rsid w:val="005F5352"/>
    <w:rsid w:val="005F5527"/>
    <w:rsid w:val="005F6B5C"/>
    <w:rsid w:val="005F6BF4"/>
    <w:rsid w:val="005F6D08"/>
    <w:rsid w:val="005F6F91"/>
    <w:rsid w:val="005F7321"/>
    <w:rsid w:val="005F7CC7"/>
    <w:rsid w:val="006009D7"/>
    <w:rsid w:val="00600F74"/>
    <w:rsid w:val="00601269"/>
    <w:rsid w:val="00601459"/>
    <w:rsid w:val="00601C2F"/>
    <w:rsid w:val="00602BBC"/>
    <w:rsid w:val="00603003"/>
    <w:rsid w:val="00603ABE"/>
    <w:rsid w:val="00603D36"/>
    <w:rsid w:val="00603F19"/>
    <w:rsid w:val="0060433E"/>
    <w:rsid w:val="00604D69"/>
    <w:rsid w:val="006052E4"/>
    <w:rsid w:val="00605442"/>
    <w:rsid w:val="0060549B"/>
    <w:rsid w:val="00605538"/>
    <w:rsid w:val="00605776"/>
    <w:rsid w:val="006061F3"/>
    <w:rsid w:val="0060683C"/>
    <w:rsid w:val="00607532"/>
    <w:rsid w:val="00607C9B"/>
    <w:rsid w:val="006104FE"/>
    <w:rsid w:val="00610930"/>
    <w:rsid w:val="00610B37"/>
    <w:rsid w:val="00611216"/>
    <w:rsid w:val="006112E4"/>
    <w:rsid w:val="0061223F"/>
    <w:rsid w:val="006125B0"/>
    <w:rsid w:val="00612C20"/>
    <w:rsid w:val="00612E61"/>
    <w:rsid w:val="00612FC6"/>
    <w:rsid w:val="00613D28"/>
    <w:rsid w:val="0061404F"/>
    <w:rsid w:val="0061424C"/>
    <w:rsid w:val="00614C2C"/>
    <w:rsid w:val="00614D28"/>
    <w:rsid w:val="00614E96"/>
    <w:rsid w:val="00614EA9"/>
    <w:rsid w:val="00615072"/>
    <w:rsid w:val="00615EA0"/>
    <w:rsid w:val="00615F30"/>
    <w:rsid w:val="00616E27"/>
    <w:rsid w:val="00617088"/>
    <w:rsid w:val="00617831"/>
    <w:rsid w:val="0061794C"/>
    <w:rsid w:val="0062007E"/>
    <w:rsid w:val="00620205"/>
    <w:rsid w:val="006202CC"/>
    <w:rsid w:val="0062030A"/>
    <w:rsid w:val="00620470"/>
    <w:rsid w:val="00620736"/>
    <w:rsid w:val="006212E4"/>
    <w:rsid w:val="00621EF4"/>
    <w:rsid w:val="00622128"/>
    <w:rsid w:val="00622701"/>
    <w:rsid w:val="006229D3"/>
    <w:rsid w:val="006241BE"/>
    <w:rsid w:val="006244E5"/>
    <w:rsid w:val="0062456C"/>
    <w:rsid w:val="00625009"/>
    <w:rsid w:val="00625523"/>
    <w:rsid w:val="00625759"/>
    <w:rsid w:val="006259EF"/>
    <w:rsid w:val="00625B32"/>
    <w:rsid w:val="00625B8F"/>
    <w:rsid w:val="006266E5"/>
    <w:rsid w:val="006278CC"/>
    <w:rsid w:val="00627912"/>
    <w:rsid w:val="00627F05"/>
    <w:rsid w:val="00630332"/>
    <w:rsid w:val="006308CE"/>
    <w:rsid w:val="00630F2B"/>
    <w:rsid w:val="006315AC"/>
    <w:rsid w:val="00631621"/>
    <w:rsid w:val="0063189C"/>
    <w:rsid w:val="00632878"/>
    <w:rsid w:val="0063290D"/>
    <w:rsid w:val="006329CF"/>
    <w:rsid w:val="00632A7A"/>
    <w:rsid w:val="00632C05"/>
    <w:rsid w:val="006330FA"/>
    <w:rsid w:val="00633595"/>
    <w:rsid w:val="00634521"/>
    <w:rsid w:val="0063468C"/>
    <w:rsid w:val="00634DAD"/>
    <w:rsid w:val="0063546E"/>
    <w:rsid w:val="0063556C"/>
    <w:rsid w:val="006356A3"/>
    <w:rsid w:val="006356C7"/>
    <w:rsid w:val="006358A5"/>
    <w:rsid w:val="006359D0"/>
    <w:rsid w:val="00635B2E"/>
    <w:rsid w:val="006364F7"/>
    <w:rsid w:val="00636D65"/>
    <w:rsid w:val="00636EAC"/>
    <w:rsid w:val="0063728E"/>
    <w:rsid w:val="006372F2"/>
    <w:rsid w:val="0063730B"/>
    <w:rsid w:val="006373B0"/>
    <w:rsid w:val="00637630"/>
    <w:rsid w:val="00637810"/>
    <w:rsid w:val="00637918"/>
    <w:rsid w:val="0063799F"/>
    <w:rsid w:val="00637E30"/>
    <w:rsid w:val="00637E67"/>
    <w:rsid w:val="00640391"/>
    <w:rsid w:val="0064090C"/>
    <w:rsid w:val="00640A83"/>
    <w:rsid w:val="00640ED4"/>
    <w:rsid w:val="00642D42"/>
    <w:rsid w:val="00642E0E"/>
    <w:rsid w:val="00643044"/>
    <w:rsid w:val="006430ED"/>
    <w:rsid w:val="006434BE"/>
    <w:rsid w:val="00643B35"/>
    <w:rsid w:val="00644879"/>
    <w:rsid w:val="00644C6D"/>
    <w:rsid w:val="0064527F"/>
    <w:rsid w:val="006454AC"/>
    <w:rsid w:val="006457EB"/>
    <w:rsid w:val="00645A81"/>
    <w:rsid w:val="00645C98"/>
    <w:rsid w:val="00645CCC"/>
    <w:rsid w:val="00645DF6"/>
    <w:rsid w:val="00646222"/>
    <w:rsid w:val="0064663D"/>
    <w:rsid w:val="00646CA0"/>
    <w:rsid w:val="00650191"/>
    <w:rsid w:val="00650351"/>
    <w:rsid w:val="006505DC"/>
    <w:rsid w:val="006509BB"/>
    <w:rsid w:val="00650BE0"/>
    <w:rsid w:val="00651032"/>
    <w:rsid w:val="006512CF"/>
    <w:rsid w:val="00651361"/>
    <w:rsid w:val="006514C8"/>
    <w:rsid w:val="00651605"/>
    <w:rsid w:val="006516A6"/>
    <w:rsid w:val="00651A21"/>
    <w:rsid w:val="00651FD1"/>
    <w:rsid w:val="00652C86"/>
    <w:rsid w:val="00652F62"/>
    <w:rsid w:val="006531CB"/>
    <w:rsid w:val="00653453"/>
    <w:rsid w:val="00653E4D"/>
    <w:rsid w:val="00653F03"/>
    <w:rsid w:val="006541A6"/>
    <w:rsid w:val="00654347"/>
    <w:rsid w:val="00654926"/>
    <w:rsid w:val="00654C6A"/>
    <w:rsid w:val="00655B41"/>
    <w:rsid w:val="00655D96"/>
    <w:rsid w:val="00656821"/>
    <w:rsid w:val="006569B1"/>
    <w:rsid w:val="00656F75"/>
    <w:rsid w:val="006572F6"/>
    <w:rsid w:val="00657379"/>
    <w:rsid w:val="006576D8"/>
    <w:rsid w:val="0065797F"/>
    <w:rsid w:val="00657BBC"/>
    <w:rsid w:val="006600F5"/>
    <w:rsid w:val="0066027D"/>
    <w:rsid w:val="00660609"/>
    <w:rsid w:val="006609B1"/>
    <w:rsid w:val="00660AD1"/>
    <w:rsid w:val="00661D76"/>
    <w:rsid w:val="00661E8F"/>
    <w:rsid w:val="00662020"/>
    <w:rsid w:val="006623BF"/>
    <w:rsid w:val="006624F0"/>
    <w:rsid w:val="0066294A"/>
    <w:rsid w:val="0066318C"/>
    <w:rsid w:val="006637B9"/>
    <w:rsid w:val="00663AAC"/>
    <w:rsid w:val="00663E27"/>
    <w:rsid w:val="00664533"/>
    <w:rsid w:val="0066498E"/>
    <w:rsid w:val="006659DD"/>
    <w:rsid w:val="00665B84"/>
    <w:rsid w:val="006662AD"/>
    <w:rsid w:val="006668CA"/>
    <w:rsid w:val="00666E99"/>
    <w:rsid w:val="0066760C"/>
    <w:rsid w:val="00667ABB"/>
    <w:rsid w:val="006708C9"/>
    <w:rsid w:val="00670B88"/>
    <w:rsid w:val="00670E84"/>
    <w:rsid w:val="00671936"/>
    <w:rsid w:val="0067240D"/>
    <w:rsid w:val="006726E0"/>
    <w:rsid w:val="006733C5"/>
    <w:rsid w:val="006742C5"/>
    <w:rsid w:val="00674A96"/>
    <w:rsid w:val="00674D18"/>
    <w:rsid w:val="006750F1"/>
    <w:rsid w:val="00675A81"/>
    <w:rsid w:val="0067643D"/>
    <w:rsid w:val="006766AB"/>
    <w:rsid w:val="0067675D"/>
    <w:rsid w:val="00677A1C"/>
    <w:rsid w:val="00677C73"/>
    <w:rsid w:val="00677F7C"/>
    <w:rsid w:val="0068074C"/>
    <w:rsid w:val="00682FEC"/>
    <w:rsid w:val="006834E5"/>
    <w:rsid w:val="00683564"/>
    <w:rsid w:val="006836FF"/>
    <w:rsid w:val="00683815"/>
    <w:rsid w:val="00683A28"/>
    <w:rsid w:val="00684959"/>
    <w:rsid w:val="00684DEA"/>
    <w:rsid w:val="006854F2"/>
    <w:rsid w:val="0068565C"/>
    <w:rsid w:val="00685CE0"/>
    <w:rsid w:val="00686209"/>
    <w:rsid w:val="0068620A"/>
    <w:rsid w:val="006862BE"/>
    <w:rsid w:val="00686490"/>
    <w:rsid w:val="00686E12"/>
    <w:rsid w:val="00687664"/>
    <w:rsid w:val="0069093D"/>
    <w:rsid w:val="00690BBC"/>
    <w:rsid w:val="00690E56"/>
    <w:rsid w:val="00691B4D"/>
    <w:rsid w:val="00692151"/>
    <w:rsid w:val="0069225F"/>
    <w:rsid w:val="006923B1"/>
    <w:rsid w:val="0069249C"/>
    <w:rsid w:val="00692613"/>
    <w:rsid w:val="00692D8D"/>
    <w:rsid w:val="0069335D"/>
    <w:rsid w:val="00694A48"/>
    <w:rsid w:val="00694C3C"/>
    <w:rsid w:val="00695921"/>
    <w:rsid w:val="00696ADE"/>
    <w:rsid w:val="0069765A"/>
    <w:rsid w:val="00697E8B"/>
    <w:rsid w:val="006A040F"/>
    <w:rsid w:val="006A0863"/>
    <w:rsid w:val="006A1039"/>
    <w:rsid w:val="006A1B17"/>
    <w:rsid w:val="006A21AF"/>
    <w:rsid w:val="006A2D1D"/>
    <w:rsid w:val="006A2D5D"/>
    <w:rsid w:val="006A49AE"/>
    <w:rsid w:val="006A4C49"/>
    <w:rsid w:val="006A52FF"/>
    <w:rsid w:val="006A5837"/>
    <w:rsid w:val="006A5A4C"/>
    <w:rsid w:val="006A5EE2"/>
    <w:rsid w:val="006A6846"/>
    <w:rsid w:val="006A7121"/>
    <w:rsid w:val="006A75AC"/>
    <w:rsid w:val="006A7632"/>
    <w:rsid w:val="006A7897"/>
    <w:rsid w:val="006A7F23"/>
    <w:rsid w:val="006B0109"/>
    <w:rsid w:val="006B056A"/>
    <w:rsid w:val="006B0630"/>
    <w:rsid w:val="006B0FA2"/>
    <w:rsid w:val="006B1475"/>
    <w:rsid w:val="006B1754"/>
    <w:rsid w:val="006B1A63"/>
    <w:rsid w:val="006B1ED5"/>
    <w:rsid w:val="006B20E7"/>
    <w:rsid w:val="006B2A03"/>
    <w:rsid w:val="006B2ABD"/>
    <w:rsid w:val="006B2E94"/>
    <w:rsid w:val="006B307B"/>
    <w:rsid w:val="006B3858"/>
    <w:rsid w:val="006B402C"/>
    <w:rsid w:val="006B424E"/>
    <w:rsid w:val="006B4883"/>
    <w:rsid w:val="006B4FA7"/>
    <w:rsid w:val="006B5363"/>
    <w:rsid w:val="006B56D9"/>
    <w:rsid w:val="006B59BE"/>
    <w:rsid w:val="006B61DB"/>
    <w:rsid w:val="006B657B"/>
    <w:rsid w:val="006B709C"/>
    <w:rsid w:val="006B77A8"/>
    <w:rsid w:val="006B7AF5"/>
    <w:rsid w:val="006C01B3"/>
    <w:rsid w:val="006C0671"/>
    <w:rsid w:val="006C0F3D"/>
    <w:rsid w:val="006C0FB3"/>
    <w:rsid w:val="006C150F"/>
    <w:rsid w:val="006C18FA"/>
    <w:rsid w:val="006C1918"/>
    <w:rsid w:val="006C1ABF"/>
    <w:rsid w:val="006C1BD3"/>
    <w:rsid w:val="006C1C44"/>
    <w:rsid w:val="006C1C92"/>
    <w:rsid w:val="006C1D80"/>
    <w:rsid w:val="006C2017"/>
    <w:rsid w:val="006C2950"/>
    <w:rsid w:val="006C2C47"/>
    <w:rsid w:val="006C304E"/>
    <w:rsid w:val="006C34ED"/>
    <w:rsid w:val="006C3549"/>
    <w:rsid w:val="006C3A8A"/>
    <w:rsid w:val="006C3B12"/>
    <w:rsid w:val="006C3D2D"/>
    <w:rsid w:val="006C4023"/>
    <w:rsid w:val="006C4177"/>
    <w:rsid w:val="006C4287"/>
    <w:rsid w:val="006C431D"/>
    <w:rsid w:val="006C4D54"/>
    <w:rsid w:val="006C58DF"/>
    <w:rsid w:val="006C6452"/>
    <w:rsid w:val="006C6B27"/>
    <w:rsid w:val="006C6CE3"/>
    <w:rsid w:val="006C6D27"/>
    <w:rsid w:val="006C7199"/>
    <w:rsid w:val="006C7422"/>
    <w:rsid w:val="006D0087"/>
    <w:rsid w:val="006D04D2"/>
    <w:rsid w:val="006D09D9"/>
    <w:rsid w:val="006D167F"/>
    <w:rsid w:val="006D176D"/>
    <w:rsid w:val="006D266D"/>
    <w:rsid w:val="006D280F"/>
    <w:rsid w:val="006D32A1"/>
    <w:rsid w:val="006D383A"/>
    <w:rsid w:val="006D4161"/>
    <w:rsid w:val="006D4B9E"/>
    <w:rsid w:val="006D5088"/>
    <w:rsid w:val="006D55EE"/>
    <w:rsid w:val="006D5CCE"/>
    <w:rsid w:val="006D60EF"/>
    <w:rsid w:val="006D6131"/>
    <w:rsid w:val="006D658E"/>
    <w:rsid w:val="006D66B2"/>
    <w:rsid w:val="006D6C22"/>
    <w:rsid w:val="006D6CC0"/>
    <w:rsid w:val="006D6DC4"/>
    <w:rsid w:val="006D73C8"/>
    <w:rsid w:val="006D76F3"/>
    <w:rsid w:val="006D786C"/>
    <w:rsid w:val="006D795F"/>
    <w:rsid w:val="006D79E4"/>
    <w:rsid w:val="006D7BA7"/>
    <w:rsid w:val="006E07AA"/>
    <w:rsid w:val="006E08BF"/>
    <w:rsid w:val="006E123A"/>
    <w:rsid w:val="006E160A"/>
    <w:rsid w:val="006E1791"/>
    <w:rsid w:val="006E24C0"/>
    <w:rsid w:val="006E2C4B"/>
    <w:rsid w:val="006E2C56"/>
    <w:rsid w:val="006E36C3"/>
    <w:rsid w:val="006E3C03"/>
    <w:rsid w:val="006E4010"/>
    <w:rsid w:val="006E42E4"/>
    <w:rsid w:val="006E45B0"/>
    <w:rsid w:val="006E4684"/>
    <w:rsid w:val="006E4ABF"/>
    <w:rsid w:val="006E51BC"/>
    <w:rsid w:val="006E52CE"/>
    <w:rsid w:val="006E53BF"/>
    <w:rsid w:val="006E57B4"/>
    <w:rsid w:val="006E585B"/>
    <w:rsid w:val="006E5FB1"/>
    <w:rsid w:val="006E6297"/>
    <w:rsid w:val="006E632D"/>
    <w:rsid w:val="006E6560"/>
    <w:rsid w:val="006E663F"/>
    <w:rsid w:val="006E67D8"/>
    <w:rsid w:val="006E6CC2"/>
    <w:rsid w:val="006E6E66"/>
    <w:rsid w:val="006E707D"/>
    <w:rsid w:val="006E70B2"/>
    <w:rsid w:val="006E7235"/>
    <w:rsid w:val="006E787E"/>
    <w:rsid w:val="006E7A1D"/>
    <w:rsid w:val="006F0215"/>
    <w:rsid w:val="006F027E"/>
    <w:rsid w:val="006F10E1"/>
    <w:rsid w:val="006F11DD"/>
    <w:rsid w:val="006F161B"/>
    <w:rsid w:val="006F19AA"/>
    <w:rsid w:val="006F19AB"/>
    <w:rsid w:val="006F26FB"/>
    <w:rsid w:val="006F281D"/>
    <w:rsid w:val="006F285F"/>
    <w:rsid w:val="006F2A71"/>
    <w:rsid w:val="006F3142"/>
    <w:rsid w:val="006F347B"/>
    <w:rsid w:val="006F3536"/>
    <w:rsid w:val="006F3A6E"/>
    <w:rsid w:val="006F4068"/>
    <w:rsid w:val="006F49D3"/>
    <w:rsid w:val="006F4A1E"/>
    <w:rsid w:val="006F4CA3"/>
    <w:rsid w:val="006F4F50"/>
    <w:rsid w:val="006F66C9"/>
    <w:rsid w:val="006F713A"/>
    <w:rsid w:val="006F716B"/>
    <w:rsid w:val="006F78A5"/>
    <w:rsid w:val="007004E2"/>
    <w:rsid w:val="00700615"/>
    <w:rsid w:val="00700ABF"/>
    <w:rsid w:val="00700C6D"/>
    <w:rsid w:val="00701441"/>
    <w:rsid w:val="00701458"/>
    <w:rsid w:val="007014C8"/>
    <w:rsid w:val="00701F32"/>
    <w:rsid w:val="007021CD"/>
    <w:rsid w:val="00702208"/>
    <w:rsid w:val="00702237"/>
    <w:rsid w:val="007027AC"/>
    <w:rsid w:val="00702A1E"/>
    <w:rsid w:val="00702A70"/>
    <w:rsid w:val="00702E9B"/>
    <w:rsid w:val="0070320C"/>
    <w:rsid w:val="007033B5"/>
    <w:rsid w:val="00703BF5"/>
    <w:rsid w:val="00704670"/>
    <w:rsid w:val="00704B68"/>
    <w:rsid w:val="00704C87"/>
    <w:rsid w:val="00704E3E"/>
    <w:rsid w:val="00705DA7"/>
    <w:rsid w:val="00706096"/>
    <w:rsid w:val="00706400"/>
    <w:rsid w:val="00706474"/>
    <w:rsid w:val="007066D0"/>
    <w:rsid w:val="007068AF"/>
    <w:rsid w:val="007069D0"/>
    <w:rsid w:val="0070704B"/>
    <w:rsid w:val="00707E7A"/>
    <w:rsid w:val="00710AF8"/>
    <w:rsid w:val="00710BF9"/>
    <w:rsid w:val="00710F65"/>
    <w:rsid w:val="00711A1D"/>
    <w:rsid w:val="007123F2"/>
    <w:rsid w:val="00712ACD"/>
    <w:rsid w:val="0071327A"/>
    <w:rsid w:val="00713714"/>
    <w:rsid w:val="0071397B"/>
    <w:rsid w:val="007139D1"/>
    <w:rsid w:val="00713E05"/>
    <w:rsid w:val="007149F9"/>
    <w:rsid w:val="00715002"/>
    <w:rsid w:val="00715049"/>
    <w:rsid w:val="007158E1"/>
    <w:rsid w:val="007159B9"/>
    <w:rsid w:val="00715C7C"/>
    <w:rsid w:val="007163C0"/>
    <w:rsid w:val="007167BA"/>
    <w:rsid w:val="00716B1B"/>
    <w:rsid w:val="007179F5"/>
    <w:rsid w:val="007202FA"/>
    <w:rsid w:val="0072059F"/>
    <w:rsid w:val="00720648"/>
    <w:rsid w:val="00720B9C"/>
    <w:rsid w:val="00720C94"/>
    <w:rsid w:val="0072168B"/>
    <w:rsid w:val="007217C3"/>
    <w:rsid w:val="00721986"/>
    <w:rsid w:val="0072199D"/>
    <w:rsid w:val="0072219B"/>
    <w:rsid w:val="00722424"/>
    <w:rsid w:val="0072288D"/>
    <w:rsid w:val="00722DED"/>
    <w:rsid w:val="00722F8A"/>
    <w:rsid w:val="0072357A"/>
    <w:rsid w:val="00723C1D"/>
    <w:rsid w:val="00723CC5"/>
    <w:rsid w:val="007240CE"/>
    <w:rsid w:val="007244C8"/>
    <w:rsid w:val="00724963"/>
    <w:rsid w:val="00724A11"/>
    <w:rsid w:val="00724B22"/>
    <w:rsid w:val="00725154"/>
    <w:rsid w:val="007253B8"/>
    <w:rsid w:val="007255AF"/>
    <w:rsid w:val="007264A6"/>
    <w:rsid w:val="00726680"/>
    <w:rsid w:val="00726C56"/>
    <w:rsid w:val="00727068"/>
    <w:rsid w:val="007270D6"/>
    <w:rsid w:val="007273AA"/>
    <w:rsid w:val="00727786"/>
    <w:rsid w:val="007278B3"/>
    <w:rsid w:val="00727ADF"/>
    <w:rsid w:val="00727AE5"/>
    <w:rsid w:val="00727BB3"/>
    <w:rsid w:val="00727BCF"/>
    <w:rsid w:val="00727C82"/>
    <w:rsid w:val="00727E46"/>
    <w:rsid w:val="00730041"/>
    <w:rsid w:val="0073024E"/>
    <w:rsid w:val="00730D60"/>
    <w:rsid w:val="00731EC4"/>
    <w:rsid w:val="00731FA8"/>
    <w:rsid w:val="00732122"/>
    <w:rsid w:val="0073212E"/>
    <w:rsid w:val="007324C6"/>
    <w:rsid w:val="00732E66"/>
    <w:rsid w:val="0073326F"/>
    <w:rsid w:val="0073378E"/>
    <w:rsid w:val="00733F2B"/>
    <w:rsid w:val="007343B1"/>
    <w:rsid w:val="00734516"/>
    <w:rsid w:val="00734D2F"/>
    <w:rsid w:val="00734E17"/>
    <w:rsid w:val="00735043"/>
    <w:rsid w:val="007350EE"/>
    <w:rsid w:val="007356CC"/>
    <w:rsid w:val="0073630E"/>
    <w:rsid w:val="0073631E"/>
    <w:rsid w:val="00736983"/>
    <w:rsid w:val="00736F15"/>
    <w:rsid w:val="007374FB"/>
    <w:rsid w:val="00737520"/>
    <w:rsid w:val="0073754C"/>
    <w:rsid w:val="0074067F"/>
    <w:rsid w:val="007406F6"/>
    <w:rsid w:val="00740C3E"/>
    <w:rsid w:val="00740E0F"/>
    <w:rsid w:val="00741B39"/>
    <w:rsid w:val="00742601"/>
    <w:rsid w:val="00742D03"/>
    <w:rsid w:val="00742E54"/>
    <w:rsid w:val="00742F99"/>
    <w:rsid w:val="00743A72"/>
    <w:rsid w:val="0074450C"/>
    <w:rsid w:val="00744632"/>
    <w:rsid w:val="00744A32"/>
    <w:rsid w:val="00744A94"/>
    <w:rsid w:val="00744C7D"/>
    <w:rsid w:val="007452B3"/>
    <w:rsid w:val="007467DE"/>
    <w:rsid w:val="0074683C"/>
    <w:rsid w:val="00746F21"/>
    <w:rsid w:val="00746F99"/>
    <w:rsid w:val="0074714A"/>
    <w:rsid w:val="007474F0"/>
    <w:rsid w:val="00747AC3"/>
    <w:rsid w:val="00747B67"/>
    <w:rsid w:val="00750052"/>
    <w:rsid w:val="00750E46"/>
    <w:rsid w:val="00750F58"/>
    <w:rsid w:val="0075243C"/>
    <w:rsid w:val="00752469"/>
    <w:rsid w:val="007524DB"/>
    <w:rsid w:val="007526C7"/>
    <w:rsid w:val="00753115"/>
    <w:rsid w:val="007536B9"/>
    <w:rsid w:val="007538C4"/>
    <w:rsid w:val="00753941"/>
    <w:rsid w:val="00753A65"/>
    <w:rsid w:val="00753ADE"/>
    <w:rsid w:val="00753B99"/>
    <w:rsid w:val="00754D6C"/>
    <w:rsid w:val="007551D8"/>
    <w:rsid w:val="0075625B"/>
    <w:rsid w:val="00756E22"/>
    <w:rsid w:val="00756E3A"/>
    <w:rsid w:val="0075719C"/>
    <w:rsid w:val="00757B56"/>
    <w:rsid w:val="00760B67"/>
    <w:rsid w:val="00760F3C"/>
    <w:rsid w:val="0076115B"/>
    <w:rsid w:val="00761CE2"/>
    <w:rsid w:val="00761E16"/>
    <w:rsid w:val="00761E1F"/>
    <w:rsid w:val="00761E43"/>
    <w:rsid w:val="0076244C"/>
    <w:rsid w:val="007634F8"/>
    <w:rsid w:val="00763CCF"/>
    <w:rsid w:val="00763E35"/>
    <w:rsid w:val="007649F0"/>
    <w:rsid w:val="00764C13"/>
    <w:rsid w:val="0076503E"/>
    <w:rsid w:val="00765091"/>
    <w:rsid w:val="007657FC"/>
    <w:rsid w:val="0076677C"/>
    <w:rsid w:val="00766829"/>
    <w:rsid w:val="00766AEC"/>
    <w:rsid w:val="0076737F"/>
    <w:rsid w:val="007678E6"/>
    <w:rsid w:val="00767B25"/>
    <w:rsid w:val="007702E5"/>
    <w:rsid w:val="00770AC7"/>
    <w:rsid w:val="0077170D"/>
    <w:rsid w:val="0077176D"/>
    <w:rsid w:val="00771BEC"/>
    <w:rsid w:val="00771F85"/>
    <w:rsid w:val="0077236A"/>
    <w:rsid w:val="00772487"/>
    <w:rsid w:val="00772730"/>
    <w:rsid w:val="00772A78"/>
    <w:rsid w:val="0077300F"/>
    <w:rsid w:val="00773308"/>
    <w:rsid w:val="0077389E"/>
    <w:rsid w:val="00773D41"/>
    <w:rsid w:val="00773F61"/>
    <w:rsid w:val="00774E68"/>
    <w:rsid w:val="00774E93"/>
    <w:rsid w:val="0077505C"/>
    <w:rsid w:val="00775446"/>
    <w:rsid w:val="0077593E"/>
    <w:rsid w:val="0077594D"/>
    <w:rsid w:val="007761EE"/>
    <w:rsid w:val="0077697F"/>
    <w:rsid w:val="00776A46"/>
    <w:rsid w:val="0077727E"/>
    <w:rsid w:val="007772C8"/>
    <w:rsid w:val="00777388"/>
    <w:rsid w:val="00777BAD"/>
    <w:rsid w:val="00777DAD"/>
    <w:rsid w:val="00777FFD"/>
    <w:rsid w:val="00780097"/>
    <w:rsid w:val="007809A9"/>
    <w:rsid w:val="00780C36"/>
    <w:rsid w:val="00780D40"/>
    <w:rsid w:val="00781125"/>
    <w:rsid w:val="007817EE"/>
    <w:rsid w:val="00781F3B"/>
    <w:rsid w:val="007824AB"/>
    <w:rsid w:val="00783309"/>
    <w:rsid w:val="0078358A"/>
    <w:rsid w:val="00783632"/>
    <w:rsid w:val="00783850"/>
    <w:rsid w:val="00783CD9"/>
    <w:rsid w:val="00784D2F"/>
    <w:rsid w:val="00784F53"/>
    <w:rsid w:val="00785D0A"/>
    <w:rsid w:val="00785D38"/>
    <w:rsid w:val="00786364"/>
    <w:rsid w:val="00787591"/>
    <w:rsid w:val="007877E8"/>
    <w:rsid w:val="00787AC0"/>
    <w:rsid w:val="00787EAD"/>
    <w:rsid w:val="0079068D"/>
    <w:rsid w:val="00790A1C"/>
    <w:rsid w:val="00790BF1"/>
    <w:rsid w:val="00791581"/>
    <w:rsid w:val="00792AFA"/>
    <w:rsid w:val="00792B80"/>
    <w:rsid w:val="007938BB"/>
    <w:rsid w:val="00795121"/>
    <w:rsid w:val="00795C02"/>
    <w:rsid w:val="00795E68"/>
    <w:rsid w:val="00795F23"/>
    <w:rsid w:val="00796843"/>
    <w:rsid w:val="0079764A"/>
    <w:rsid w:val="0079791C"/>
    <w:rsid w:val="00797A48"/>
    <w:rsid w:val="00797D0E"/>
    <w:rsid w:val="00797D14"/>
    <w:rsid w:val="00797DAD"/>
    <w:rsid w:val="007A065D"/>
    <w:rsid w:val="007A0926"/>
    <w:rsid w:val="007A1E36"/>
    <w:rsid w:val="007A2C32"/>
    <w:rsid w:val="007A2FCF"/>
    <w:rsid w:val="007A3AB1"/>
    <w:rsid w:val="007A3DF5"/>
    <w:rsid w:val="007A3F08"/>
    <w:rsid w:val="007A44B6"/>
    <w:rsid w:val="007A4845"/>
    <w:rsid w:val="007A4DCD"/>
    <w:rsid w:val="007A4DFA"/>
    <w:rsid w:val="007A4EBD"/>
    <w:rsid w:val="007A521B"/>
    <w:rsid w:val="007A54C1"/>
    <w:rsid w:val="007A582C"/>
    <w:rsid w:val="007A61EA"/>
    <w:rsid w:val="007A6C7D"/>
    <w:rsid w:val="007A6F9A"/>
    <w:rsid w:val="007A70F6"/>
    <w:rsid w:val="007A711B"/>
    <w:rsid w:val="007A75A0"/>
    <w:rsid w:val="007A7E74"/>
    <w:rsid w:val="007A7F2A"/>
    <w:rsid w:val="007B0184"/>
    <w:rsid w:val="007B06A5"/>
    <w:rsid w:val="007B0A01"/>
    <w:rsid w:val="007B0BE6"/>
    <w:rsid w:val="007B0C46"/>
    <w:rsid w:val="007B112B"/>
    <w:rsid w:val="007B1C70"/>
    <w:rsid w:val="007B1E28"/>
    <w:rsid w:val="007B21F2"/>
    <w:rsid w:val="007B328D"/>
    <w:rsid w:val="007B3C58"/>
    <w:rsid w:val="007B3D81"/>
    <w:rsid w:val="007B3FAA"/>
    <w:rsid w:val="007B4427"/>
    <w:rsid w:val="007B44BE"/>
    <w:rsid w:val="007B566B"/>
    <w:rsid w:val="007B571D"/>
    <w:rsid w:val="007B5815"/>
    <w:rsid w:val="007B5B26"/>
    <w:rsid w:val="007B619F"/>
    <w:rsid w:val="007B6592"/>
    <w:rsid w:val="007B687A"/>
    <w:rsid w:val="007B691A"/>
    <w:rsid w:val="007B6942"/>
    <w:rsid w:val="007B6CE2"/>
    <w:rsid w:val="007B6D25"/>
    <w:rsid w:val="007B6FD2"/>
    <w:rsid w:val="007B72DD"/>
    <w:rsid w:val="007B78B6"/>
    <w:rsid w:val="007B7A7E"/>
    <w:rsid w:val="007B7A97"/>
    <w:rsid w:val="007C005C"/>
    <w:rsid w:val="007C0288"/>
    <w:rsid w:val="007C07ED"/>
    <w:rsid w:val="007C07F6"/>
    <w:rsid w:val="007C0832"/>
    <w:rsid w:val="007C096F"/>
    <w:rsid w:val="007C09AB"/>
    <w:rsid w:val="007C1372"/>
    <w:rsid w:val="007C17FC"/>
    <w:rsid w:val="007C1C85"/>
    <w:rsid w:val="007C1FF6"/>
    <w:rsid w:val="007C2E02"/>
    <w:rsid w:val="007C2F86"/>
    <w:rsid w:val="007C4108"/>
    <w:rsid w:val="007C45FB"/>
    <w:rsid w:val="007C4A9A"/>
    <w:rsid w:val="007C514B"/>
    <w:rsid w:val="007C553D"/>
    <w:rsid w:val="007C56CB"/>
    <w:rsid w:val="007C5CAC"/>
    <w:rsid w:val="007C6847"/>
    <w:rsid w:val="007C71D4"/>
    <w:rsid w:val="007C71E2"/>
    <w:rsid w:val="007C76F8"/>
    <w:rsid w:val="007C7734"/>
    <w:rsid w:val="007C7D40"/>
    <w:rsid w:val="007D01B9"/>
    <w:rsid w:val="007D062A"/>
    <w:rsid w:val="007D0632"/>
    <w:rsid w:val="007D0E2D"/>
    <w:rsid w:val="007D15AE"/>
    <w:rsid w:val="007D16B5"/>
    <w:rsid w:val="007D189C"/>
    <w:rsid w:val="007D1D12"/>
    <w:rsid w:val="007D1D95"/>
    <w:rsid w:val="007D233B"/>
    <w:rsid w:val="007D29F6"/>
    <w:rsid w:val="007D2A91"/>
    <w:rsid w:val="007D337B"/>
    <w:rsid w:val="007D4382"/>
    <w:rsid w:val="007D46C8"/>
    <w:rsid w:val="007D523E"/>
    <w:rsid w:val="007D56D2"/>
    <w:rsid w:val="007D5C93"/>
    <w:rsid w:val="007D61B8"/>
    <w:rsid w:val="007D6945"/>
    <w:rsid w:val="007D6C89"/>
    <w:rsid w:val="007D6CF7"/>
    <w:rsid w:val="007D6DE7"/>
    <w:rsid w:val="007D6DEE"/>
    <w:rsid w:val="007D70B5"/>
    <w:rsid w:val="007D7181"/>
    <w:rsid w:val="007D7206"/>
    <w:rsid w:val="007D72D2"/>
    <w:rsid w:val="007D760B"/>
    <w:rsid w:val="007D77AF"/>
    <w:rsid w:val="007D7E03"/>
    <w:rsid w:val="007D7EB3"/>
    <w:rsid w:val="007D7FD7"/>
    <w:rsid w:val="007E01DB"/>
    <w:rsid w:val="007E10DE"/>
    <w:rsid w:val="007E128A"/>
    <w:rsid w:val="007E19A6"/>
    <w:rsid w:val="007E204E"/>
    <w:rsid w:val="007E2A38"/>
    <w:rsid w:val="007E3217"/>
    <w:rsid w:val="007E36FC"/>
    <w:rsid w:val="007E3828"/>
    <w:rsid w:val="007E3B77"/>
    <w:rsid w:val="007E3C92"/>
    <w:rsid w:val="007E405F"/>
    <w:rsid w:val="007E4156"/>
    <w:rsid w:val="007E4217"/>
    <w:rsid w:val="007E49EE"/>
    <w:rsid w:val="007E5629"/>
    <w:rsid w:val="007E5AD7"/>
    <w:rsid w:val="007E68C3"/>
    <w:rsid w:val="007E69A8"/>
    <w:rsid w:val="007E6E57"/>
    <w:rsid w:val="007E6E5C"/>
    <w:rsid w:val="007E750F"/>
    <w:rsid w:val="007E7CB0"/>
    <w:rsid w:val="007E7D7C"/>
    <w:rsid w:val="007F02E3"/>
    <w:rsid w:val="007F0C74"/>
    <w:rsid w:val="007F1517"/>
    <w:rsid w:val="007F1621"/>
    <w:rsid w:val="007F16B7"/>
    <w:rsid w:val="007F17F4"/>
    <w:rsid w:val="007F186C"/>
    <w:rsid w:val="007F1D4F"/>
    <w:rsid w:val="007F34DE"/>
    <w:rsid w:val="007F34EB"/>
    <w:rsid w:val="007F3B20"/>
    <w:rsid w:val="007F3B2C"/>
    <w:rsid w:val="007F3C16"/>
    <w:rsid w:val="007F4051"/>
    <w:rsid w:val="007F42D5"/>
    <w:rsid w:val="007F4888"/>
    <w:rsid w:val="007F48AD"/>
    <w:rsid w:val="007F4A1B"/>
    <w:rsid w:val="007F4A20"/>
    <w:rsid w:val="007F4AD9"/>
    <w:rsid w:val="007F4C7A"/>
    <w:rsid w:val="007F52E0"/>
    <w:rsid w:val="007F53B3"/>
    <w:rsid w:val="007F572D"/>
    <w:rsid w:val="007F5D02"/>
    <w:rsid w:val="007F6056"/>
    <w:rsid w:val="007F64B4"/>
    <w:rsid w:val="007F73B5"/>
    <w:rsid w:val="007F7FF2"/>
    <w:rsid w:val="00800889"/>
    <w:rsid w:val="00800A64"/>
    <w:rsid w:val="00800C46"/>
    <w:rsid w:val="0080175F"/>
    <w:rsid w:val="00801C4D"/>
    <w:rsid w:val="00801F46"/>
    <w:rsid w:val="00802129"/>
    <w:rsid w:val="008024D4"/>
    <w:rsid w:val="00802E55"/>
    <w:rsid w:val="00802F2E"/>
    <w:rsid w:val="0080304B"/>
    <w:rsid w:val="0080333A"/>
    <w:rsid w:val="00803382"/>
    <w:rsid w:val="00803CE5"/>
    <w:rsid w:val="00804642"/>
    <w:rsid w:val="008050AB"/>
    <w:rsid w:val="0080548B"/>
    <w:rsid w:val="008059B4"/>
    <w:rsid w:val="00805A57"/>
    <w:rsid w:val="00805B42"/>
    <w:rsid w:val="00805E4B"/>
    <w:rsid w:val="00805F58"/>
    <w:rsid w:val="00805F9E"/>
    <w:rsid w:val="00806D63"/>
    <w:rsid w:val="00807409"/>
    <w:rsid w:val="0080798A"/>
    <w:rsid w:val="00807C14"/>
    <w:rsid w:val="0081021F"/>
    <w:rsid w:val="008102AD"/>
    <w:rsid w:val="0081167C"/>
    <w:rsid w:val="00811864"/>
    <w:rsid w:val="00811880"/>
    <w:rsid w:val="00811E96"/>
    <w:rsid w:val="00811EF6"/>
    <w:rsid w:val="0081268F"/>
    <w:rsid w:val="0081297F"/>
    <w:rsid w:val="008148B4"/>
    <w:rsid w:val="0081495F"/>
    <w:rsid w:val="008153A7"/>
    <w:rsid w:val="008153B7"/>
    <w:rsid w:val="00815EB6"/>
    <w:rsid w:val="0081653B"/>
    <w:rsid w:val="008166A5"/>
    <w:rsid w:val="008168F8"/>
    <w:rsid w:val="00816919"/>
    <w:rsid w:val="00816F7B"/>
    <w:rsid w:val="00820393"/>
    <w:rsid w:val="008203CF"/>
    <w:rsid w:val="00820603"/>
    <w:rsid w:val="00820F52"/>
    <w:rsid w:val="00822420"/>
    <w:rsid w:val="00822E65"/>
    <w:rsid w:val="0082350D"/>
    <w:rsid w:val="00823E80"/>
    <w:rsid w:val="008245D8"/>
    <w:rsid w:val="008246BA"/>
    <w:rsid w:val="00824762"/>
    <w:rsid w:val="00824AA0"/>
    <w:rsid w:val="00824B1A"/>
    <w:rsid w:val="00825A14"/>
    <w:rsid w:val="00825A1B"/>
    <w:rsid w:val="00825AAA"/>
    <w:rsid w:val="00826C72"/>
    <w:rsid w:val="008303D0"/>
    <w:rsid w:val="00830B48"/>
    <w:rsid w:val="0083121F"/>
    <w:rsid w:val="00831AF4"/>
    <w:rsid w:val="00831C86"/>
    <w:rsid w:val="00831FC6"/>
    <w:rsid w:val="008327D7"/>
    <w:rsid w:val="00832A1F"/>
    <w:rsid w:val="008330E7"/>
    <w:rsid w:val="00833DA7"/>
    <w:rsid w:val="00833E19"/>
    <w:rsid w:val="00834535"/>
    <w:rsid w:val="00834E18"/>
    <w:rsid w:val="00834E9C"/>
    <w:rsid w:val="00835707"/>
    <w:rsid w:val="00835CAC"/>
    <w:rsid w:val="0083622F"/>
    <w:rsid w:val="00836462"/>
    <w:rsid w:val="0083646C"/>
    <w:rsid w:val="008364D5"/>
    <w:rsid w:val="008368AA"/>
    <w:rsid w:val="00836FD4"/>
    <w:rsid w:val="0083723D"/>
    <w:rsid w:val="00837276"/>
    <w:rsid w:val="008372A9"/>
    <w:rsid w:val="008375AA"/>
    <w:rsid w:val="00837997"/>
    <w:rsid w:val="008412EC"/>
    <w:rsid w:val="00842138"/>
    <w:rsid w:val="00842561"/>
    <w:rsid w:val="00842644"/>
    <w:rsid w:val="00842896"/>
    <w:rsid w:val="00842BBF"/>
    <w:rsid w:val="00842F70"/>
    <w:rsid w:val="008432DF"/>
    <w:rsid w:val="00843FE7"/>
    <w:rsid w:val="0084464C"/>
    <w:rsid w:val="00844CA1"/>
    <w:rsid w:val="00844E79"/>
    <w:rsid w:val="00845656"/>
    <w:rsid w:val="00845894"/>
    <w:rsid w:val="008459A9"/>
    <w:rsid w:val="00845C56"/>
    <w:rsid w:val="00845E79"/>
    <w:rsid w:val="00845E9A"/>
    <w:rsid w:val="0084668B"/>
    <w:rsid w:val="00846E79"/>
    <w:rsid w:val="008472B9"/>
    <w:rsid w:val="008472FB"/>
    <w:rsid w:val="00847373"/>
    <w:rsid w:val="008474A5"/>
    <w:rsid w:val="008477E8"/>
    <w:rsid w:val="008478AA"/>
    <w:rsid w:val="00847989"/>
    <w:rsid w:val="00847B0A"/>
    <w:rsid w:val="00847B8A"/>
    <w:rsid w:val="00847C79"/>
    <w:rsid w:val="00847C9D"/>
    <w:rsid w:val="00847D4E"/>
    <w:rsid w:val="0085005C"/>
    <w:rsid w:val="00850080"/>
    <w:rsid w:val="00850599"/>
    <w:rsid w:val="0085085C"/>
    <w:rsid w:val="00850910"/>
    <w:rsid w:val="00851076"/>
    <w:rsid w:val="008511EC"/>
    <w:rsid w:val="00851379"/>
    <w:rsid w:val="00851C99"/>
    <w:rsid w:val="00851CD4"/>
    <w:rsid w:val="00851E3E"/>
    <w:rsid w:val="00851F62"/>
    <w:rsid w:val="00851FD3"/>
    <w:rsid w:val="00852213"/>
    <w:rsid w:val="0085238A"/>
    <w:rsid w:val="008524EB"/>
    <w:rsid w:val="00852890"/>
    <w:rsid w:val="00852978"/>
    <w:rsid w:val="00852CAB"/>
    <w:rsid w:val="0085318D"/>
    <w:rsid w:val="008535F5"/>
    <w:rsid w:val="00853A58"/>
    <w:rsid w:val="008547B9"/>
    <w:rsid w:val="00855559"/>
    <w:rsid w:val="00855D0F"/>
    <w:rsid w:val="0085603F"/>
    <w:rsid w:val="008565BC"/>
    <w:rsid w:val="00856648"/>
    <w:rsid w:val="00856A67"/>
    <w:rsid w:val="00856B26"/>
    <w:rsid w:val="00856B71"/>
    <w:rsid w:val="00856C36"/>
    <w:rsid w:val="00856C93"/>
    <w:rsid w:val="008573F9"/>
    <w:rsid w:val="00857D59"/>
    <w:rsid w:val="008600E1"/>
    <w:rsid w:val="00861572"/>
    <w:rsid w:val="00861731"/>
    <w:rsid w:val="0086190F"/>
    <w:rsid w:val="00861EB1"/>
    <w:rsid w:val="0086219D"/>
    <w:rsid w:val="00862402"/>
    <w:rsid w:val="00862862"/>
    <w:rsid w:val="00862BAF"/>
    <w:rsid w:val="00862D12"/>
    <w:rsid w:val="00863B4F"/>
    <w:rsid w:val="00864147"/>
    <w:rsid w:val="008642D0"/>
    <w:rsid w:val="0086437F"/>
    <w:rsid w:val="00864795"/>
    <w:rsid w:val="0086575B"/>
    <w:rsid w:val="0086613E"/>
    <w:rsid w:val="0086740C"/>
    <w:rsid w:val="008674E7"/>
    <w:rsid w:val="008674FE"/>
    <w:rsid w:val="008676E6"/>
    <w:rsid w:val="00867ECB"/>
    <w:rsid w:val="00867FC5"/>
    <w:rsid w:val="008714DB"/>
    <w:rsid w:val="00871578"/>
    <w:rsid w:val="00871B57"/>
    <w:rsid w:val="00871BB6"/>
    <w:rsid w:val="00871E21"/>
    <w:rsid w:val="0087223D"/>
    <w:rsid w:val="0087267C"/>
    <w:rsid w:val="008736E6"/>
    <w:rsid w:val="00874200"/>
    <w:rsid w:val="008747C9"/>
    <w:rsid w:val="00874EB6"/>
    <w:rsid w:val="00875402"/>
    <w:rsid w:val="00875449"/>
    <w:rsid w:val="00875858"/>
    <w:rsid w:val="00876359"/>
    <w:rsid w:val="00876705"/>
    <w:rsid w:val="00876A88"/>
    <w:rsid w:val="00877544"/>
    <w:rsid w:val="00877E88"/>
    <w:rsid w:val="00877F41"/>
    <w:rsid w:val="0088002F"/>
    <w:rsid w:val="008802A2"/>
    <w:rsid w:val="008806EF"/>
    <w:rsid w:val="00880A80"/>
    <w:rsid w:val="00881072"/>
    <w:rsid w:val="008816A3"/>
    <w:rsid w:val="008829F7"/>
    <w:rsid w:val="00882E18"/>
    <w:rsid w:val="00884A24"/>
    <w:rsid w:val="00884B09"/>
    <w:rsid w:val="00884F1E"/>
    <w:rsid w:val="00885246"/>
    <w:rsid w:val="00885345"/>
    <w:rsid w:val="00885469"/>
    <w:rsid w:val="008862D8"/>
    <w:rsid w:val="008865D6"/>
    <w:rsid w:val="008866AA"/>
    <w:rsid w:val="008866DF"/>
    <w:rsid w:val="00886AEF"/>
    <w:rsid w:val="00886BD1"/>
    <w:rsid w:val="00887178"/>
    <w:rsid w:val="00887446"/>
    <w:rsid w:val="0088747B"/>
    <w:rsid w:val="00887648"/>
    <w:rsid w:val="008879D3"/>
    <w:rsid w:val="00890168"/>
    <w:rsid w:val="008902CA"/>
    <w:rsid w:val="00890A6C"/>
    <w:rsid w:val="00890D9C"/>
    <w:rsid w:val="008914DD"/>
    <w:rsid w:val="00891AC5"/>
    <w:rsid w:val="00891C86"/>
    <w:rsid w:val="00892310"/>
    <w:rsid w:val="00892F80"/>
    <w:rsid w:val="00893560"/>
    <w:rsid w:val="008938C0"/>
    <w:rsid w:val="00893A03"/>
    <w:rsid w:val="00894610"/>
    <w:rsid w:val="00894787"/>
    <w:rsid w:val="00894E27"/>
    <w:rsid w:val="0089529F"/>
    <w:rsid w:val="00895566"/>
    <w:rsid w:val="00895572"/>
    <w:rsid w:val="00895AFB"/>
    <w:rsid w:val="00895BAB"/>
    <w:rsid w:val="00895CB8"/>
    <w:rsid w:val="00895E96"/>
    <w:rsid w:val="008961F6"/>
    <w:rsid w:val="00896315"/>
    <w:rsid w:val="0089661E"/>
    <w:rsid w:val="00896C38"/>
    <w:rsid w:val="00897D19"/>
    <w:rsid w:val="00897F55"/>
    <w:rsid w:val="008A0340"/>
    <w:rsid w:val="008A0544"/>
    <w:rsid w:val="008A056C"/>
    <w:rsid w:val="008A099F"/>
    <w:rsid w:val="008A0C03"/>
    <w:rsid w:val="008A0D84"/>
    <w:rsid w:val="008A12D8"/>
    <w:rsid w:val="008A14DB"/>
    <w:rsid w:val="008A16A0"/>
    <w:rsid w:val="008A1870"/>
    <w:rsid w:val="008A1A62"/>
    <w:rsid w:val="008A1D01"/>
    <w:rsid w:val="008A1DEE"/>
    <w:rsid w:val="008A1FFE"/>
    <w:rsid w:val="008A21D4"/>
    <w:rsid w:val="008A2348"/>
    <w:rsid w:val="008A2836"/>
    <w:rsid w:val="008A2C51"/>
    <w:rsid w:val="008A342D"/>
    <w:rsid w:val="008A35F8"/>
    <w:rsid w:val="008A374A"/>
    <w:rsid w:val="008A388C"/>
    <w:rsid w:val="008A3F6F"/>
    <w:rsid w:val="008A45D1"/>
    <w:rsid w:val="008A4609"/>
    <w:rsid w:val="008A4780"/>
    <w:rsid w:val="008A4896"/>
    <w:rsid w:val="008A4C8C"/>
    <w:rsid w:val="008A5963"/>
    <w:rsid w:val="008A5ABF"/>
    <w:rsid w:val="008A5FD4"/>
    <w:rsid w:val="008A60E7"/>
    <w:rsid w:val="008A6D23"/>
    <w:rsid w:val="008A6E78"/>
    <w:rsid w:val="008A71D4"/>
    <w:rsid w:val="008A774D"/>
    <w:rsid w:val="008A78F7"/>
    <w:rsid w:val="008B0887"/>
    <w:rsid w:val="008B09E2"/>
    <w:rsid w:val="008B1542"/>
    <w:rsid w:val="008B17A0"/>
    <w:rsid w:val="008B22B0"/>
    <w:rsid w:val="008B26C0"/>
    <w:rsid w:val="008B2C01"/>
    <w:rsid w:val="008B2E28"/>
    <w:rsid w:val="008B31F7"/>
    <w:rsid w:val="008B33C0"/>
    <w:rsid w:val="008B3522"/>
    <w:rsid w:val="008B3869"/>
    <w:rsid w:val="008B3966"/>
    <w:rsid w:val="008B3D4A"/>
    <w:rsid w:val="008B411B"/>
    <w:rsid w:val="008B4256"/>
    <w:rsid w:val="008B468D"/>
    <w:rsid w:val="008B4F41"/>
    <w:rsid w:val="008B5F0A"/>
    <w:rsid w:val="008B633C"/>
    <w:rsid w:val="008B694B"/>
    <w:rsid w:val="008B6972"/>
    <w:rsid w:val="008B7F19"/>
    <w:rsid w:val="008C05F1"/>
    <w:rsid w:val="008C07C7"/>
    <w:rsid w:val="008C097F"/>
    <w:rsid w:val="008C09EB"/>
    <w:rsid w:val="008C0B8B"/>
    <w:rsid w:val="008C0E17"/>
    <w:rsid w:val="008C1006"/>
    <w:rsid w:val="008C1179"/>
    <w:rsid w:val="008C11B5"/>
    <w:rsid w:val="008C2AB9"/>
    <w:rsid w:val="008C329B"/>
    <w:rsid w:val="008C3DBB"/>
    <w:rsid w:val="008C4092"/>
    <w:rsid w:val="008C4722"/>
    <w:rsid w:val="008C5036"/>
    <w:rsid w:val="008C520D"/>
    <w:rsid w:val="008C5D99"/>
    <w:rsid w:val="008C61AE"/>
    <w:rsid w:val="008C6560"/>
    <w:rsid w:val="008C6F75"/>
    <w:rsid w:val="008C7200"/>
    <w:rsid w:val="008C7627"/>
    <w:rsid w:val="008C76BC"/>
    <w:rsid w:val="008D043E"/>
    <w:rsid w:val="008D0443"/>
    <w:rsid w:val="008D0D42"/>
    <w:rsid w:val="008D111E"/>
    <w:rsid w:val="008D12BF"/>
    <w:rsid w:val="008D1B62"/>
    <w:rsid w:val="008D1B9E"/>
    <w:rsid w:val="008D1F9A"/>
    <w:rsid w:val="008D2082"/>
    <w:rsid w:val="008D2388"/>
    <w:rsid w:val="008D24C9"/>
    <w:rsid w:val="008D26B5"/>
    <w:rsid w:val="008D359A"/>
    <w:rsid w:val="008D40F9"/>
    <w:rsid w:val="008D4146"/>
    <w:rsid w:val="008D42F6"/>
    <w:rsid w:val="008D5013"/>
    <w:rsid w:val="008D59E9"/>
    <w:rsid w:val="008D66CC"/>
    <w:rsid w:val="008D6AFB"/>
    <w:rsid w:val="008D70B6"/>
    <w:rsid w:val="008D7367"/>
    <w:rsid w:val="008D73F0"/>
    <w:rsid w:val="008D750B"/>
    <w:rsid w:val="008D7D2D"/>
    <w:rsid w:val="008D7F66"/>
    <w:rsid w:val="008E006F"/>
    <w:rsid w:val="008E0B35"/>
    <w:rsid w:val="008E0F0B"/>
    <w:rsid w:val="008E1159"/>
    <w:rsid w:val="008E1580"/>
    <w:rsid w:val="008E1A9C"/>
    <w:rsid w:val="008E20F1"/>
    <w:rsid w:val="008E260D"/>
    <w:rsid w:val="008E272A"/>
    <w:rsid w:val="008E2F17"/>
    <w:rsid w:val="008E3175"/>
    <w:rsid w:val="008E32CE"/>
    <w:rsid w:val="008E3CC4"/>
    <w:rsid w:val="008E3DDC"/>
    <w:rsid w:val="008E417F"/>
    <w:rsid w:val="008E4F24"/>
    <w:rsid w:val="008E5512"/>
    <w:rsid w:val="008E566F"/>
    <w:rsid w:val="008E57FE"/>
    <w:rsid w:val="008E59C0"/>
    <w:rsid w:val="008E5F4E"/>
    <w:rsid w:val="008E6511"/>
    <w:rsid w:val="008E68A8"/>
    <w:rsid w:val="008E6EF3"/>
    <w:rsid w:val="008E75D6"/>
    <w:rsid w:val="008E76F8"/>
    <w:rsid w:val="008F0475"/>
    <w:rsid w:val="008F058D"/>
    <w:rsid w:val="008F080D"/>
    <w:rsid w:val="008F08C3"/>
    <w:rsid w:val="008F1056"/>
    <w:rsid w:val="008F1589"/>
    <w:rsid w:val="008F1873"/>
    <w:rsid w:val="008F18E5"/>
    <w:rsid w:val="008F1E86"/>
    <w:rsid w:val="008F2E02"/>
    <w:rsid w:val="008F3327"/>
    <w:rsid w:val="008F3549"/>
    <w:rsid w:val="008F49E7"/>
    <w:rsid w:val="008F49F7"/>
    <w:rsid w:val="008F4A43"/>
    <w:rsid w:val="008F4BA0"/>
    <w:rsid w:val="008F4D58"/>
    <w:rsid w:val="008F509D"/>
    <w:rsid w:val="008F5110"/>
    <w:rsid w:val="008F51BE"/>
    <w:rsid w:val="008F51FC"/>
    <w:rsid w:val="008F5B13"/>
    <w:rsid w:val="008F5BFB"/>
    <w:rsid w:val="008F6006"/>
    <w:rsid w:val="008F62CE"/>
    <w:rsid w:val="008F71B1"/>
    <w:rsid w:val="008F71BC"/>
    <w:rsid w:val="008F7246"/>
    <w:rsid w:val="008F7A70"/>
    <w:rsid w:val="008F7DE6"/>
    <w:rsid w:val="00900FAB"/>
    <w:rsid w:val="009015B2"/>
    <w:rsid w:val="00901881"/>
    <w:rsid w:val="0090194E"/>
    <w:rsid w:val="00901D1D"/>
    <w:rsid w:val="00901EF9"/>
    <w:rsid w:val="009022AF"/>
    <w:rsid w:val="009022F5"/>
    <w:rsid w:val="00902914"/>
    <w:rsid w:val="00902EB6"/>
    <w:rsid w:val="009033E0"/>
    <w:rsid w:val="00903496"/>
    <w:rsid w:val="009037F5"/>
    <w:rsid w:val="009040D4"/>
    <w:rsid w:val="009044C4"/>
    <w:rsid w:val="00904723"/>
    <w:rsid w:val="00905ACD"/>
    <w:rsid w:val="00905FB1"/>
    <w:rsid w:val="00906209"/>
    <w:rsid w:val="0090659B"/>
    <w:rsid w:val="0090660F"/>
    <w:rsid w:val="00906793"/>
    <w:rsid w:val="009068CE"/>
    <w:rsid w:val="00906D38"/>
    <w:rsid w:val="00906E90"/>
    <w:rsid w:val="00906F53"/>
    <w:rsid w:val="0090752F"/>
    <w:rsid w:val="00907652"/>
    <w:rsid w:val="00907A2C"/>
    <w:rsid w:val="00907C3D"/>
    <w:rsid w:val="00907E50"/>
    <w:rsid w:val="0091051D"/>
    <w:rsid w:val="00910533"/>
    <w:rsid w:val="009108BF"/>
    <w:rsid w:val="00910C50"/>
    <w:rsid w:val="0091115E"/>
    <w:rsid w:val="00911371"/>
    <w:rsid w:val="009117BF"/>
    <w:rsid w:val="009120C5"/>
    <w:rsid w:val="00912796"/>
    <w:rsid w:val="0091293D"/>
    <w:rsid w:val="00912CB8"/>
    <w:rsid w:val="00912D42"/>
    <w:rsid w:val="009133CE"/>
    <w:rsid w:val="0091353C"/>
    <w:rsid w:val="00913863"/>
    <w:rsid w:val="00913B73"/>
    <w:rsid w:val="00913C62"/>
    <w:rsid w:val="009143C1"/>
    <w:rsid w:val="009147BA"/>
    <w:rsid w:val="00914E96"/>
    <w:rsid w:val="00914ED5"/>
    <w:rsid w:val="009155E5"/>
    <w:rsid w:val="0091566D"/>
    <w:rsid w:val="009160AC"/>
    <w:rsid w:val="00916484"/>
    <w:rsid w:val="00916B7D"/>
    <w:rsid w:val="00916DC6"/>
    <w:rsid w:val="00916F2F"/>
    <w:rsid w:val="00917575"/>
    <w:rsid w:val="009176BF"/>
    <w:rsid w:val="00917ABD"/>
    <w:rsid w:val="00920136"/>
    <w:rsid w:val="00920652"/>
    <w:rsid w:val="00920813"/>
    <w:rsid w:val="009208A1"/>
    <w:rsid w:val="009209E3"/>
    <w:rsid w:val="00921847"/>
    <w:rsid w:val="00921B1F"/>
    <w:rsid w:val="00921EDE"/>
    <w:rsid w:val="0092228B"/>
    <w:rsid w:val="0092279A"/>
    <w:rsid w:val="00922D87"/>
    <w:rsid w:val="00923216"/>
    <w:rsid w:val="009234D0"/>
    <w:rsid w:val="00923A33"/>
    <w:rsid w:val="00923CEA"/>
    <w:rsid w:val="00923DB7"/>
    <w:rsid w:val="009252F5"/>
    <w:rsid w:val="009261BF"/>
    <w:rsid w:val="009266A4"/>
    <w:rsid w:val="00926AD5"/>
    <w:rsid w:val="00926EC9"/>
    <w:rsid w:val="009272C6"/>
    <w:rsid w:val="009279B7"/>
    <w:rsid w:val="0093051C"/>
    <w:rsid w:val="00930866"/>
    <w:rsid w:val="0093107E"/>
    <w:rsid w:val="009312D7"/>
    <w:rsid w:val="009313EE"/>
    <w:rsid w:val="00931A9D"/>
    <w:rsid w:val="00931E55"/>
    <w:rsid w:val="009328F8"/>
    <w:rsid w:val="00932F82"/>
    <w:rsid w:val="009336A3"/>
    <w:rsid w:val="00933910"/>
    <w:rsid w:val="00933A3E"/>
    <w:rsid w:val="00934D39"/>
    <w:rsid w:val="00934DEB"/>
    <w:rsid w:val="00935456"/>
    <w:rsid w:val="0093548A"/>
    <w:rsid w:val="00935F94"/>
    <w:rsid w:val="00936381"/>
    <w:rsid w:val="00936B1D"/>
    <w:rsid w:val="00936D22"/>
    <w:rsid w:val="00936DD1"/>
    <w:rsid w:val="00936F5C"/>
    <w:rsid w:val="00936F84"/>
    <w:rsid w:val="0093709F"/>
    <w:rsid w:val="009376D4"/>
    <w:rsid w:val="009376D7"/>
    <w:rsid w:val="00937A6E"/>
    <w:rsid w:val="00937E5D"/>
    <w:rsid w:val="00940851"/>
    <w:rsid w:val="00941194"/>
    <w:rsid w:val="0094125B"/>
    <w:rsid w:val="00941352"/>
    <w:rsid w:val="0094160F"/>
    <w:rsid w:val="0094229E"/>
    <w:rsid w:val="009422BC"/>
    <w:rsid w:val="0094287F"/>
    <w:rsid w:val="00942B51"/>
    <w:rsid w:val="009430E5"/>
    <w:rsid w:val="0094315F"/>
    <w:rsid w:val="009431A3"/>
    <w:rsid w:val="009432CB"/>
    <w:rsid w:val="0094359E"/>
    <w:rsid w:val="009436D4"/>
    <w:rsid w:val="00943AFE"/>
    <w:rsid w:val="00943B48"/>
    <w:rsid w:val="00943BD8"/>
    <w:rsid w:val="00943DE3"/>
    <w:rsid w:val="00943F2E"/>
    <w:rsid w:val="00944192"/>
    <w:rsid w:val="00945A87"/>
    <w:rsid w:val="009462A7"/>
    <w:rsid w:val="0094678B"/>
    <w:rsid w:val="00946AB7"/>
    <w:rsid w:val="00946B07"/>
    <w:rsid w:val="00947A1F"/>
    <w:rsid w:val="00950145"/>
    <w:rsid w:val="009505BB"/>
    <w:rsid w:val="0095083F"/>
    <w:rsid w:val="00950DB9"/>
    <w:rsid w:val="00950E72"/>
    <w:rsid w:val="00950F0C"/>
    <w:rsid w:val="009510AD"/>
    <w:rsid w:val="009513BE"/>
    <w:rsid w:val="00951973"/>
    <w:rsid w:val="00951CEE"/>
    <w:rsid w:val="00951CF7"/>
    <w:rsid w:val="00951DAD"/>
    <w:rsid w:val="00951DBF"/>
    <w:rsid w:val="00951E28"/>
    <w:rsid w:val="00951EFA"/>
    <w:rsid w:val="00951F9F"/>
    <w:rsid w:val="00952259"/>
    <w:rsid w:val="0095242E"/>
    <w:rsid w:val="009538A9"/>
    <w:rsid w:val="00953A7B"/>
    <w:rsid w:val="00953B97"/>
    <w:rsid w:val="00954408"/>
    <w:rsid w:val="00954D0E"/>
    <w:rsid w:val="00954FE1"/>
    <w:rsid w:val="0095542B"/>
    <w:rsid w:val="009556AE"/>
    <w:rsid w:val="00955DD9"/>
    <w:rsid w:val="009565BD"/>
    <w:rsid w:val="00956939"/>
    <w:rsid w:val="00956AAC"/>
    <w:rsid w:val="00956AB0"/>
    <w:rsid w:val="00956BC0"/>
    <w:rsid w:val="009578F0"/>
    <w:rsid w:val="00961878"/>
    <w:rsid w:val="00961B62"/>
    <w:rsid w:val="00961EF6"/>
    <w:rsid w:val="009620E7"/>
    <w:rsid w:val="00962780"/>
    <w:rsid w:val="00962B87"/>
    <w:rsid w:val="00962E13"/>
    <w:rsid w:val="00962FF1"/>
    <w:rsid w:val="009630CE"/>
    <w:rsid w:val="00963209"/>
    <w:rsid w:val="009641AD"/>
    <w:rsid w:val="009642EC"/>
    <w:rsid w:val="009647A2"/>
    <w:rsid w:val="00964E73"/>
    <w:rsid w:val="00965248"/>
    <w:rsid w:val="00965427"/>
    <w:rsid w:val="00965842"/>
    <w:rsid w:val="00966017"/>
    <w:rsid w:val="0096618B"/>
    <w:rsid w:val="0096627E"/>
    <w:rsid w:val="0096653F"/>
    <w:rsid w:val="009679D9"/>
    <w:rsid w:val="009703F8"/>
    <w:rsid w:val="0097067B"/>
    <w:rsid w:val="0097105D"/>
    <w:rsid w:val="009712AE"/>
    <w:rsid w:val="009715BE"/>
    <w:rsid w:val="0097174E"/>
    <w:rsid w:val="00971BE0"/>
    <w:rsid w:val="00971EFA"/>
    <w:rsid w:val="0097249D"/>
    <w:rsid w:val="0097253D"/>
    <w:rsid w:val="009725A2"/>
    <w:rsid w:val="00972CE5"/>
    <w:rsid w:val="00973313"/>
    <w:rsid w:val="00973381"/>
    <w:rsid w:val="00973E62"/>
    <w:rsid w:val="00974130"/>
    <w:rsid w:val="00974399"/>
    <w:rsid w:val="009744B4"/>
    <w:rsid w:val="00974915"/>
    <w:rsid w:val="009752C7"/>
    <w:rsid w:val="009759F2"/>
    <w:rsid w:val="00975EBD"/>
    <w:rsid w:val="00976190"/>
    <w:rsid w:val="00976469"/>
    <w:rsid w:val="00976532"/>
    <w:rsid w:val="0097654B"/>
    <w:rsid w:val="00976809"/>
    <w:rsid w:val="00976A43"/>
    <w:rsid w:val="00976B93"/>
    <w:rsid w:val="009770B8"/>
    <w:rsid w:val="00977265"/>
    <w:rsid w:val="00977266"/>
    <w:rsid w:val="00977BEC"/>
    <w:rsid w:val="00977C6D"/>
    <w:rsid w:val="00977F17"/>
    <w:rsid w:val="00980499"/>
    <w:rsid w:val="00980BF6"/>
    <w:rsid w:val="00981469"/>
    <w:rsid w:val="00981AF3"/>
    <w:rsid w:val="00981F98"/>
    <w:rsid w:val="00982497"/>
    <w:rsid w:val="00982885"/>
    <w:rsid w:val="00982C61"/>
    <w:rsid w:val="00982CD1"/>
    <w:rsid w:val="0098342A"/>
    <w:rsid w:val="009835F4"/>
    <w:rsid w:val="00983AE1"/>
    <w:rsid w:val="00983E85"/>
    <w:rsid w:val="00983FA4"/>
    <w:rsid w:val="00984082"/>
    <w:rsid w:val="00984DC5"/>
    <w:rsid w:val="009854B6"/>
    <w:rsid w:val="009854DC"/>
    <w:rsid w:val="00985829"/>
    <w:rsid w:val="00985ACC"/>
    <w:rsid w:val="00985D36"/>
    <w:rsid w:val="00985DBA"/>
    <w:rsid w:val="009865D6"/>
    <w:rsid w:val="00986975"/>
    <w:rsid w:val="0098757B"/>
    <w:rsid w:val="00987708"/>
    <w:rsid w:val="00987CA0"/>
    <w:rsid w:val="00990506"/>
    <w:rsid w:val="00990883"/>
    <w:rsid w:val="00990F79"/>
    <w:rsid w:val="009910DC"/>
    <w:rsid w:val="00991584"/>
    <w:rsid w:val="0099172C"/>
    <w:rsid w:val="00991B19"/>
    <w:rsid w:val="00991F23"/>
    <w:rsid w:val="00992605"/>
    <w:rsid w:val="00992CD6"/>
    <w:rsid w:val="0099339C"/>
    <w:rsid w:val="00993599"/>
    <w:rsid w:val="00994CCA"/>
    <w:rsid w:val="009952A7"/>
    <w:rsid w:val="00996FFF"/>
    <w:rsid w:val="009974A8"/>
    <w:rsid w:val="009975C9"/>
    <w:rsid w:val="009A0A09"/>
    <w:rsid w:val="009A0A9F"/>
    <w:rsid w:val="009A1489"/>
    <w:rsid w:val="009A245B"/>
    <w:rsid w:val="009A24A2"/>
    <w:rsid w:val="009A2516"/>
    <w:rsid w:val="009A2845"/>
    <w:rsid w:val="009A2B4B"/>
    <w:rsid w:val="009A2FAA"/>
    <w:rsid w:val="009A3127"/>
    <w:rsid w:val="009A349F"/>
    <w:rsid w:val="009A3852"/>
    <w:rsid w:val="009A3D49"/>
    <w:rsid w:val="009A3E52"/>
    <w:rsid w:val="009A4788"/>
    <w:rsid w:val="009A4A6E"/>
    <w:rsid w:val="009A58E6"/>
    <w:rsid w:val="009A5FDB"/>
    <w:rsid w:val="009A6B3F"/>
    <w:rsid w:val="009A78AB"/>
    <w:rsid w:val="009A79C5"/>
    <w:rsid w:val="009B03D5"/>
    <w:rsid w:val="009B0650"/>
    <w:rsid w:val="009B0A9C"/>
    <w:rsid w:val="009B10AE"/>
    <w:rsid w:val="009B1240"/>
    <w:rsid w:val="009B1690"/>
    <w:rsid w:val="009B18D7"/>
    <w:rsid w:val="009B1C40"/>
    <w:rsid w:val="009B1FD6"/>
    <w:rsid w:val="009B21D9"/>
    <w:rsid w:val="009B23EE"/>
    <w:rsid w:val="009B257E"/>
    <w:rsid w:val="009B3610"/>
    <w:rsid w:val="009B37D3"/>
    <w:rsid w:val="009B4C61"/>
    <w:rsid w:val="009B4CB0"/>
    <w:rsid w:val="009B4CE0"/>
    <w:rsid w:val="009B5208"/>
    <w:rsid w:val="009B54CF"/>
    <w:rsid w:val="009B5A8C"/>
    <w:rsid w:val="009B5C74"/>
    <w:rsid w:val="009B614C"/>
    <w:rsid w:val="009B634C"/>
    <w:rsid w:val="009B661E"/>
    <w:rsid w:val="009B68A4"/>
    <w:rsid w:val="009B75F0"/>
    <w:rsid w:val="009B7AD5"/>
    <w:rsid w:val="009B7D1B"/>
    <w:rsid w:val="009C01B9"/>
    <w:rsid w:val="009C0342"/>
    <w:rsid w:val="009C0408"/>
    <w:rsid w:val="009C0EAC"/>
    <w:rsid w:val="009C12CC"/>
    <w:rsid w:val="009C161A"/>
    <w:rsid w:val="009C1DAD"/>
    <w:rsid w:val="009C1E60"/>
    <w:rsid w:val="009C3C12"/>
    <w:rsid w:val="009C4088"/>
    <w:rsid w:val="009C47BA"/>
    <w:rsid w:val="009C4B23"/>
    <w:rsid w:val="009C5D49"/>
    <w:rsid w:val="009C6BE2"/>
    <w:rsid w:val="009C718C"/>
    <w:rsid w:val="009C7342"/>
    <w:rsid w:val="009C7345"/>
    <w:rsid w:val="009C7B24"/>
    <w:rsid w:val="009C7BBD"/>
    <w:rsid w:val="009C7FE0"/>
    <w:rsid w:val="009D05CC"/>
    <w:rsid w:val="009D07DD"/>
    <w:rsid w:val="009D09AE"/>
    <w:rsid w:val="009D0EE8"/>
    <w:rsid w:val="009D10F3"/>
    <w:rsid w:val="009D11AB"/>
    <w:rsid w:val="009D1B21"/>
    <w:rsid w:val="009D2A1F"/>
    <w:rsid w:val="009D2BAC"/>
    <w:rsid w:val="009D33BC"/>
    <w:rsid w:val="009D41AC"/>
    <w:rsid w:val="009D4244"/>
    <w:rsid w:val="009D532C"/>
    <w:rsid w:val="009D55EE"/>
    <w:rsid w:val="009D58A8"/>
    <w:rsid w:val="009D5970"/>
    <w:rsid w:val="009D59AE"/>
    <w:rsid w:val="009D5C32"/>
    <w:rsid w:val="009D7082"/>
    <w:rsid w:val="009D73F5"/>
    <w:rsid w:val="009D740A"/>
    <w:rsid w:val="009D7D93"/>
    <w:rsid w:val="009E040E"/>
    <w:rsid w:val="009E1385"/>
    <w:rsid w:val="009E15BF"/>
    <w:rsid w:val="009E15ED"/>
    <w:rsid w:val="009E1607"/>
    <w:rsid w:val="009E1A3F"/>
    <w:rsid w:val="009E21B7"/>
    <w:rsid w:val="009E22AA"/>
    <w:rsid w:val="009E27D1"/>
    <w:rsid w:val="009E2CF2"/>
    <w:rsid w:val="009E2EA7"/>
    <w:rsid w:val="009E312B"/>
    <w:rsid w:val="009E3966"/>
    <w:rsid w:val="009E41D0"/>
    <w:rsid w:val="009E4844"/>
    <w:rsid w:val="009E4CC2"/>
    <w:rsid w:val="009E5156"/>
    <w:rsid w:val="009E564F"/>
    <w:rsid w:val="009E58C8"/>
    <w:rsid w:val="009E5E7A"/>
    <w:rsid w:val="009E6184"/>
    <w:rsid w:val="009E6333"/>
    <w:rsid w:val="009E655C"/>
    <w:rsid w:val="009E6A1D"/>
    <w:rsid w:val="009E6F2E"/>
    <w:rsid w:val="009E7475"/>
    <w:rsid w:val="009E74E4"/>
    <w:rsid w:val="009E752B"/>
    <w:rsid w:val="009F08EA"/>
    <w:rsid w:val="009F0A3A"/>
    <w:rsid w:val="009F0BD3"/>
    <w:rsid w:val="009F1A72"/>
    <w:rsid w:val="009F1A79"/>
    <w:rsid w:val="009F1F49"/>
    <w:rsid w:val="009F254C"/>
    <w:rsid w:val="009F2666"/>
    <w:rsid w:val="009F2CB1"/>
    <w:rsid w:val="009F3218"/>
    <w:rsid w:val="009F354F"/>
    <w:rsid w:val="009F394C"/>
    <w:rsid w:val="009F3A44"/>
    <w:rsid w:val="009F4388"/>
    <w:rsid w:val="009F4F93"/>
    <w:rsid w:val="009F556C"/>
    <w:rsid w:val="009F63EE"/>
    <w:rsid w:val="009F711E"/>
    <w:rsid w:val="009F7F2B"/>
    <w:rsid w:val="00A0001D"/>
    <w:rsid w:val="00A01037"/>
    <w:rsid w:val="00A0119C"/>
    <w:rsid w:val="00A01561"/>
    <w:rsid w:val="00A017D4"/>
    <w:rsid w:val="00A01C9C"/>
    <w:rsid w:val="00A01E3D"/>
    <w:rsid w:val="00A01F05"/>
    <w:rsid w:val="00A0287D"/>
    <w:rsid w:val="00A03332"/>
    <w:rsid w:val="00A0369C"/>
    <w:rsid w:val="00A03771"/>
    <w:rsid w:val="00A03878"/>
    <w:rsid w:val="00A04024"/>
    <w:rsid w:val="00A04595"/>
    <w:rsid w:val="00A052E4"/>
    <w:rsid w:val="00A0541B"/>
    <w:rsid w:val="00A05DBE"/>
    <w:rsid w:val="00A06208"/>
    <w:rsid w:val="00A0628B"/>
    <w:rsid w:val="00A068D9"/>
    <w:rsid w:val="00A06EB9"/>
    <w:rsid w:val="00A1016F"/>
    <w:rsid w:val="00A105AE"/>
    <w:rsid w:val="00A10848"/>
    <w:rsid w:val="00A10996"/>
    <w:rsid w:val="00A10B74"/>
    <w:rsid w:val="00A10C18"/>
    <w:rsid w:val="00A10EC9"/>
    <w:rsid w:val="00A112D6"/>
    <w:rsid w:val="00A11E8D"/>
    <w:rsid w:val="00A11F7F"/>
    <w:rsid w:val="00A1206E"/>
    <w:rsid w:val="00A12648"/>
    <w:rsid w:val="00A12C22"/>
    <w:rsid w:val="00A13130"/>
    <w:rsid w:val="00A136A9"/>
    <w:rsid w:val="00A13855"/>
    <w:rsid w:val="00A140A3"/>
    <w:rsid w:val="00A15500"/>
    <w:rsid w:val="00A155A6"/>
    <w:rsid w:val="00A15B34"/>
    <w:rsid w:val="00A16421"/>
    <w:rsid w:val="00A1647B"/>
    <w:rsid w:val="00A16551"/>
    <w:rsid w:val="00A167E3"/>
    <w:rsid w:val="00A168D9"/>
    <w:rsid w:val="00A177A3"/>
    <w:rsid w:val="00A17907"/>
    <w:rsid w:val="00A2072F"/>
    <w:rsid w:val="00A20EFE"/>
    <w:rsid w:val="00A21556"/>
    <w:rsid w:val="00A21903"/>
    <w:rsid w:val="00A2277E"/>
    <w:rsid w:val="00A22AF7"/>
    <w:rsid w:val="00A23211"/>
    <w:rsid w:val="00A23A7D"/>
    <w:rsid w:val="00A2405B"/>
    <w:rsid w:val="00A241BB"/>
    <w:rsid w:val="00A25467"/>
    <w:rsid w:val="00A2551C"/>
    <w:rsid w:val="00A25A79"/>
    <w:rsid w:val="00A25C16"/>
    <w:rsid w:val="00A2617B"/>
    <w:rsid w:val="00A264EE"/>
    <w:rsid w:val="00A27672"/>
    <w:rsid w:val="00A27DBB"/>
    <w:rsid w:val="00A27EBC"/>
    <w:rsid w:val="00A27EF7"/>
    <w:rsid w:val="00A30028"/>
    <w:rsid w:val="00A301EF"/>
    <w:rsid w:val="00A3040F"/>
    <w:rsid w:val="00A3059C"/>
    <w:rsid w:val="00A308C7"/>
    <w:rsid w:val="00A3123A"/>
    <w:rsid w:val="00A3168A"/>
    <w:rsid w:val="00A31CD2"/>
    <w:rsid w:val="00A32EFA"/>
    <w:rsid w:val="00A335F7"/>
    <w:rsid w:val="00A33696"/>
    <w:rsid w:val="00A339B5"/>
    <w:rsid w:val="00A339FB"/>
    <w:rsid w:val="00A348FE"/>
    <w:rsid w:val="00A34B01"/>
    <w:rsid w:val="00A3521C"/>
    <w:rsid w:val="00A35356"/>
    <w:rsid w:val="00A35D28"/>
    <w:rsid w:val="00A35E53"/>
    <w:rsid w:val="00A36254"/>
    <w:rsid w:val="00A36325"/>
    <w:rsid w:val="00A3635F"/>
    <w:rsid w:val="00A368B5"/>
    <w:rsid w:val="00A36905"/>
    <w:rsid w:val="00A36916"/>
    <w:rsid w:val="00A36941"/>
    <w:rsid w:val="00A36A79"/>
    <w:rsid w:val="00A36BA5"/>
    <w:rsid w:val="00A3747B"/>
    <w:rsid w:val="00A37995"/>
    <w:rsid w:val="00A408EB"/>
    <w:rsid w:val="00A4109A"/>
    <w:rsid w:val="00A4123C"/>
    <w:rsid w:val="00A41312"/>
    <w:rsid w:val="00A4133B"/>
    <w:rsid w:val="00A4189A"/>
    <w:rsid w:val="00A41A4E"/>
    <w:rsid w:val="00A42565"/>
    <w:rsid w:val="00A42621"/>
    <w:rsid w:val="00A436D2"/>
    <w:rsid w:val="00A43752"/>
    <w:rsid w:val="00A4391C"/>
    <w:rsid w:val="00A443B8"/>
    <w:rsid w:val="00A4469D"/>
    <w:rsid w:val="00A452B2"/>
    <w:rsid w:val="00A454E3"/>
    <w:rsid w:val="00A463F3"/>
    <w:rsid w:val="00A47100"/>
    <w:rsid w:val="00A472D1"/>
    <w:rsid w:val="00A47335"/>
    <w:rsid w:val="00A47902"/>
    <w:rsid w:val="00A47B8B"/>
    <w:rsid w:val="00A50258"/>
    <w:rsid w:val="00A5085F"/>
    <w:rsid w:val="00A51149"/>
    <w:rsid w:val="00A52796"/>
    <w:rsid w:val="00A53AB4"/>
    <w:rsid w:val="00A53DBB"/>
    <w:rsid w:val="00A53FB6"/>
    <w:rsid w:val="00A5498C"/>
    <w:rsid w:val="00A549E2"/>
    <w:rsid w:val="00A54FE4"/>
    <w:rsid w:val="00A5541A"/>
    <w:rsid w:val="00A559A5"/>
    <w:rsid w:val="00A55EDB"/>
    <w:rsid w:val="00A56092"/>
    <w:rsid w:val="00A567CB"/>
    <w:rsid w:val="00A5714E"/>
    <w:rsid w:val="00A57263"/>
    <w:rsid w:val="00A57B23"/>
    <w:rsid w:val="00A57DEC"/>
    <w:rsid w:val="00A60C13"/>
    <w:rsid w:val="00A615A6"/>
    <w:rsid w:val="00A61AD5"/>
    <w:rsid w:val="00A61C95"/>
    <w:rsid w:val="00A62ADC"/>
    <w:rsid w:val="00A62DEF"/>
    <w:rsid w:val="00A637C6"/>
    <w:rsid w:val="00A63824"/>
    <w:rsid w:val="00A63A5F"/>
    <w:rsid w:val="00A63D9A"/>
    <w:rsid w:val="00A63FAB"/>
    <w:rsid w:val="00A6458B"/>
    <w:rsid w:val="00A64688"/>
    <w:rsid w:val="00A649B7"/>
    <w:rsid w:val="00A64C0E"/>
    <w:rsid w:val="00A65221"/>
    <w:rsid w:val="00A65327"/>
    <w:rsid w:val="00A6533E"/>
    <w:rsid w:val="00A653AC"/>
    <w:rsid w:val="00A65632"/>
    <w:rsid w:val="00A65BF7"/>
    <w:rsid w:val="00A65DCD"/>
    <w:rsid w:val="00A66506"/>
    <w:rsid w:val="00A66E2A"/>
    <w:rsid w:val="00A6769C"/>
    <w:rsid w:val="00A67E65"/>
    <w:rsid w:val="00A67E6C"/>
    <w:rsid w:val="00A67FE1"/>
    <w:rsid w:val="00A70081"/>
    <w:rsid w:val="00A703C1"/>
    <w:rsid w:val="00A70642"/>
    <w:rsid w:val="00A7067D"/>
    <w:rsid w:val="00A70761"/>
    <w:rsid w:val="00A712E0"/>
    <w:rsid w:val="00A7189A"/>
    <w:rsid w:val="00A71C9E"/>
    <w:rsid w:val="00A71DDE"/>
    <w:rsid w:val="00A7228B"/>
    <w:rsid w:val="00A72855"/>
    <w:rsid w:val="00A72A7B"/>
    <w:rsid w:val="00A72B75"/>
    <w:rsid w:val="00A73038"/>
    <w:rsid w:val="00A7328F"/>
    <w:rsid w:val="00A737C5"/>
    <w:rsid w:val="00A73F8D"/>
    <w:rsid w:val="00A74754"/>
    <w:rsid w:val="00A749FD"/>
    <w:rsid w:val="00A74B8A"/>
    <w:rsid w:val="00A74C77"/>
    <w:rsid w:val="00A74D94"/>
    <w:rsid w:val="00A74FBE"/>
    <w:rsid w:val="00A75387"/>
    <w:rsid w:val="00A758BE"/>
    <w:rsid w:val="00A75C2A"/>
    <w:rsid w:val="00A7668A"/>
    <w:rsid w:val="00A76713"/>
    <w:rsid w:val="00A76BC8"/>
    <w:rsid w:val="00A76C99"/>
    <w:rsid w:val="00A76F14"/>
    <w:rsid w:val="00A775D5"/>
    <w:rsid w:val="00A77611"/>
    <w:rsid w:val="00A800C8"/>
    <w:rsid w:val="00A801F8"/>
    <w:rsid w:val="00A80DC3"/>
    <w:rsid w:val="00A811CB"/>
    <w:rsid w:val="00A81D00"/>
    <w:rsid w:val="00A81D2F"/>
    <w:rsid w:val="00A81E59"/>
    <w:rsid w:val="00A81EBE"/>
    <w:rsid w:val="00A826F1"/>
    <w:rsid w:val="00A82712"/>
    <w:rsid w:val="00A82D02"/>
    <w:rsid w:val="00A82D8A"/>
    <w:rsid w:val="00A8304F"/>
    <w:rsid w:val="00A83369"/>
    <w:rsid w:val="00A83946"/>
    <w:rsid w:val="00A83A27"/>
    <w:rsid w:val="00A8428C"/>
    <w:rsid w:val="00A84364"/>
    <w:rsid w:val="00A84CD0"/>
    <w:rsid w:val="00A858E9"/>
    <w:rsid w:val="00A85E5B"/>
    <w:rsid w:val="00A85E73"/>
    <w:rsid w:val="00A85EC0"/>
    <w:rsid w:val="00A860D8"/>
    <w:rsid w:val="00A86ED1"/>
    <w:rsid w:val="00A86F9B"/>
    <w:rsid w:val="00A87A64"/>
    <w:rsid w:val="00A91180"/>
    <w:rsid w:val="00A915F4"/>
    <w:rsid w:val="00A916EF"/>
    <w:rsid w:val="00A917A9"/>
    <w:rsid w:val="00A91C36"/>
    <w:rsid w:val="00A91D41"/>
    <w:rsid w:val="00A926F4"/>
    <w:rsid w:val="00A93BD9"/>
    <w:rsid w:val="00A93F51"/>
    <w:rsid w:val="00A940CD"/>
    <w:rsid w:val="00A94153"/>
    <w:rsid w:val="00A947D6"/>
    <w:rsid w:val="00A96010"/>
    <w:rsid w:val="00A96762"/>
    <w:rsid w:val="00A9684D"/>
    <w:rsid w:val="00A97402"/>
    <w:rsid w:val="00A97873"/>
    <w:rsid w:val="00AA0426"/>
    <w:rsid w:val="00AA0B30"/>
    <w:rsid w:val="00AA0CEA"/>
    <w:rsid w:val="00AA0EFF"/>
    <w:rsid w:val="00AA173F"/>
    <w:rsid w:val="00AA1D97"/>
    <w:rsid w:val="00AA1E6C"/>
    <w:rsid w:val="00AA23B0"/>
    <w:rsid w:val="00AA29DC"/>
    <w:rsid w:val="00AA2B4F"/>
    <w:rsid w:val="00AA321D"/>
    <w:rsid w:val="00AA3259"/>
    <w:rsid w:val="00AA3356"/>
    <w:rsid w:val="00AA383C"/>
    <w:rsid w:val="00AA3C4B"/>
    <w:rsid w:val="00AA44CD"/>
    <w:rsid w:val="00AA4B32"/>
    <w:rsid w:val="00AA4CFF"/>
    <w:rsid w:val="00AA4D52"/>
    <w:rsid w:val="00AA4F04"/>
    <w:rsid w:val="00AA5773"/>
    <w:rsid w:val="00AA60AB"/>
    <w:rsid w:val="00AA61F7"/>
    <w:rsid w:val="00AA65D4"/>
    <w:rsid w:val="00AA6669"/>
    <w:rsid w:val="00AA690A"/>
    <w:rsid w:val="00AA6AB3"/>
    <w:rsid w:val="00AA6D26"/>
    <w:rsid w:val="00AA74C0"/>
    <w:rsid w:val="00AB0541"/>
    <w:rsid w:val="00AB09EE"/>
    <w:rsid w:val="00AB1065"/>
    <w:rsid w:val="00AB1717"/>
    <w:rsid w:val="00AB19B4"/>
    <w:rsid w:val="00AB2400"/>
    <w:rsid w:val="00AB25DF"/>
    <w:rsid w:val="00AB2F78"/>
    <w:rsid w:val="00AB2FCB"/>
    <w:rsid w:val="00AB4B74"/>
    <w:rsid w:val="00AB4DCD"/>
    <w:rsid w:val="00AB4F87"/>
    <w:rsid w:val="00AB5377"/>
    <w:rsid w:val="00AB5B77"/>
    <w:rsid w:val="00AB763D"/>
    <w:rsid w:val="00AB7891"/>
    <w:rsid w:val="00AB7B94"/>
    <w:rsid w:val="00AB7D08"/>
    <w:rsid w:val="00AB7F83"/>
    <w:rsid w:val="00AC0B81"/>
    <w:rsid w:val="00AC1D7C"/>
    <w:rsid w:val="00AC2090"/>
    <w:rsid w:val="00AC2190"/>
    <w:rsid w:val="00AC2300"/>
    <w:rsid w:val="00AC328A"/>
    <w:rsid w:val="00AC3451"/>
    <w:rsid w:val="00AC3506"/>
    <w:rsid w:val="00AC37C7"/>
    <w:rsid w:val="00AC387E"/>
    <w:rsid w:val="00AC4C2B"/>
    <w:rsid w:val="00AC4DD2"/>
    <w:rsid w:val="00AC5210"/>
    <w:rsid w:val="00AC54BD"/>
    <w:rsid w:val="00AC5BDF"/>
    <w:rsid w:val="00AC5DA2"/>
    <w:rsid w:val="00AC662A"/>
    <w:rsid w:val="00AC665E"/>
    <w:rsid w:val="00AC6903"/>
    <w:rsid w:val="00AC6B95"/>
    <w:rsid w:val="00AC722F"/>
    <w:rsid w:val="00AC7290"/>
    <w:rsid w:val="00AC7669"/>
    <w:rsid w:val="00AC79C9"/>
    <w:rsid w:val="00AD03B9"/>
    <w:rsid w:val="00AD0AF6"/>
    <w:rsid w:val="00AD1000"/>
    <w:rsid w:val="00AD277E"/>
    <w:rsid w:val="00AD343E"/>
    <w:rsid w:val="00AD3A02"/>
    <w:rsid w:val="00AD3B2B"/>
    <w:rsid w:val="00AD4267"/>
    <w:rsid w:val="00AD476A"/>
    <w:rsid w:val="00AD47AA"/>
    <w:rsid w:val="00AD4ABF"/>
    <w:rsid w:val="00AD4C67"/>
    <w:rsid w:val="00AD52D1"/>
    <w:rsid w:val="00AD54E1"/>
    <w:rsid w:val="00AD54E5"/>
    <w:rsid w:val="00AD5632"/>
    <w:rsid w:val="00AD5B3B"/>
    <w:rsid w:val="00AD6222"/>
    <w:rsid w:val="00AD6306"/>
    <w:rsid w:val="00AD6718"/>
    <w:rsid w:val="00AD67DE"/>
    <w:rsid w:val="00AD7076"/>
    <w:rsid w:val="00AD739C"/>
    <w:rsid w:val="00AE058C"/>
    <w:rsid w:val="00AE070A"/>
    <w:rsid w:val="00AE0712"/>
    <w:rsid w:val="00AE0764"/>
    <w:rsid w:val="00AE0967"/>
    <w:rsid w:val="00AE16D1"/>
    <w:rsid w:val="00AE1BC1"/>
    <w:rsid w:val="00AE1BD1"/>
    <w:rsid w:val="00AE1DBE"/>
    <w:rsid w:val="00AE276C"/>
    <w:rsid w:val="00AE3DF4"/>
    <w:rsid w:val="00AE41D4"/>
    <w:rsid w:val="00AE4788"/>
    <w:rsid w:val="00AE4A52"/>
    <w:rsid w:val="00AE4BEA"/>
    <w:rsid w:val="00AE4C6D"/>
    <w:rsid w:val="00AE4F91"/>
    <w:rsid w:val="00AE50A3"/>
    <w:rsid w:val="00AE54FF"/>
    <w:rsid w:val="00AE563F"/>
    <w:rsid w:val="00AE6595"/>
    <w:rsid w:val="00AE6B0B"/>
    <w:rsid w:val="00AE7185"/>
    <w:rsid w:val="00AE71A8"/>
    <w:rsid w:val="00AE74AF"/>
    <w:rsid w:val="00AE74B3"/>
    <w:rsid w:val="00AE7530"/>
    <w:rsid w:val="00AE7678"/>
    <w:rsid w:val="00AE7891"/>
    <w:rsid w:val="00AF0329"/>
    <w:rsid w:val="00AF0774"/>
    <w:rsid w:val="00AF11B5"/>
    <w:rsid w:val="00AF1F48"/>
    <w:rsid w:val="00AF2007"/>
    <w:rsid w:val="00AF2544"/>
    <w:rsid w:val="00AF2612"/>
    <w:rsid w:val="00AF2F60"/>
    <w:rsid w:val="00AF3057"/>
    <w:rsid w:val="00AF3089"/>
    <w:rsid w:val="00AF3889"/>
    <w:rsid w:val="00AF39DC"/>
    <w:rsid w:val="00AF3B73"/>
    <w:rsid w:val="00AF3BD3"/>
    <w:rsid w:val="00AF3CFD"/>
    <w:rsid w:val="00AF3F13"/>
    <w:rsid w:val="00AF3FE3"/>
    <w:rsid w:val="00AF4442"/>
    <w:rsid w:val="00AF4A53"/>
    <w:rsid w:val="00AF4F33"/>
    <w:rsid w:val="00AF52DC"/>
    <w:rsid w:val="00AF5D65"/>
    <w:rsid w:val="00AF6195"/>
    <w:rsid w:val="00AF6305"/>
    <w:rsid w:val="00AF6A68"/>
    <w:rsid w:val="00AF72F9"/>
    <w:rsid w:val="00AF732F"/>
    <w:rsid w:val="00B001C6"/>
    <w:rsid w:val="00B008DF"/>
    <w:rsid w:val="00B00BB3"/>
    <w:rsid w:val="00B00E5C"/>
    <w:rsid w:val="00B011D8"/>
    <w:rsid w:val="00B0131B"/>
    <w:rsid w:val="00B014AD"/>
    <w:rsid w:val="00B01819"/>
    <w:rsid w:val="00B018F4"/>
    <w:rsid w:val="00B022D8"/>
    <w:rsid w:val="00B02540"/>
    <w:rsid w:val="00B02836"/>
    <w:rsid w:val="00B02E5C"/>
    <w:rsid w:val="00B039AB"/>
    <w:rsid w:val="00B039E9"/>
    <w:rsid w:val="00B03B7D"/>
    <w:rsid w:val="00B04129"/>
    <w:rsid w:val="00B0442B"/>
    <w:rsid w:val="00B04DC3"/>
    <w:rsid w:val="00B04EED"/>
    <w:rsid w:val="00B0529B"/>
    <w:rsid w:val="00B05E03"/>
    <w:rsid w:val="00B0644E"/>
    <w:rsid w:val="00B0675C"/>
    <w:rsid w:val="00B10403"/>
    <w:rsid w:val="00B1077D"/>
    <w:rsid w:val="00B107AF"/>
    <w:rsid w:val="00B10841"/>
    <w:rsid w:val="00B10B1F"/>
    <w:rsid w:val="00B11176"/>
    <w:rsid w:val="00B11A6E"/>
    <w:rsid w:val="00B123B7"/>
    <w:rsid w:val="00B13CB1"/>
    <w:rsid w:val="00B1442F"/>
    <w:rsid w:val="00B14BEA"/>
    <w:rsid w:val="00B167CE"/>
    <w:rsid w:val="00B16B62"/>
    <w:rsid w:val="00B16DD7"/>
    <w:rsid w:val="00B17902"/>
    <w:rsid w:val="00B17A2E"/>
    <w:rsid w:val="00B17C66"/>
    <w:rsid w:val="00B20292"/>
    <w:rsid w:val="00B206B1"/>
    <w:rsid w:val="00B22004"/>
    <w:rsid w:val="00B22C0A"/>
    <w:rsid w:val="00B22F42"/>
    <w:rsid w:val="00B22FF9"/>
    <w:rsid w:val="00B233C3"/>
    <w:rsid w:val="00B23F87"/>
    <w:rsid w:val="00B24213"/>
    <w:rsid w:val="00B242E1"/>
    <w:rsid w:val="00B24417"/>
    <w:rsid w:val="00B244B0"/>
    <w:rsid w:val="00B24980"/>
    <w:rsid w:val="00B250B5"/>
    <w:rsid w:val="00B25B42"/>
    <w:rsid w:val="00B2635D"/>
    <w:rsid w:val="00B267F1"/>
    <w:rsid w:val="00B27105"/>
    <w:rsid w:val="00B2725F"/>
    <w:rsid w:val="00B27998"/>
    <w:rsid w:val="00B308E1"/>
    <w:rsid w:val="00B30FEF"/>
    <w:rsid w:val="00B31431"/>
    <w:rsid w:val="00B316BA"/>
    <w:rsid w:val="00B3190F"/>
    <w:rsid w:val="00B31D3D"/>
    <w:rsid w:val="00B325C1"/>
    <w:rsid w:val="00B32623"/>
    <w:rsid w:val="00B32BC9"/>
    <w:rsid w:val="00B331DC"/>
    <w:rsid w:val="00B33BCF"/>
    <w:rsid w:val="00B3520E"/>
    <w:rsid w:val="00B35546"/>
    <w:rsid w:val="00B3556A"/>
    <w:rsid w:val="00B35594"/>
    <w:rsid w:val="00B3580D"/>
    <w:rsid w:val="00B359BE"/>
    <w:rsid w:val="00B366E5"/>
    <w:rsid w:val="00B36B6D"/>
    <w:rsid w:val="00B36D71"/>
    <w:rsid w:val="00B3756E"/>
    <w:rsid w:val="00B401AE"/>
    <w:rsid w:val="00B402BB"/>
    <w:rsid w:val="00B403A3"/>
    <w:rsid w:val="00B414AF"/>
    <w:rsid w:val="00B41708"/>
    <w:rsid w:val="00B4206F"/>
    <w:rsid w:val="00B42220"/>
    <w:rsid w:val="00B4278F"/>
    <w:rsid w:val="00B42998"/>
    <w:rsid w:val="00B42DF1"/>
    <w:rsid w:val="00B4301A"/>
    <w:rsid w:val="00B43B6A"/>
    <w:rsid w:val="00B43FF7"/>
    <w:rsid w:val="00B4438B"/>
    <w:rsid w:val="00B450DF"/>
    <w:rsid w:val="00B453BE"/>
    <w:rsid w:val="00B45979"/>
    <w:rsid w:val="00B46241"/>
    <w:rsid w:val="00B46422"/>
    <w:rsid w:val="00B46735"/>
    <w:rsid w:val="00B468A0"/>
    <w:rsid w:val="00B46FDC"/>
    <w:rsid w:val="00B47896"/>
    <w:rsid w:val="00B47C72"/>
    <w:rsid w:val="00B47D36"/>
    <w:rsid w:val="00B507E9"/>
    <w:rsid w:val="00B50878"/>
    <w:rsid w:val="00B50894"/>
    <w:rsid w:val="00B50D0F"/>
    <w:rsid w:val="00B519DD"/>
    <w:rsid w:val="00B51EF7"/>
    <w:rsid w:val="00B5205A"/>
    <w:rsid w:val="00B52363"/>
    <w:rsid w:val="00B524C0"/>
    <w:rsid w:val="00B52693"/>
    <w:rsid w:val="00B52CF9"/>
    <w:rsid w:val="00B52D9E"/>
    <w:rsid w:val="00B52E12"/>
    <w:rsid w:val="00B52FAB"/>
    <w:rsid w:val="00B530F8"/>
    <w:rsid w:val="00B53C31"/>
    <w:rsid w:val="00B54233"/>
    <w:rsid w:val="00B5445A"/>
    <w:rsid w:val="00B555A9"/>
    <w:rsid w:val="00B55A15"/>
    <w:rsid w:val="00B55A1E"/>
    <w:rsid w:val="00B55E82"/>
    <w:rsid w:val="00B563AF"/>
    <w:rsid w:val="00B563E9"/>
    <w:rsid w:val="00B56902"/>
    <w:rsid w:val="00B56922"/>
    <w:rsid w:val="00B56B70"/>
    <w:rsid w:val="00B57983"/>
    <w:rsid w:val="00B57C81"/>
    <w:rsid w:val="00B6036B"/>
    <w:rsid w:val="00B604C8"/>
    <w:rsid w:val="00B605F5"/>
    <w:rsid w:val="00B60ED0"/>
    <w:rsid w:val="00B61427"/>
    <w:rsid w:val="00B61DD4"/>
    <w:rsid w:val="00B61DE7"/>
    <w:rsid w:val="00B61FA4"/>
    <w:rsid w:val="00B61FBA"/>
    <w:rsid w:val="00B62189"/>
    <w:rsid w:val="00B627E7"/>
    <w:rsid w:val="00B6283F"/>
    <w:rsid w:val="00B62F33"/>
    <w:rsid w:val="00B630AC"/>
    <w:rsid w:val="00B63937"/>
    <w:rsid w:val="00B65066"/>
    <w:rsid w:val="00B6668D"/>
    <w:rsid w:val="00B666B9"/>
    <w:rsid w:val="00B66A94"/>
    <w:rsid w:val="00B66F81"/>
    <w:rsid w:val="00B67145"/>
    <w:rsid w:val="00B677F1"/>
    <w:rsid w:val="00B67914"/>
    <w:rsid w:val="00B707AF"/>
    <w:rsid w:val="00B70882"/>
    <w:rsid w:val="00B709B8"/>
    <w:rsid w:val="00B72D75"/>
    <w:rsid w:val="00B72F97"/>
    <w:rsid w:val="00B741EF"/>
    <w:rsid w:val="00B747A2"/>
    <w:rsid w:val="00B75001"/>
    <w:rsid w:val="00B75086"/>
    <w:rsid w:val="00B7532D"/>
    <w:rsid w:val="00B75D6E"/>
    <w:rsid w:val="00B75F72"/>
    <w:rsid w:val="00B76DC1"/>
    <w:rsid w:val="00B77448"/>
    <w:rsid w:val="00B77CFD"/>
    <w:rsid w:val="00B800B7"/>
    <w:rsid w:val="00B80425"/>
    <w:rsid w:val="00B805C4"/>
    <w:rsid w:val="00B80D1E"/>
    <w:rsid w:val="00B81143"/>
    <w:rsid w:val="00B81548"/>
    <w:rsid w:val="00B81633"/>
    <w:rsid w:val="00B81EDF"/>
    <w:rsid w:val="00B81F81"/>
    <w:rsid w:val="00B827C4"/>
    <w:rsid w:val="00B82FF5"/>
    <w:rsid w:val="00B83A38"/>
    <w:rsid w:val="00B83D46"/>
    <w:rsid w:val="00B84147"/>
    <w:rsid w:val="00B84650"/>
    <w:rsid w:val="00B850CE"/>
    <w:rsid w:val="00B85CE0"/>
    <w:rsid w:val="00B862C0"/>
    <w:rsid w:val="00B863D9"/>
    <w:rsid w:val="00B864BA"/>
    <w:rsid w:val="00B86BB2"/>
    <w:rsid w:val="00B86C03"/>
    <w:rsid w:val="00B86E98"/>
    <w:rsid w:val="00B90192"/>
    <w:rsid w:val="00B90A49"/>
    <w:rsid w:val="00B90B9B"/>
    <w:rsid w:val="00B90C7D"/>
    <w:rsid w:val="00B91455"/>
    <w:rsid w:val="00B919E1"/>
    <w:rsid w:val="00B91AD9"/>
    <w:rsid w:val="00B91E87"/>
    <w:rsid w:val="00B92313"/>
    <w:rsid w:val="00B924C3"/>
    <w:rsid w:val="00B933BC"/>
    <w:rsid w:val="00B93791"/>
    <w:rsid w:val="00B93921"/>
    <w:rsid w:val="00B93C44"/>
    <w:rsid w:val="00B93C72"/>
    <w:rsid w:val="00B94562"/>
    <w:rsid w:val="00B945A2"/>
    <w:rsid w:val="00B94702"/>
    <w:rsid w:val="00B94A97"/>
    <w:rsid w:val="00B94EE8"/>
    <w:rsid w:val="00B962AB"/>
    <w:rsid w:val="00B966B6"/>
    <w:rsid w:val="00B96717"/>
    <w:rsid w:val="00B968F5"/>
    <w:rsid w:val="00B96C66"/>
    <w:rsid w:val="00B9761E"/>
    <w:rsid w:val="00B97B6F"/>
    <w:rsid w:val="00BA05AF"/>
    <w:rsid w:val="00BA0622"/>
    <w:rsid w:val="00BA096B"/>
    <w:rsid w:val="00BA13D0"/>
    <w:rsid w:val="00BA1C0C"/>
    <w:rsid w:val="00BA1C65"/>
    <w:rsid w:val="00BA1F66"/>
    <w:rsid w:val="00BA23AE"/>
    <w:rsid w:val="00BA260D"/>
    <w:rsid w:val="00BA2A4C"/>
    <w:rsid w:val="00BA2A52"/>
    <w:rsid w:val="00BA2F50"/>
    <w:rsid w:val="00BA320A"/>
    <w:rsid w:val="00BA3293"/>
    <w:rsid w:val="00BA3475"/>
    <w:rsid w:val="00BA35C3"/>
    <w:rsid w:val="00BA3C29"/>
    <w:rsid w:val="00BA3F2E"/>
    <w:rsid w:val="00BA403D"/>
    <w:rsid w:val="00BA4357"/>
    <w:rsid w:val="00BA4760"/>
    <w:rsid w:val="00BA4FF0"/>
    <w:rsid w:val="00BA58D9"/>
    <w:rsid w:val="00BA5FB5"/>
    <w:rsid w:val="00BA6A00"/>
    <w:rsid w:val="00BA6E60"/>
    <w:rsid w:val="00BA7003"/>
    <w:rsid w:val="00BA71ED"/>
    <w:rsid w:val="00BA79D3"/>
    <w:rsid w:val="00BA7CCE"/>
    <w:rsid w:val="00BB0517"/>
    <w:rsid w:val="00BB065D"/>
    <w:rsid w:val="00BB0886"/>
    <w:rsid w:val="00BB14CF"/>
    <w:rsid w:val="00BB17C8"/>
    <w:rsid w:val="00BB1CF9"/>
    <w:rsid w:val="00BB2101"/>
    <w:rsid w:val="00BB2133"/>
    <w:rsid w:val="00BB26DC"/>
    <w:rsid w:val="00BB27D3"/>
    <w:rsid w:val="00BB2C04"/>
    <w:rsid w:val="00BB30F3"/>
    <w:rsid w:val="00BB315F"/>
    <w:rsid w:val="00BB3186"/>
    <w:rsid w:val="00BB325E"/>
    <w:rsid w:val="00BB3D90"/>
    <w:rsid w:val="00BB48F1"/>
    <w:rsid w:val="00BB5036"/>
    <w:rsid w:val="00BB5BAF"/>
    <w:rsid w:val="00BB5F46"/>
    <w:rsid w:val="00BB6218"/>
    <w:rsid w:val="00BB6888"/>
    <w:rsid w:val="00BB6EFD"/>
    <w:rsid w:val="00BB75F8"/>
    <w:rsid w:val="00BB7709"/>
    <w:rsid w:val="00BB779D"/>
    <w:rsid w:val="00BB7899"/>
    <w:rsid w:val="00BB789F"/>
    <w:rsid w:val="00BB7A4D"/>
    <w:rsid w:val="00BC068E"/>
    <w:rsid w:val="00BC107E"/>
    <w:rsid w:val="00BC1582"/>
    <w:rsid w:val="00BC1C7C"/>
    <w:rsid w:val="00BC205F"/>
    <w:rsid w:val="00BC2D8F"/>
    <w:rsid w:val="00BC31E2"/>
    <w:rsid w:val="00BC3D44"/>
    <w:rsid w:val="00BC4213"/>
    <w:rsid w:val="00BC429E"/>
    <w:rsid w:val="00BC4C7F"/>
    <w:rsid w:val="00BC4FF8"/>
    <w:rsid w:val="00BC524D"/>
    <w:rsid w:val="00BC5C80"/>
    <w:rsid w:val="00BC5D5B"/>
    <w:rsid w:val="00BC5F08"/>
    <w:rsid w:val="00BC6161"/>
    <w:rsid w:val="00BC65A4"/>
    <w:rsid w:val="00BC65B2"/>
    <w:rsid w:val="00BC717C"/>
    <w:rsid w:val="00BC75B3"/>
    <w:rsid w:val="00BC7B04"/>
    <w:rsid w:val="00BC7E15"/>
    <w:rsid w:val="00BC7E36"/>
    <w:rsid w:val="00BD020B"/>
    <w:rsid w:val="00BD024E"/>
    <w:rsid w:val="00BD0341"/>
    <w:rsid w:val="00BD09B1"/>
    <w:rsid w:val="00BD0FE8"/>
    <w:rsid w:val="00BD16D6"/>
    <w:rsid w:val="00BD1B72"/>
    <w:rsid w:val="00BD31B3"/>
    <w:rsid w:val="00BD38B1"/>
    <w:rsid w:val="00BD3BB5"/>
    <w:rsid w:val="00BD41C0"/>
    <w:rsid w:val="00BD485C"/>
    <w:rsid w:val="00BD4AA0"/>
    <w:rsid w:val="00BD521B"/>
    <w:rsid w:val="00BD5D51"/>
    <w:rsid w:val="00BD5E89"/>
    <w:rsid w:val="00BD6053"/>
    <w:rsid w:val="00BD6593"/>
    <w:rsid w:val="00BD66B2"/>
    <w:rsid w:val="00BD71AD"/>
    <w:rsid w:val="00BD7633"/>
    <w:rsid w:val="00BD76B1"/>
    <w:rsid w:val="00BD7725"/>
    <w:rsid w:val="00BD782C"/>
    <w:rsid w:val="00BD786C"/>
    <w:rsid w:val="00BD78AD"/>
    <w:rsid w:val="00BD78F4"/>
    <w:rsid w:val="00BD7CDA"/>
    <w:rsid w:val="00BE0154"/>
    <w:rsid w:val="00BE04EC"/>
    <w:rsid w:val="00BE0F6C"/>
    <w:rsid w:val="00BE168E"/>
    <w:rsid w:val="00BE1821"/>
    <w:rsid w:val="00BE1BC9"/>
    <w:rsid w:val="00BE1D73"/>
    <w:rsid w:val="00BE1E0F"/>
    <w:rsid w:val="00BE1EC9"/>
    <w:rsid w:val="00BE1F09"/>
    <w:rsid w:val="00BE26F9"/>
    <w:rsid w:val="00BE2DD8"/>
    <w:rsid w:val="00BE301A"/>
    <w:rsid w:val="00BE31E3"/>
    <w:rsid w:val="00BE400A"/>
    <w:rsid w:val="00BE458A"/>
    <w:rsid w:val="00BE4BE8"/>
    <w:rsid w:val="00BE4E51"/>
    <w:rsid w:val="00BE57E3"/>
    <w:rsid w:val="00BE5CCD"/>
    <w:rsid w:val="00BE5D07"/>
    <w:rsid w:val="00BE61FC"/>
    <w:rsid w:val="00BE7A1E"/>
    <w:rsid w:val="00BF0159"/>
    <w:rsid w:val="00BF03E8"/>
    <w:rsid w:val="00BF0BB5"/>
    <w:rsid w:val="00BF0D84"/>
    <w:rsid w:val="00BF1423"/>
    <w:rsid w:val="00BF18FE"/>
    <w:rsid w:val="00BF1C55"/>
    <w:rsid w:val="00BF1F5C"/>
    <w:rsid w:val="00BF224A"/>
    <w:rsid w:val="00BF272F"/>
    <w:rsid w:val="00BF28A4"/>
    <w:rsid w:val="00BF35CE"/>
    <w:rsid w:val="00BF37C5"/>
    <w:rsid w:val="00BF3AAA"/>
    <w:rsid w:val="00BF3C20"/>
    <w:rsid w:val="00BF42FD"/>
    <w:rsid w:val="00BF4810"/>
    <w:rsid w:val="00BF497A"/>
    <w:rsid w:val="00BF4AC8"/>
    <w:rsid w:val="00BF4E3E"/>
    <w:rsid w:val="00BF5598"/>
    <w:rsid w:val="00BF59E0"/>
    <w:rsid w:val="00BF5BF6"/>
    <w:rsid w:val="00BF5E37"/>
    <w:rsid w:val="00BF6983"/>
    <w:rsid w:val="00BF70D4"/>
    <w:rsid w:val="00BF71E4"/>
    <w:rsid w:val="00BF7206"/>
    <w:rsid w:val="00BF7831"/>
    <w:rsid w:val="00BF7B13"/>
    <w:rsid w:val="00BF7F37"/>
    <w:rsid w:val="00C000A0"/>
    <w:rsid w:val="00C00865"/>
    <w:rsid w:val="00C010A6"/>
    <w:rsid w:val="00C0153B"/>
    <w:rsid w:val="00C0163D"/>
    <w:rsid w:val="00C017CA"/>
    <w:rsid w:val="00C02152"/>
    <w:rsid w:val="00C0264E"/>
    <w:rsid w:val="00C02E35"/>
    <w:rsid w:val="00C035DE"/>
    <w:rsid w:val="00C03CE8"/>
    <w:rsid w:val="00C04252"/>
    <w:rsid w:val="00C0494D"/>
    <w:rsid w:val="00C0531C"/>
    <w:rsid w:val="00C05806"/>
    <w:rsid w:val="00C05FA3"/>
    <w:rsid w:val="00C06A1F"/>
    <w:rsid w:val="00C06D0D"/>
    <w:rsid w:val="00C07158"/>
    <w:rsid w:val="00C073A5"/>
    <w:rsid w:val="00C108A9"/>
    <w:rsid w:val="00C10BFF"/>
    <w:rsid w:val="00C10D63"/>
    <w:rsid w:val="00C12181"/>
    <w:rsid w:val="00C123A3"/>
    <w:rsid w:val="00C12466"/>
    <w:rsid w:val="00C12553"/>
    <w:rsid w:val="00C12E49"/>
    <w:rsid w:val="00C13F2B"/>
    <w:rsid w:val="00C141FB"/>
    <w:rsid w:val="00C143BD"/>
    <w:rsid w:val="00C1441B"/>
    <w:rsid w:val="00C14FB5"/>
    <w:rsid w:val="00C151EC"/>
    <w:rsid w:val="00C1544B"/>
    <w:rsid w:val="00C15A04"/>
    <w:rsid w:val="00C15D35"/>
    <w:rsid w:val="00C1656A"/>
    <w:rsid w:val="00C166FD"/>
    <w:rsid w:val="00C16815"/>
    <w:rsid w:val="00C16951"/>
    <w:rsid w:val="00C17D4D"/>
    <w:rsid w:val="00C205F8"/>
    <w:rsid w:val="00C20EBC"/>
    <w:rsid w:val="00C2100C"/>
    <w:rsid w:val="00C2106B"/>
    <w:rsid w:val="00C21175"/>
    <w:rsid w:val="00C226C2"/>
    <w:rsid w:val="00C2297F"/>
    <w:rsid w:val="00C22CC3"/>
    <w:rsid w:val="00C23012"/>
    <w:rsid w:val="00C2305A"/>
    <w:rsid w:val="00C23CC9"/>
    <w:rsid w:val="00C24114"/>
    <w:rsid w:val="00C244DA"/>
    <w:rsid w:val="00C24503"/>
    <w:rsid w:val="00C2450A"/>
    <w:rsid w:val="00C248DB"/>
    <w:rsid w:val="00C248DD"/>
    <w:rsid w:val="00C2492B"/>
    <w:rsid w:val="00C2557A"/>
    <w:rsid w:val="00C255F6"/>
    <w:rsid w:val="00C256E7"/>
    <w:rsid w:val="00C257D4"/>
    <w:rsid w:val="00C25831"/>
    <w:rsid w:val="00C2605E"/>
    <w:rsid w:val="00C262C5"/>
    <w:rsid w:val="00C26EDD"/>
    <w:rsid w:val="00C27400"/>
    <w:rsid w:val="00C27BF6"/>
    <w:rsid w:val="00C27C80"/>
    <w:rsid w:val="00C27C9C"/>
    <w:rsid w:val="00C30482"/>
    <w:rsid w:val="00C30577"/>
    <w:rsid w:val="00C30B3D"/>
    <w:rsid w:val="00C30BEF"/>
    <w:rsid w:val="00C30D62"/>
    <w:rsid w:val="00C30DC6"/>
    <w:rsid w:val="00C31631"/>
    <w:rsid w:val="00C316BC"/>
    <w:rsid w:val="00C31E72"/>
    <w:rsid w:val="00C32004"/>
    <w:rsid w:val="00C323BD"/>
    <w:rsid w:val="00C32DB9"/>
    <w:rsid w:val="00C33180"/>
    <w:rsid w:val="00C33462"/>
    <w:rsid w:val="00C33AE2"/>
    <w:rsid w:val="00C34138"/>
    <w:rsid w:val="00C34324"/>
    <w:rsid w:val="00C344E9"/>
    <w:rsid w:val="00C3492B"/>
    <w:rsid w:val="00C34969"/>
    <w:rsid w:val="00C34B08"/>
    <w:rsid w:val="00C35315"/>
    <w:rsid w:val="00C35554"/>
    <w:rsid w:val="00C3555A"/>
    <w:rsid w:val="00C3626C"/>
    <w:rsid w:val="00C364C5"/>
    <w:rsid w:val="00C36CE9"/>
    <w:rsid w:val="00C37741"/>
    <w:rsid w:val="00C37E3D"/>
    <w:rsid w:val="00C4041E"/>
    <w:rsid w:val="00C40C64"/>
    <w:rsid w:val="00C41011"/>
    <w:rsid w:val="00C42239"/>
    <w:rsid w:val="00C42CC1"/>
    <w:rsid w:val="00C433C4"/>
    <w:rsid w:val="00C43B8B"/>
    <w:rsid w:val="00C43FBA"/>
    <w:rsid w:val="00C441CC"/>
    <w:rsid w:val="00C44475"/>
    <w:rsid w:val="00C44928"/>
    <w:rsid w:val="00C44F87"/>
    <w:rsid w:val="00C451F2"/>
    <w:rsid w:val="00C45757"/>
    <w:rsid w:val="00C45CA7"/>
    <w:rsid w:val="00C45F9A"/>
    <w:rsid w:val="00C4609E"/>
    <w:rsid w:val="00C46807"/>
    <w:rsid w:val="00C4699B"/>
    <w:rsid w:val="00C47D44"/>
    <w:rsid w:val="00C50B1E"/>
    <w:rsid w:val="00C51C72"/>
    <w:rsid w:val="00C51CB1"/>
    <w:rsid w:val="00C51F30"/>
    <w:rsid w:val="00C521B4"/>
    <w:rsid w:val="00C52914"/>
    <w:rsid w:val="00C539F2"/>
    <w:rsid w:val="00C544CC"/>
    <w:rsid w:val="00C546E7"/>
    <w:rsid w:val="00C55114"/>
    <w:rsid w:val="00C55DC9"/>
    <w:rsid w:val="00C56262"/>
    <w:rsid w:val="00C566A0"/>
    <w:rsid w:val="00C57198"/>
    <w:rsid w:val="00C578CE"/>
    <w:rsid w:val="00C60CBB"/>
    <w:rsid w:val="00C61597"/>
    <w:rsid w:val="00C617BF"/>
    <w:rsid w:val="00C62692"/>
    <w:rsid w:val="00C62791"/>
    <w:rsid w:val="00C62FA1"/>
    <w:rsid w:val="00C632D6"/>
    <w:rsid w:val="00C63D13"/>
    <w:rsid w:val="00C63F9B"/>
    <w:rsid w:val="00C64069"/>
    <w:rsid w:val="00C646AC"/>
    <w:rsid w:val="00C64871"/>
    <w:rsid w:val="00C64B36"/>
    <w:rsid w:val="00C64C87"/>
    <w:rsid w:val="00C64EDD"/>
    <w:rsid w:val="00C653BA"/>
    <w:rsid w:val="00C657B4"/>
    <w:rsid w:val="00C66D94"/>
    <w:rsid w:val="00C6774F"/>
    <w:rsid w:val="00C677AA"/>
    <w:rsid w:val="00C67EA3"/>
    <w:rsid w:val="00C70669"/>
    <w:rsid w:val="00C70A37"/>
    <w:rsid w:val="00C70F72"/>
    <w:rsid w:val="00C713C7"/>
    <w:rsid w:val="00C715CB"/>
    <w:rsid w:val="00C71914"/>
    <w:rsid w:val="00C71A43"/>
    <w:rsid w:val="00C7263B"/>
    <w:rsid w:val="00C72741"/>
    <w:rsid w:val="00C727EF"/>
    <w:rsid w:val="00C72D01"/>
    <w:rsid w:val="00C72F2F"/>
    <w:rsid w:val="00C73290"/>
    <w:rsid w:val="00C736A7"/>
    <w:rsid w:val="00C73D50"/>
    <w:rsid w:val="00C74181"/>
    <w:rsid w:val="00C7460F"/>
    <w:rsid w:val="00C74636"/>
    <w:rsid w:val="00C74AF1"/>
    <w:rsid w:val="00C752C9"/>
    <w:rsid w:val="00C759F1"/>
    <w:rsid w:val="00C75DF4"/>
    <w:rsid w:val="00C7613A"/>
    <w:rsid w:val="00C761B9"/>
    <w:rsid w:val="00C77315"/>
    <w:rsid w:val="00C77AEB"/>
    <w:rsid w:val="00C77C98"/>
    <w:rsid w:val="00C80069"/>
    <w:rsid w:val="00C805C9"/>
    <w:rsid w:val="00C805DA"/>
    <w:rsid w:val="00C8096C"/>
    <w:rsid w:val="00C80A78"/>
    <w:rsid w:val="00C80B25"/>
    <w:rsid w:val="00C80F33"/>
    <w:rsid w:val="00C80FD0"/>
    <w:rsid w:val="00C8100B"/>
    <w:rsid w:val="00C816BC"/>
    <w:rsid w:val="00C825DD"/>
    <w:rsid w:val="00C82DDB"/>
    <w:rsid w:val="00C8460B"/>
    <w:rsid w:val="00C852AC"/>
    <w:rsid w:val="00C857F9"/>
    <w:rsid w:val="00C860BC"/>
    <w:rsid w:val="00C86543"/>
    <w:rsid w:val="00C8683F"/>
    <w:rsid w:val="00C86967"/>
    <w:rsid w:val="00C87D19"/>
    <w:rsid w:val="00C9003B"/>
    <w:rsid w:val="00C9085E"/>
    <w:rsid w:val="00C9091D"/>
    <w:rsid w:val="00C90D2F"/>
    <w:rsid w:val="00C90FA2"/>
    <w:rsid w:val="00C914E0"/>
    <w:rsid w:val="00C91CA5"/>
    <w:rsid w:val="00C91D26"/>
    <w:rsid w:val="00C92141"/>
    <w:rsid w:val="00C92267"/>
    <w:rsid w:val="00C93941"/>
    <w:rsid w:val="00C94857"/>
    <w:rsid w:val="00C959C2"/>
    <w:rsid w:val="00C95BC5"/>
    <w:rsid w:val="00C95DEA"/>
    <w:rsid w:val="00C95FCA"/>
    <w:rsid w:val="00C974ED"/>
    <w:rsid w:val="00C976AC"/>
    <w:rsid w:val="00C97A8D"/>
    <w:rsid w:val="00C97E8D"/>
    <w:rsid w:val="00C97F02"/>
    <w:rsid w:val="00CA0083"/>
    <w:rsid w:val="00CA04C0"/>
    <w:rsid w:val="00CA0837"/>
    <w:rsid w:val="00CA0BD9"/>
    <w:rsid w:val="00CA11E9"/>
    <w:rsid w:val="00CA12B2"/>
    <w:rsid w:val="00CA14DD"/>
    <w:rsid w:val="00CA2FBE"/>
    <w:rsid w:val="00CA4064"/>
    <w:rsid w:val="00CA41D2"/>
    <w:rsid w:val="00CA4753"/>
    <w:rsid w:val="00CA4D91"/>
    <w:rsid w:val="00CA4EB1"/>
    <w:rsid w:val="00CA4F20"/>
    <w:rsid w:val="00CA5080"/>
    <w:rsid w:val="00CA5908"/>
    <w:rsid w:val="00CA5A5A"/>
    <w:rsid w:val="00CA5D21"/>
    <w:rsid w:val="00CA5F84"/>
    <w:rsid w:val="00CA6512"/>
    <w:rsid w:val="00CA7A61"/>
    <w:rsid w:val="00CA7BF2"/>
    <w:rsid w:val="00CA7E0D"/>
    <w:rsid w:val="00CB0A21"/>
    <w:rsid w:val="00CB0C16"/>
    <w:rsid w:val="00CB1327"/>
    <w:rsid w:val="00CB1384"/>
    <w:rsid w:val="00CB144F"/>
    <w:rsid w:val="00CB149F"/>
    <w:rsid w:val="00CB1EAE"/>
    <w:rsid w:val="00CB1F5B"/>
    <w:rsid w:val="00CB2147"/>
    <w:rsid w:val="00CB2248"/>
    <w:rsid w:val="00CB28EA"/>
    <w:rsid w:val="00CB30F5"/>
    <w:rsid w:val="00CB315D"/>
    <w:rsid w:val="00CB38FE"/>
    <w:rsid w:val="00CB3B4E"/>
    <w:rsid w:val="00CB3EC6"/>
    <w:rsid w:val="00CB3F32"/>
    <w:rsid w:val="00CB4484"/>
    <w:rsid w:val="00CB4BEE"/>
    <w:rsid w:val="00CB4F56"/>
    <w:rsid w:val="00CB598E"/>
    <w:rsid w:val="00CB665A"/>
    <w:rsid w:val="00CB67F2"/>
    <w:rsid w:val="00CB68CC"/>
    <w:rsid w:val="00CB6BB5"/>
    <w:rsid w:val="00CB6D6A"/>
    <w:rsid w:val="00CB7873"/>
    <w:rsid w:val="00CB79A7"/>
    <w:rsid w:val="00CC0309"/>
    <w:rsid w:val="00CC0319"/>
    <w:rsid w:val="00CC06C3"/>
    <w:rsid w:val="00CC07DB"/>
    <w:rsid w:val="00CC0A26"/>
    <w:rsid w:val="00CC0AB1"/>
    <w:rsid w:val="00CC129B"/>
    <w:rsid w:val="00CC1838"/>
    <w:rsid w:val="00CC1C5B"/>
    <w:rsid w:val="00CC31AB"/>
    <w:rsid w:val="00CC341C"/>
    <w:rsid w:val="00CC3645"/>
    <w:rsid w:val="00CC3F55"/>
    <w:rsid w:val="00CC4116"/>
    <w:rsid w:val="00CC4E15"/>
    <w:rsid w:val="00CC4F6B"/>
    <w:rsid w:val="00CC54B1"/>
    <w:rsid w:val="00CC55AE"/>
    <w:rsid w:val="00CC5B06"/>
    <w:rsid w:val="00CC7253"/>
    <w:rsid w:val="00CC7751"/>
    <w:rsid w:val="00CC79A2"/>
    <w:rsid w:val="00CC7D66"/>
    <w:rsid w:val="00CD0153"/>
    <w:rsid w:val="00CD02C6"/>
    <w:rsid w:val="00CD092E"/>
    <w:rsid w:val="00CD0A75"/>
    <w:rsid w:val="00CD11DE"/>
    <w:rsid w:val="00CD143E"/>
    <w:rsid w:val="00CD1963"/>
    <w:rsid w:val="00CD19CA"/>
    <w:rsid w:val="00CD1AC2"/>
    <w:rsid w:val="00CD2331"/>
    <w:rsid w:val="00CD2889"/>
    <w:rsid w:val="00CD34FD"/>
    <w:rsid w:val="00CD35E8"/>
    <w:rsid w:val="00CD3E17"/>
    <w:rsid w:val="00CD3EFC"/>
    <w:rsid w:val="00CD467E"/>
    <w:rsid w:val="00CD4860"/>
    <w:rsid w:val="00CD4B86"/>
    <w:rsid w:val="00CD4E3B"/>
    <w:rsid w:val="00CD50A4"/>
    <w:rsid w:val="00CD51ED"/>
    <w:rsid w:val="00CD5989"/>
    <w:rsid w:val="00CD5CFC"/>
    <w:rsid w:val="00CD62C0"/>
    <w:rsid w:val="00CD63B2"/>
    <w:rsid w:val="00CD6C4D"/>
    <w:rsid w:val="00CD7357"/>
    <w:rsid w:val="00CD7B3A"/>
    <w:rsid w:val="00CE0199"/>
    <w:rsid w:val="00CE0440"/>
    <w:rsid w:val="00CE05E1"/>
    <w:rsid w:val="00CE0620"/>
    <w:rsid w:val="00CE1146"/>
    <w:rsid w:val="00CE16F2"/>
    <w:rsid w:val="00CE176D"/>
    <w:rsid w:val="00CE178F"/>
    <w:rsid w:val="00CE18AA"/>
    <w:rsid w:val="00CE1CC5"/>
    <w:rsid w:val="00CE1E16"/>
    <w:rsid w:val="00CE253C"/>
    <w:rsid w:val="00CE2619"/>
    <w:rsid w:val="00CE291E"/>
    <w:rsid w:val="00CE2920"/>
    <w:rsid w:val="00CE2EE4"/>
    <w:rsid w:val="00CE3346"/>
    <w:rsid w:val="00CE3797"/>
    <w:rsid w:val="00CE3ADA"/>
    <w:rsid w:val="00CE3ECD"/>
    <w:rsid w:val="00CE4025"/>
    <w:rsid w:val="00CE41CB"/>
    <w:rsid w:val="00CE48D3"/>
    <w:rsid w:val="00CE498F"/>
    <w:rsid w:val="00CE5D42"/>
    <w:rsid w:val="00CE5FE1"/>
    <w:rsid w:val="00CE6803"/>
    <w:rsid w:val="00CE693D"/>
    <w:rsid w:val="00CE6D99"/>
    <w:rsid w:val="00CE7351"/>
    <w:rsid w:val="00CF0777"/>
    <w:rsid w:val="00CF0FF4"/>
    <w:rsid w:val="00CF1622"/>
    <w:rsid w:val="00CF1E5A"/>
    <w:rsid w:val="00CF1EB5"/>
    <w:rsid w:val="00CF26D0"/>
    <w:rsid w:val="00CF34DB"/>
    <w:rsid w:val="00CF368F"/>
    <w:rsid w:val="00CF3CAD"/>
    <w:rsid w:val="00CF3DED"/>
    <w:rsid w:val="00CF3E28"/>
    <w:rsid w:val="00CF425F"/>
    <w:rsid w:val="00CF4635"/>
    <w:rsid w:val="00CF46ED"/>
    <w:rsid w:val="00CF4FEF"/>
    <w:rsid w:val="00CF5173"/>
    <w:rsid w:val="00CF51E8"/>
    <w:rsid w:val="00CF5203"/>
    <w:rsid w:val="00CF5BA3"/>
    <w:rsid w:val="00CF637A"/>
    <w:rsid w:val="00CF6518"/>
    <w:rsid w:val="00CF7C31"/>
    <w:rsid w:val="00D00450"/>
    <w:rsid w:val="00D00CF6"/>
    <w:rsid w:val="00D013E2"/>
    <w:rsid w:val="00D0152F"/>
    <w:rsid w:val="00D017E4"/>
    <w:rsid w:val="00D01AF8"/>
    <w:rsid w:val="00D01BC6"/>
    <w:rsid w:val="00D01F80"/>
    <w:rsid w:val="00D0208A"/>
    <w:rsid w:val="00D025CC"/>
    <w:rsid w:val="00D027E9"/>
    <w:rsid w:val="00D028B3"/>
    <w:rsid w:val="00D0293C"/>
    <w:rsid w:val="00D02DA7"/>
    <w:rsid w:val="00D0304E"/>
    <w:rsid w:val="00D03F68"/>
    <w:rsid w:val="00D04031"/>
    <w:rsid w:val="00D044D9"/>
    <w:rsid w:val="00D045D3"/>
    <w:rsid w:val="00D04EC9"/>
    <w:rsid w:val="00D053C2"/>
    <w:rsid w:val="00D05C16"/>
    <w:rsid w:val="00D05E0E"/>
    <w:rsid w:val="00D06218"/>
    <w:rsid w:val="00D06B40"/>
    <w:rsid w:val="00D077BB"/>
    <w:rsid w:val="00D104AC"/>
    <w:rsid w:val="00D104D2"/>
    <w:rsid w:val="00D10566"/>
    <w:rsid w:val="00D10643"/>
    <w:rsid w:val="00D10F3E"/>
    <w:rsid w:val="00D112CB"/>
    <w:rsid w:val="00D11650"/>
    <w:rsid w:val="00D11C6E"/>
    <w:rsid w:val="00D1219B"/>
    <w:rsid w:val="00D128F1"/>
    <w:rsid w:val="00D12AD5"/>
    <w:rsid w:val="00D12BD7"/>
    <w:rsid w:val="00D138B4"/>
    <w:rsid w:val="00D13956"/>
    <w:rsid w:val="00D13D12"/>
    <w:rsid w:val="00D13FD3"/>
    <w:rsid w:val="00D140C2"/>
    <w:rsid w:val="00D149DF"/>
    <w:rsid w:val="00D152AA"/>
    <w:rsid w:val="00D15500"/>
    <w:rsid w:val="00D15C15"/>
    <w:rsid w:val="00D15E24"/>
    <w:rsid w:val="00D1621C"/>
    <w:rsid w:val="00D16725"/>
    <w:rsid w:val="00D16D23"/>
    <w:rsid w:val="00D17086"/>
    <w:rsid w:val="00D17570"/>
    <w:rsid w:val="00D17643"/>
    <w:rsid w:val="00D17911"/>
    <w:rsid w:val="00D17FB4"/>
    <w:rsid w:val="00D20188"/>
    <w:rsid w:val="00D201E3"/>
    <w:rsid w:val="00D2027A"/>
    <w:rsid w:val="00D20B23"/>
    <w:rsid w:val="00D20C94"/>
    <w:rsid w:val="00D2140F"/>
    <w:rsid w:val="00D218EF"/>
    <w:rsid w:val="00D22433"/>
    <w:rsid w:val="00D224EF"/>
    <w:rsid w:val="00D22748"/>
    <w:rsid w:val="00D22E55"/>
    <w:rsid w:val="00D232AE"/>
    <w:rsid w:val="00D233E0"/>
    <w:rsid w:val="00D2347F"/>
    <w:rsid w:val="00D23626"/>
    <w:rsid w:val="00D242C0"/>
    <w:rsid w:val="00D242E5"/>
    <w:rsid w:val="00D25371"/>
    <w:rsid w:val="00D2580C"/>
    <w:rsid w:val="00D26918"/>
    <w:rsid w:val="00D26AEF"/>
    <w:rsid w:val="00D2700D"/>
    <w:rsid w:val="00D27734"/>
    <w:rsid w:val="00D27BED"/>
    <w:rsid w:val="00D301F8"/>
    <w:rsid w:val="00D30A43"/>
    <w:rsid w:val="00D313D6"/>
    <w:rsid w:val="00D3182A"/>
    <w:rsid w:val="00D31D84"/>
    <w:rsid w:val="00D32136"/>
    <w:rsid w:val="00D3222B"/>
    <w:rsid w:val="00D3227D"/>
    <w:rsid w:val="00D323CB"/>
    <w:rsid w:val="00D330D8"/>
    <w:rsid w:val="00D33197"/>
    <w:rsid w:val="00D331C9"/>
    <w:rsid w:val="00D33567"/>
    <w:rsid w:val="00D33EEE"/>
    <w:rsid w:val="00D341A7"/>
    <w:rsid w:val="00D34B4B"/>
    <w:rsid w:val="00D34D16"/>
    <w:rsid w:val="00D35236"/>
    <w:rsid w:val="00D352F1"/>
    <w:rsid w:val="00D35305"/>
    <w:rsid w:val="00D3579C"/>
    <w:rsid w:val="00D37121"/>
    <w:rsid w:val="00D3746F"/>
    <w:rsid w:val="00D376AA"/>
    <w:rsid w:val="00D40043"/>
    <w:rsid w:val="00D4098D"/>
    <w:rsid w:val="00D40A47"/>
    <w:rsid w:val="00D41051"/>
    <w:rsid w:val="00D410F8"/>
    <w:rsid w:val="00D417AE"/>
    <w:rsid w:val="00D419F5"/>
    <w:rsid w:val="00D41B6F"/>
    <w:rsid w:val="00D41D33"/>
    <w:rsid w:val="00D43419"/>
    <w:rsid w:val="00D446AE"/>
    <w:rsid w:val="00D457ED"/>
    <w:rsid w:val="00D468B0"/>
    <w:rsid w:val="00D46A9C"/>
    <w:rsid w:val="00D46AEF"/>
    <w:rsid w:val="00D46D32"/>
    <w:rsid w:val="00D46EB7"/>
    <w:rsid w:val="00D46FA2"/>
    <w:rsid w:val="00D476EB"/>
    <w:rsid w:val="00D478AA"/>
    <w:rsid w:val="00D47F55"/>
    <w:rsid w:val="00D50FBA"/>
    <w:rsid w:val="00D51372"/>
    <w:rsid w:val="00D5162F"/>
    <w:rsid w:val="00D51AD6"/>
    <w:rsid w:val="00D51C50"/>
    <w:rsid w:val="00D525C5"/>
    <w:rsid w:val="00D5266D"/>
    <w:rsid w:val="00D52BBA"/>
    <w:rsid w:val="00D52C1C"/>
    <w:rsid w:val="00D53B39"/>
    <w:rsid w:val="00D53BD6"/>
    <w:rsid w:val="00D5456F"/>
    <w:rsid w:val="00D548A9"/>
    <w:rsid w:val="00D549D6"/>
    <w:rsid w:val="00D54AEA"/>
    <w:rsid w:val="00D54E4B"/>
    <w:rsid w:val="00D55A96"/>
    <w:rsid w:val="00D56796"/>
    <w:rsid w:val="00D56D40"/>
    <w:rsid w:val="00D56D85"/>
    <w:rsid w:val="00D57BE9"/>
    <w:rsid w:val="00D60345"/>
    <w:rsid w:val="00D606FC"/>
    <w:rsid w:val="00D60B6B"/>
    <w:rsid w:val="00D60D72"/>
    <w:rsid w:val="00D60D80"/>
    <w:rsid w:val="00D617B3"/>
    <w:rsid w:val="00D61918"/>
    <w:rsid w:val="00D61CAC"/>
    <w:rsid w:val="00D62668"/>
    <w:rsid w:val="00D627E0"/>
    <w:rsid w:val="00D62F18"/>
    <w:rsid w:val="00D62F54"/>
    <w:rsid w:val="00D63019"/>
    <w:rsid w:val="00D631BD"/>
    <w:rsid w:val="00D64502"/>
    <w:rsid w:val="00D64812"/>
    <w:rsid w:val="00D64E31"/>
    <w:rsid w:val="00D65360"/>
    <w:rsid w:val="00D65604"/>
    <w:rsid w:val="00D656B6"/>
    <w:rsid w:val="00D65F9D"/>
    <w:rsid w:val="00D666E7"/>
    <w:rsid w:val="00D66C52"/>
    <w:rsid w:val="00D678F8"/>
    <w:rsid w:val="00D67C66"/>
    <w:rsid w:val="00D67E37"/>
    <w:rsid w:val="00D705C5"/>
    <w:rsid w:val="00D705E7"/>
    <w:rsid w:val="00D706C6"/>
    <w:rsid w:val="00D706EC"/>
    <w:rsid w:val="00D71BA4"/>
    <w:rsid w:val="00D721EC"/>
    <w:rsid w:val="00D726CE"/>
    <w:rsid w:val="00D73677"/>
    <w:rsid w:val="00D73943"/>
    <w:rsid w:val="00D74912"/>
    <w:rsid w:val="00D74A6E"/>
    <w:rsid w:val="00D75805"/>
    <w:rsid w:val="00D75B50"/>
    <w:rsid w:val="00D75BE2"/>
    <w:rsid w:val="00D76480"/>
    <w:rsid w:val="00D7663A"/>
    <w:rsid w:val="00D76CF5"/>
    <w:rsid w:val="00D779F7"/>
    <w:rsid w:val="00D806E9"/>
    <w:rsid w:val="00D80754"/>
    <w:rsid w:val="00D81375"/>
    <w:rsid w:val="00D817E1"/>
    <w:rsid w:val="00D81F77"/>
    <w:rsid w:val="00D82779"/>
    <w:rsid w:val="00D82F54"/>
    <w:rsid w:val="00D83026"/>
    <w:rsid w:val="00D83045"/>
    <w:rsid w:val="00D8314F"/>
    <w:rsid w:val="00D83354"/>
    <w:rsid w:val="00D83B9A"/>
    <w:rsid w:val="00D844D3"/>
    <w:rsid w:val="00D855A5"/>
    <w:rsid w:val="00D855E1"/>
    <w:rsid w:val="00D857E6"/>
    <w:rsid w:val="00D85885"/>
    <w:rsid w:val="00D8653A"/>
    <w:rsid w:val="00D865F0"/>
    <w:rsid w:val="00D8707F"/>
    <w:rsid w:val="00D871CE"/>
    <w:rsid w:val="00D87542"/>
    <w:rsid w:val="00D876D2"/>
    <w:rsid w:val="00D879B1"/>
    <w:rsid w:val="00D87D77"/>
    <w:rsid w:val="00D90174"/>
    <w:rsid w:val="00D91130"/>
    <w:rsid w:val="00D916CC"/>
    <w:rsid w:val="00D917C2"/>
    <w:rsid w:val="00D91AF5"/>
    <w:rsid w:val="00D91DE2"/>
    <w:rsid w:val="00D920CA"/>
    <w:rsid w:val="00D927D8"/>
    <w:rsid w:val="00D92BFA"/>
    <w:rsid w:val="00D935D1"/>
    <w:rsid w:val="00D936E6"/>
    <w:rsid w:val="00D9375F"/>
    <w:rsid w:val="00D937F8"/>
    <w:rsid w:val="00D93883"/>
    <w:rsid w:val="00D93A88"/>
    <w:rsid w:val="00D93B43"/>
    <w:rsid w:val="00D93D76"/>
    <w:rsid w:val="00D93D78"/>
    <w:rsid w:val="00D93F6A"/>
    <w:rsid w:val="00D93FAF"/>
    <w:rsid w:val="00D94046"/>
    <w:rsid w:val="00D940D3"/>
    <w:rsid w:val="00D945EB"/>
    <w:rsid w:val="00D9478A"/>
    <w:rsid w:val="00D94DB5"/>
    <w:rsid w:val="00D95202"/>
    <w:rsid w:val="00D95458"/>
    <w:rsid w:val="00D9598E"/>
    <w:rsid w:val="00D95B44"/>
    <w:rsid w:val="00D95C20"/>
    <w:rsid w:val="00D95E83"/>
    <w:rsid w:val="00D961B5"/>
    <w:rsid w:val="00D961C7"/>
    <w:rsid w:val="00D96BFE"/>
    <w:rsid w:val="00D96F7E"/>
    <w:rsid w:val="00D9778A"/>
    <w:rsid w:val="00D97B59"/>
    <w:rsid w:val="00D97C16"/>
    <w:rsid w:val="00D97D49"/>
    <w:rsid w:val="00DA022A"/>
    <w:rsid w:val="00DA025F"/>
    <w:rsid w:val="00DA04E9"/>
    <w:rsid w:val="00DA0755"/>
    <w:rsid w:val="00DA07A7"/>
    <w:rsid w:val="00DA08A5"/>
    <w:rsid w:val="00DA1D77"/>
    <w:rsid w:val="00DA23AB"/>
    <w:rsid w:val="00DA2B4B"/>
    <w:rsid w:val="00DA4512"/>
    <w:rsid w:val="00DA4A61"/>
    <w:rsid w:val="00DA4D03"/>
    <w:rsid w:val="00DA4EAF"/>
    <w:rsid w:val="00DA5A16"/>
    <w:rsid w:val="00DA6949"/>
    <w:rsid w:val="00DA7D0B"/>
    <w:rsid w:val="00DB07CA"/>
    <w:rsid w:val="00DB0823"/>
    <w:rsid w:val="00DB0A27"/>
    <w:rsid w:val="00DB0E2A"/>
    <w:rsid w:val="00DB111E"/>
    <w:rsid w:val="00DB19F5"/>
    <w:rsid w:val="00DB2629"/>
    <w:rsid w:val="00DB2718"/>
    <w:rsid w:val="00DB2773"/>
    <w:rsid w:val="00DB27E9"/>
    <w:rsid w:val="00DB2A06"/>
    <w:rsid w:val="00DB383F"/>
    <w:rsid w:val="00DB3A50"/>
    <w:rsid w:val="00DB4D6A"/>
    <w:rsid w:val="00DB52B9"/>
    <w:rsid w:val="00DB532F"/>
    <w:rsid w:val="00DB53D6"/>
    <w:rsid w:val="00DB5641"/>
    <w:rsid w:val="00DB5CC0"/>
    <w:rsid w:val="00DB5FF0"/>
    <w:rsid w:val="00DB63F1"/>
    <w:rsid w:val="00DB65D7"/>
    <w:rsid w:val="00DB6791"/>
    <w:rsid w:val="00DB6B19"/>
    <w:rsid w:val="00DB6C38"/>
    <w:rsid w:val="00DB6E05"/>
    <w:rsid w:val="00DB6E76"/>
    <w:rsid w:val="00DB72E7"/>
    <w:rsid w:val="00DB736F"/>
    <w:rsid w:val="00DB7445"/>
    <w:rsid w:val="00DB7D53"/>
    <w:rsid w:val="00DB7F62"/>
    <w:rsid w:val="00DC0464"/>
    <w:rsid w:val="00DC0632"/>
    <w:rsid w:val="00DC0787"/>
    <w:rsid w:val="00DC0F18"/>
    <w:rsid w:val="00DC1303"/>
    <w:rsid w:val="00DC1403"/>
    <w:rsid w:val="00DC345A"/>
    <w:rsid w:val="00DC389B"/>
    <w:rsid w:val="00DC3904"/>
    <w:rsid w:val="00DC394C"/>
    <w:rsid w:val="00DC42A4"/>
    <w:rsid w:val="00DC42EA"/>
    <w:rsid w:val="00DC4933"/>
    <w:rsid w:val="00DC558C"/>
    <w:rsid w:val="00DC569B"/>
    <w:rsid w:val="00DC5ED6"/>
    <w:rsid w:val="00DC5F7A"/>
    <w:rsid w:val="00DC6513"/>
    <w:rsid w:val="00DC693E"/>
    <w:rsid w:val="00DC723A"/>
    <w:rsid w:val="00DC7C31"/>
    <w:rsid w:val="00DD0C3F"/>
    <w:rsid w:val="00DD0DC3"/>
    <w:rsid w:val="00DD1CDA"/>
    <w:rsid w:val="00DD1F41"/>
    <w:rsid w:val="00DD26CC"/>
    <w:rsid w:val="00DD3543"/>
    <w:rsid w:val="00DD3766"/>
    <w:rsid w:val="00DD380F"/>
    <w:rsid w:val="00DD4656"/>
    <w:rsid w:val="00DD503F"/>
    <w:rsid w:val="00DD514C"/>
    <w:rsid w:val="00DD5BE3"/>
    <w:rsid w:val="00DD60E2"/>
    <w:rsid w:val="00DD691A"/>
    <w:rsid w:val="00DD6DE7"/>
    <w:rsid w:val="00DD71D6"/>
    <w:rsid w:val="00DD73A8"/>
    <w:rsid w:val="00DD73C9"/>
    <w:rsid w:val="00DD7687"/>
    <w:rsid w:val="00DD7B55"/>
    <w:rsid w:val="00DE0569"/>
    <w:rsid w:val="00DE0797"/>
    <w:rsid w:val="00DE08C3"/>
    <w:rsid w:val="00DE094A"/>
    <w:rsid w:val="00DE17FA"/>
    <w:rsid w:val="00DE1971"/>
    <w:rsid w:val="00DE1ACD"/>
    <w:rsid w:val="00DE1DAB"/>
    <w:rsid w:val="00DE1F29"/>
    <w:rsid w:val="00DE20A2"/>
    <w:rsid w:val="00DE261E"/>
    <w:rsid w:val="00DE269D"/>
    <w:rsid w:val="00DE2C35"/>
    <w:rsid w:val="00DE30DA"/>
    <w:rsid w:val="00DE3288"/>
    <w:rsid w:val="00DE4BC3"/>
    <w:rsid w:val="00DE4BE6"/>
    <w:rsid w:val="00DE4E52"/>
    <w:rsid w:val="00DE52B7"/>
    <w:rsid w:val="00DE59EE"/>
    <w:rsid w:val="00DE6636"/>
    <w:rsid w:val="00DE6C5F"/>
    <w:rsid w:val="00DE6E8C"/>
    <w:rsid w:val="00DE70EA"/>
    <w:rsid w:val="00DF0175"/>
    <w:rsid w:val="00DF0B89"/>
    <w:rsid w:val="00DF0CFA"/>
    <w:rsid w:val="00DF131B"/>
    <w:rsid w:val="00DF152E"/>
    <w:rsid w:val="00DF164A"/>
    <w:rsid w:val="00DF299E"/>
    <w:rsid w:val="00DF2BC6"/>
    <w:rsid w:val="00DF3044"/>
    <w:rsid w:val="00DF353C"/>
    <w:rsid w:val="00DF3DF8"/>
    <w:rsid w:val="00DF4216"/>
    <w:rsid w:val="00DF46B7"/>
    <w:rsid w:val="00DF46C8"/>
    <w:rsid w:val="00DF476B"/>
    <w:rsid w:val="00DF4978"/>
    <w:rsid w:val="00DF55D6"/>
    <w:rsid w:val="00DF58F4"/>
    <w:rsid w:val="00DF5AAF"/>
    <w:rsid w:val="00DF6074"/>
    <w:rsid w:val="00DF6BF4"/>
    <w:rsid w:val="00DF6FD0"/>
    <w:rsid w:val="00DF73B6"/>
    <w:rsid w:val="00DF751A"/>
    <w:rsid w:val="00DF781C"/>
    <w:rsid w:val="00E00270"/>
    <w:rsid w:val="00E008D8"/>
    <w:rsid w:val="00E00C6B"/>
    <w:rsid w:val="00E00D29"/>
    <w:rsid w:val="00E01738"/>
    <w:rsid w:val="00E02A3C"/>
    <w:rsid w:val="00E02F70"/>
    <w:rsid w:val="00E032F6"/>
    <w:rsid w:val="00E03F4C"/>
    <w:rsid w:val="00E03F4E"/>
    <w:rsid w:val="00E0439C"/>
    <w:rsid w:val="00E049A5"/>
    <w:rsid w:val="00E051FB"/>
    <w:rsid w:val="00E056B0"/>
    <w:rsid w:val="00E05984"/>
    <w:rsid w:val="00E05C27"/>
    <w:rsid w:val="00E05C2B"/>
    <w:rsid w:val="00E05C4F"/>
    <w:rsid w:val="00E05CD1"/>
    <w:rsid w:val="00E063DE"/>
    <w:rsid w:val="00E0671B"/>
    <w:rsid w:val="00E06E82"/>
    <w:rsid w:val="00E07453"/>
    <w:rsid w:val="00E07DB1"/>
    <w:rsid w:val="00E07E7B"/>
    <w:rsid w:val="00E07F6A"/>
    <w:rsid w:val="00E10117"/>
    <w:rsid w:val="00E1064A"/>
    <w:rsid w:val="00E10961"/>
    <w:rsid w:val="00E10EA5"/>
    <w:rsid w:val="00E118AB"/>
    <w:rsid w:val="00E11C81"/>
    <w:rsid w:val="00E11E0F"/>
    <w:rsid w:val="00E11E5E"/>
    <w:rsid w:val="00E12077"/>
    <w:rsid w:val="00E121E9"/>
    <w:rsid w:val="00E129D1"/>
    <w:rsid w:val="00E12F2F"/>
    <w:rsid w:val="00E12FBA"/>
    <w:rsid w:val="00E1319F"/>
    <w:rsid w:val="00E13A48"/>
    <w:rsid w:val="00E13FB6"/>
    <w:rsid w:val="00E14ACF"/>
    <w:rsid w:val="00E14BAD"/>
    <w:rsid w:val="00E14D14"/>
    <w:rsid w:val="00E155C4"/>
    <w:rsid w:val="00E159EC"/>
    <w:rsid w:val="00E15AC4"/>
    <w:rsid w:val="00E15C68"/>
    <w:rsid w:val="00E16E4C"/>
    <w:rsid w:val="00E173EF"/>
    <w:rsid w:val="00E177CD"/>
    <w:rsid w:val="00E20A78"/>
    <w:rsid w:val="00E20B50"/>
    <w:rsid w:val="00E20B5E"/>
    <w:rsid w:val="00E20F69"/>
    <w:rsid w:val="00E20FC3"/>
    <w:rsid w:val="00E21906"/>
    <w:rsid w:val="00E221AF"/>
    <w:rsid w:val="00E224BF"/>
    <w:rsid w:val="00E22732"/>
    <w:rsid w:val="00E22B39"/>
    <w:rsid w:val="00E2398E"/>
    <w:rsid w:val="00E23A5C"/>
    <w:rsid w:val="00E2406F"/>
    <w:rsid w:val="00E24570"/>
    <w:rsid w:val="00E2459F"/>
    <w:rsid w:val="00E246BD"/>
    <w:rsid w:val="00E24B98"/>
    <w:rsid w:val="00E2527D"/>
    <w:rsid w:val="00E262A9"/>
    <w:rsid w:val="00E2688C"/>
    <w:rsid w:val="00E2693C"/>
    <w:rsid w:val="00E26F87"/>
    <w:rsid w:val="00E2710F"/>
    <w:rsid w:val="00E3047D"/>
    <w:rsid w:val="00E3066D"/>
    <w:rsid w:val="00E308F9"/>
    <w:rsid w:val="00E30AF9"/>
    <w:rsid w:val="00E31FB7"/>
    <w:rsid w:val="00E32363"/>
    <w:rsid w:val="00E32488"/>
    <w:rsid w:val="00E327E4"/>
    <w:rsid w:val="00E32E77"/>
    <w:rsid w:val="00E3313E"/>
    <w:rsid w:val="00E33575"/>
    <w:rsid w:val="00E33758"/>
    <w:rsid w:val="00E33B91"/>
    <w:rsid w:val="00E34C86"/>
    <w:rsid w:val="00E34DB8"/>
    <w:rsid w:val="00E35369"/>
    <w:rsid w:val="00E355D9"/>
    <w:rsid w:val="00E35682"/>
    <w:rsid w:val="00E356B6"/>
    <w:rsid w:val="00E35DF9"/>
    <w:rsid w:val="00E3649B"/>
    <w:rsid w:val="00E3697A"/>
    <w:rsid w:val="00E36C14"/>
    <w:rsid w:val="00E3745E"/>
    <w:rsid w:val="00E37A35"/>
    <w:rsid w:val="00E37B12"/>
    <w:rsid w:val="00E37BEF"/>
    <w:rsid w:val="00E37D65"/>
    <w:rsid w:val="00E403C7"/>
    <w:rsid w:val="00E40A27"/>
    <w:rsid w:val="00E41042"/>
    <w:rsid w:val="00E41074"/>
    <w:rsid w:val="00E4127C"/>
    <w:rsid w:val="00E41B14"/>
    <w:rsid w:val="00E41DD4"/>
    <w:rsid w:val="00E4219A"/>
    <w:rsid w:val="00E42241"/>
    <w:rsid w:val="00E424A0"/>
    <w:rsid w:val="00E425C4"/>
    <w:rsid w:val="00E42698"/>
    <w:rsid w:val="00E426C9"/>
    <w:rsid w:val="00E4274A"/>
    <w:rsid w:val="00E433FB"/>
    <w:rsid w:val="00E4381F"/>
    <w:rsid w:val="00E43B12"/>
    <w:rsid w:val="00E43E66"/>
    <w:rsid w:val="00E44353"/>
    <w:rsid w:val="00E443AB"/>
    <w:rsid w:val="00E444BC"/>
    <w:rsid w:val="00E4510E"/>
    <w:rsid w:val="00E45294"/>
    <w:rsid w:val="00E45661"/>
    <w:rsid w:val="00E46906"/>
    <w:rsid w:val="00E4697F"/>
    <w:rsid w:val="00E46A8F"/>
    <w:rsid w:val="00E46B21"/>
    <w:rsid w:val="00E46EA3"/>
    <w:rsid w:val="00E4783B"/>
    <w:rsid w:val="00E47D3D"/>
    <w:rsid w:val="00E47E7C"/>
    <w:rsid w:val="00E50223"/>
    <w:rsid w:val="00E5059B"/>
    <w:rsid w:val="00E50F61"/>
    <w:rsid w:val="00E51502"/>
    <w:rsid w:val="00E51789"/>
    <w:rsid w:val="00E51C1B"/>
    <w:rsid w:val="00E52143"/>
    <w:rsid w:val="00E52D13"/>
    <w:rsid w:val="00E52FD1"/>
    <w:rsid w:val="00E5332C"/>
    <w:rsid w:val="00E53353"/>
    <w:rsid w:val="00E535A6"/>
    <w:rsid w:val="00E53C45"/>
    <w:rsid w:val="00E53CE0"/>
    <w:rsid w:val="00E53DA7"/>
    <w:rsid w:val="00E540FC"/>
    <w:rsid w:val="00E5447C"/>
    <w:rsid w:val="00E54C11"/>
    <w:rsid w:val="00E55DB0"/>
    <w:rsid w:val="00E56721"/>
    <w:rsid w:val="00E5703B"/>
    <w:rsid w:val="00E577EC"/>
    <w:rsid w:val="00E57C4D"/>
    <w:rsid w:val="00E602BD"/>
    <w:rsid w:val="00E61A8D"/>
    <w:rsid w:val="00E62337"/>
    <w:rsid w:val="00E62809"/>
    <w:rsid w:val="00E63321"/>
    <w:rsid w:val="00E634AD"/>
    <w:rsid w:val="00E635BD"/>
    <w:rsid w:val="00E63675"/>
    <w:rsid w:val="00E638A7"/>
    <w:rsid w:val="00E63FAC"/>
    <w:rsid w:val="00E64141"/>
    <w:rsid w:val="00E645E9"/>
    <w:rsid w:val="00E646D8"/>
    <w:rsid w:val="00E64990"/>
    <w:rsid w:val="00E64B7F"/>
    <w:rsid w:val="00E64B94"/>
    <w:rsid w:val="00E64C9D"/>
    <w:rsid w:val="00E64F6C"/>
    <w:rsid w:val="00E6537A"/>
    <w:rsid w:val="00E65567"/>
    <w:rsid w:val="00E65B31"/>
    <w:rsid w:val="00E65B3E"/>
    <w:rsid w:val="00E65F2E"/>
    <w:rsid w:val="00E65FF3"/>
    <w:rsid w:val="00E660EC"/>
    <w:rsid w:val="00E6618A"/>
    <w:rsid w:val="00E66BA9"/>
    <w:rsid w:val="00E67470"/>
    <w:rsid w:val="00E67A24"/>
    <w:rsid w:val="00E67C62"/>
    <w:rsid w:val="00E67D62"/>
    <w:rsid w:val="00E7025B"/>
    <w:rsid w:val="00E70552"/>
    <w:rsid w:val="00E712A0"/>
    <w:rsid w:val="00E712F8"/>
    <w:rsid w:val="00E71416"/>
    <w:rsid w:val="00E7174D"/>
    <w:rsid w:val="00E7235E"/>
    <w:rsid w:val="00E72B05"/>
    <w:rsid w:val="00E72E0E"/>
    <w:rsid w:val="00E72FE7"/>
    <w:rsid w:val="00E73D0E"/>
    <w:rsid w:val="00E74A39"/>
    <w:rsid w:val="00E753E8"/>
    <w:rsid w:val="00E75609"/>
    <w:rsid w:val="00E75790"/>
    <w:rsid w:val="00E75BCD"/>
    <w:rsid w:val="00E76031"/>
    <w:rsid w:val="00E761A5"/>
    <w:rsid w:val="00E76714"/>
    <w:rsid w:val="00E80437"/>
    <w:rsid w:val="00E81031"/>
    <w:rsid w:val="00E81525"/>
    <w:rsid w:val="00E8184C"/>
    <w:rsid w:val="00E81B55"/>
    <w:rsid w:val="00E81EF2"/>
    <w:rsid w:val="00E823A0"/>
    <w:rsid w:val="00E824EF"/>
    <w:rsid w:val="00E826FF"/>
    <w:rsid w:val="00E82AF9"/>
    <w:rsid w:val="00E82CEF"/>
    <w:rsid w:val="00E83A79"/>
    <w:rsid w:val="00E83B1E"/>
    <w:rsid w:val="00E83D05"/>
    <w:rsid w:val="00E83DC4"/>
    <w:rsid w:val="00E83DCE"/>
    <w:rsid w:val="00E842A8"/>
    <w:rsid w:val="00E84360"/>
    <w:rsid w:val="00E84746"/>
    <w:rsid w:val="00E847B3"/>
    <w:rsid w:val="00E84E89"/>
    <w:rsid w:val="00E859DB"/>
    <w:rsid w:val="00E85AEE"/>
    <w:rsid w:val="00E86400"/>
    <w:rsid w:val="00E866B5"/>
    <w:rsid w:val="00E86804"/>
    <w:rsid w:val="00E86871"/>
    <w:rsid w:val="00E870BF"/>
    <w:rsid w:val="00E871BC"/>
    <w:rsid w:val="00E87A23"/>
    <w:rsid w:val="00E90229"/>
    <w:rsid w:val="00E90ABA"/>
    <w:rsid w:val="00E90B3E"/>
    <w:rsid w:val="00E9108A"/>
    <w:rsid w:val="00E9166A"/>
    <w:rsid w:val="00E91899"/>
    <w:rsid w:val="00E92268"/>
    <w:rsid w:val="00E9246B"/>
    <w:rsid w:val="00E92604"/>
    <w:rsid w:val="00E927A2"/>
    <w:rsid w:val="00E928ED"/>
    <w:rsid w:val="00E936C2"/>
    <w:rsid w:val="00E93B8A"/>
    <w:rsid w:val="00E942AE"/>
    <w:rsid w:val="00E949C6"/>
    <w:rsid w:val="00E94CDE"/>
    <w:rsid w:val="00E95B4C"/>
    <w:rsid w:val="00E96274"/>
    <w:rsid w:val="00E963E2"/>
    <w:rsid w:val="00E96B3D"/>
    <w:rsid w:val="00E96D36"/>
    <w:rsid w:val="00E97421"/>
    <w:rsid w:val="00E974B7"/>
    <w:rsid w:val="00E97DD3"/>
    <w:rsid w:val="00EA00A6"/>
    <w:rsid w:val="00EA1134"/>
    <w:rsid w:val="00EA1489"/>
    <w:rsid w:val="00EA148E"/>
    <w:rsid w:val="00EA1A6D"/>
    <w:rsid w:val="00EA21DA"/>
    <w:rsid w:val="00EA28D1"/>
    <w:rsid w:val="00EA2AE4"/>
    <w:rsid w:val="00EA335A"/>
    <w:rsid w:val="00EA3D63"/>
    <w:rsid w:val="00EA4DF2"/>
    <w:rsid w:val="00EA4F3D"/>
    <w:rsid w:val="00EA5342"/>
    <w:rsid w:val="00EA55C1"/>
    <w:rsid w:val="00EA568C"/>
    <w:rsid w:val="00EA5AC0"/>
    <w:rsid w:val="00EA61F0"/>
    <w:rsid w:val="00EA6854"/>
    <w:rsid w:val="00EA7391"/>
    <w:rsid w:val="00EB0265"/>
    <w:rsid w:val="00EB05C9"/>
    <w:rsid w:val="00EB05FE"/>
    <w:rsid w:val="00EB0AA6"/>
    <w:rsid w:val="00EB1273"/>
    <w:rsid w:val="00EB1636"/>
    <w:rsid w:val="00EB16A8"/>
    <w:rsid w:val="00EB1C22"/>
    <w:rsid w:val="00EB1ED2"/>
    <w:rsid w:val="00EB22C0"/>
    <w:rsid w:val="00EB396F"/>
    <w:rsid w:val="00EB400B"/>
    <w:rsid w:val="00EB4B77"/>
    <w:rsid w:val="00EB4F3B"/>
    <w:rsid w:val="00EB50F0"/>
    <w:rsid w:val="00EB5C40"/>
    <w:rsid w:val="00EB5DB5"/>
    <w:rsid w:val="00EB600D"/>
    <w:rsid w:val="00EB63F3"/>
    <w:rsid w:val="00EB66C1"/>
    <w:rsid w:val="00EB672B"/>
    <w:rsid w:val="00EB6A2C"/>
    <w:rsid w:val="00EB6B83"/>
    <w:rsid w:val="00EB6DA9"/>
    <w:rsid w:val="00EB7173"/>
    <w:rsid w:val="00EB7804"/>
    <w:rsid w:val="00EC0343"/>
    <w:rsid w:val="00EC08AD"/>
    <w:rsid w:val="00EC0938"/>
    <w:rsid w:val="00EC0F29"/>
    <w:rsid w:val="00EC1501"/>
    <w:rsid w:val="00EC1828"/>
    <w:rsid w:val="00EC18E9"/>
    <w:rsid w:val="00EC1B2E"/>
    <w:rsid w:val="00EC1F21"/>
    <w:rsid w:val="00EC2514"/>
    <w:rsid w:val="00EC287C"/>
    <w:rsid w:val="00EC2AB4"/>
    <w:rsid w:val="00EC2B87"/>
    <w:rsid w:val="00EC3089"/>
    <w:rsid w:val="00EC3168"/>
    <w:rsid w:val="00EC4214"/>
    <w:rsid w:val="00EC4338"/>
    <w:rsid w:val="00EC45B6"/>
    <w:rsid w:val="00EC4966"/>
    <w:rsid w:val="00EC4ABA"/>
    <w:rsid w:val="00EC4FF0"/>
    <w:rsid w:val="00EC5263"/>
    <w:rsid w:val="00EC59EB"/>
    <w:rsid w:val="00EC6229"/>
    <w:rsid w:val="00EC6B44"/>
    <w:rsid w:val="00EC73C2"/>
    <w:rsid w:val="00EC749B"/>
    <w:rsid w:val="00EC760C"/>
    <w:rsid w:val="00EC7CED"/>
    <w:rsid w:val="00ED025B"/>
    <w:rsid w:val="00ED0541"/>
    <w:rsid w:val="00ED0A14"/>
    <w:rsid w:val="00ED0D39"/>
    <w:rsid w:val="00ED0EA7"/>
    <w:rsid w:val="00ED172E"/>
    <w:rsid w:val="00ED179E"/>
    <w:rsid w:val="00ED19D4"/>
    <w:rsid w:val="00ED1F4F"/>
    <w:rsid w:val="00ED33A3"/>
    <w:rsid w:val="00ED353C"/>
    <w:rsid w:val="00ED36F0"/>
    <w:rsid w:val="00ED3E4C"/>
    <w:rsid w:val="00ED41B5"/>
    <w:rsid w:val="00ED41CA"/>
    <w:rsid w:val="00ED41DC"/>
    <w:rsid w:val="00ED42A0"/>
    <w:rsid w:val="00ED4972"/>
    <w:rsid w:val="00ED5433"/>
    <w:rsid w:val="00ED5541"/>
    <w:rsid w:val="00ED5746"/>
    <w:rsid w:val="00ED63D1"/>
    <w:rsid w:val="00ED6D2B"/>
    <w:rsid w:val="00ED78DB"/>
    <w:rsid w:val="00ED7DE0"/>
    <w:rsid w:val="00EE0119"/>
    <w:rsid w:val="00EE03EA"/>
    <w:rsid w:val="00EE0BC0"/>
    <w:rsid w:val="00EE0E63"/>
    <w:rsid w:val="00EE11C7"/>
    <w:rsid w:val="00EE123E"/>
    <w:rsid w:val="00EE1558"/>
    <w:rsid w:val="00EE1B0C"/>
    <w:rsid w:val="00EE282B"/>
    <w:rsid w:val="00EE298D"/>
    <w:rsid w:val="00EE2B5D"/>
    <w:rsid w:val="00EE2BB3"/>
    <w:rsid w:val="00EE2D57"/>
    <w:rsid w:val="00EE3291"/>
    <w:rsid w:val="00EE343A"/>
    <w:rsid w:val="00EE352C"/>
    <w:rsid w:val="00EE37A3"/>
    <w:rsid w:val="00EE3A35"/>
    <w:rsid w:val="00EE3E91"/>
    <w:rsid w:val="00EE4E61"/>
    <w:rsid w:val="00EE4F91"/>
    <w:rsid w:val="00EE53EB"/>
    <w:rsid w:val="00EE6737"/>
    <w:rsid w:val="00EE6D5C"/>
    <w:rsid w:val="00EE7093"/>
    <w:rsid w:val="00EE70C3"/>
    <w:rsid w:val="00EE7375"/>
    <w:rsid w:val="00EE7465"/>
    <w:rsid w:val="00EE75B5"/>
    <w:rsid w:val="00EE7E8F"/>
    <w:rsid w:val="00EF03CC"/>
    <w:rsid w:val="00EF16EF"/>
    <w:rsid w:val="00EF2215"/>
    <w:rsid w:val="00EF302F"/>
    <w:rsid w:val="00EF3061"/>
    <w:rsid w:val="00EF3B49"/>
    <w:rsid w:val="00EF45CF"/>
    <w:rsid w:val="00EF48D8"/>
    <w:rsid w:val="00EF4B52"/>
    <w:rsid w:val="00EF5517"/>
    <w:rsid w:val="00EF596F"/>
    <w:rsid w:val="00EF5C7D"/>
    <w:rsid w:val="00EF5CDA"/>
    <w:rsid w:val="00EF63E5"/>
    <w:rsid w:val="00EF6DC4"/>
    <w:rsid w:val="00EF70BA"/>
    <w:rsid w:val="00EF781E"/>
    <w:rsid w:val="00EF7E82"/>
    <w:rsid w:val="00F0000A"/>
    <w:rsid w:val="00F002A4"/>
    <w:rsid w:val="00F0031B"/>
    <w:rsid w:val="00F005E5"/>
    <w:rsid w:val="00F0071E"/>
    <w:rsid w:val="00F00B5D"/>
    <w:rsid w:val="00F00BE5"/>
    <w:rsid w:val="00F00CF5"/>
    <w:rsid w:val="00F013CB"/>
    <w:rsid w:val="00F018BF"/>
    <w:rsid w:val="00F01B1E"/>
    <w:rsid w:val="00F01B25"/>
    <w:rsid w:val="00F01FA5"/>
    <w:rsid w:val="00F02214"/>
    <w:rsid w:val="00F02230"/>
    <w:rsid w:val="00F0267C"/>
    <w:rsid w:val="00F03379"/>
    <w:rsid w:val="00F03425"/>
    <w:rsid w:val="00F0345E"/>
    <w:rsid w:val="00F036C6"/>
    <w:rsid w:val="00F03CE6"/>
    <w:rsid w:val="00F03FC4"/>
    <w:rsid w:val="00F03FF1"/>
    <w:rsid w:val="00F04910"/>
    <w:rsid w:val="00F04BF2"/>
    <w:rsid w:val="00F05790"/>
    <w:rsid w:val="00F05CF9"/>
    <w:rsid w:val="00F06960"/>
    <w:rsid w:val="00F06967"/>
    <w:rsid w:val="00F07390"/>
    <w:rsid w:val="00F0755E"/>
    <w:rsid w:val="00F07E52"/>
    <w:rsid w:val="00F07E70"/>
    <w:rsid w:val="00F10202"/>
    <w:rsid w:val="00F106E4"/>
    <w:rsid w:val="00F10B1D"/>
    <w:rsid w:val="00F10ECA"/>
    <w:rsid w:val="00F11011"/>
    <w:rsid w:val="00F1103C"/>
    <w:rsid w:val="00F115D6"/>
    <w:rsid w:val="00F1171C"/>
    <w:rsid w:val="00F119FB"/>
    <w:rsid w:val="00F11F70"/>
    <w:rsid w:val="00F122B3"/>
    <w:rsid w:val="00F12333"/>
    <w:rsid w:val="00F1255D"/>
    <w:rsid w:val="00F12F5F"/>
    <w:rsid w:val="00F137C0"/>
    <w:rsid w:val="00F145D4"/>
    <w:rsid w:val="00F14AEC"/>
    <w:rsid w:val="00F14ED0"/>
    <w:rsid w:val="00F15ED6"/>
    <w:rsid w:val="00F15F5B"/>
    <w:rsid w:val="00F16106"/>
    <w:rsid w:val="00F16210"/>
    <w:rsid w:val="00F164D5"/>
    <w:rsid w:val="00F16A67"/>
    <w:rsid w:val="00F1792F"/>
    <w:rsid w:val="00F17A56"/>
    <w:rsid w:val="00F20151"/>
    <w:rsid w:val="00F20474"/>
    <w:rsid w:val="00F209A2"/>
    <w:rsid w:val="00F20E3F"/>
    <w:rsid w:val="00F20E9E"/>
    <w:rsid w:val="00F21AB6"/>
    <w:rsid w:val="00F223D4"/>
    <w:rsid w:val="00F223D5"/>
    <w:rsid w:val="00F2283A"/>
    <w:rsid w:val="00F22A84"/>
    <w:rsid w:val="00F22A8F"/>
    <w:rsid w:val="00F22ED6"/>
    <w:rsid w:val="00F23EB4"/>
    <w:rsid w:val="00F24BD2"/>
    <w:rsid w:val="00F2529A"/>
    <w:rsid w:val="00F25333"/>
    <w:rsid w:val="00F2565F"/>
    <w:rsid w:val="00F25A72"/>
    <w:rsid w:val="00F25BCF"/>
    <w:rsid w:val="00F25F5E"/>
    <w:rsid w:val="00F260CB"/>
    <w:rsid w:val="00F26C19"/>
    <w:rsid w:val="00F271A9"/>
    <w:rsid w:val="00F271FE"/>
    <w:rsid w:val="00F27649"/>
    <w:rsid w:val="00F27A70"/>
    <w:rsid w:val="00F27B0A"/>
    <w:rsid w:val="00F30120"/>
    <w:rsid w:val="00F30F64"/>
    <w:rsid w:val="00F3192A"/>
    <w:rsid w:val="00F31E2D"/>
    <w:rsid w:val="00F31FC8"/>
    <w:rsid w:val="00F322C3"/>
    <w:rsid w:val="00F32553"/>
    <w:rsid w:val="00F32690"/>
    <w:rsid w:val="00F327CE"/>
    <w:rsid w:val="00F332ED"/>
    <w:rsid w:val="00F33552"/>
    <w:rsid w:val="00F335AB"/>
    <w:rsid w:val="00F33C8D"/>
    <w:rsid w:val="00F342BD"/>
    <w:rsid w:val="00F3444F"/>
    <w:rsid w:val="00F348D1"/>
    <w:rsid w:val="00F35955"/>
    <w:rsid w:val="00F35B8C"/>
    <w:rsid w:val="00F36249"/>
    <w:rsid w:val="00F3669D"/>
    <w:rsid w:val="00F36C33"/>
    <w:rsid w:val="00F37660"/>
    <w:rsid w:val="00F378C1"/>
    <w:rsid w:val="00F40730"/>
    <w:rsid w:val="00F40CC5"/>
    <w:rsid w:val="00F40E48"/>
    <w:rsid w:val="00F410B5"/>
    <w:rsid w:val="00F41836"/>
    <w:rsid w:val="00F41A8A"/>
    <w:rsid w:val="00F41AF4"/>
    <w:rsid w:val="00F41DE0"/>
    <w:rsid w:val="00F425B9"/>
    <w:rsid w:val="00F42FBC"/>
    <w:rsid w:val="00F4385E"/>
    <w:rsid w:val="00F43B0D"/>
    <w:rsid w:val="00F43BFB"/>
    <w:rsid w:val="00F43F5D"/>
    <w:rsid w:val="00F4401D"/>
    <w:rsid w:val="00F44398"/>
    <w:rsid w:val="00F44758"/>
    <w:rsid w:val="00F448C3"/>
    <w:rsid w:val="00F44C53"/>
    <w:rsid w:val="00F45085"/>
    <w:rsid w:val="00F450F4"/>
    <w:rsid w:val="00F45564"/>
    <w:rsid w:val="00F4632F"/>
    <w:rsid w:val="00F463F1"/>
    <w:rsid w:val="00F46892"/>
    <w:rsid w:val="00F469B2"/>
    <w:rsid w:val="00F47200"/>
    <w:rsid w:val="00F47953"/>
    <w:rsid w:val="00F502B2"/>
    <w:rsid w:val="00F50572"/>
    <w:rsid w:val="00F505BC"/>
    <w:rsid w:val="00F507D5"/>
    <w:rsid w:val="00F50E5A"/>
    <w:rsid w:val="00F50EC6"/>
    <w:rsid w:val="00F511FB"/>
    <w:rsid w:val="00F51333"/>
    <w:rsid w:val="00F52456"/>
    <w:rsid w:val="00F5281E"/>
    <w:rsid w:val="00F531AA"/>
    <w:rsid w:val="00F536B7"/>
    <w:rsid w:val="00F537AD"/>
    <w:rsid w:val="00F53BDD"/>
    <w:rsid w:val="00F53FEE"/>
    <w:rsid w:val="00F548FA"/>
    <w:rsid w:val="00F54DAB"/>
    <w:rsid w:val="00F54F54"/>
    <w:rsid w:val="00F559D6"/>
    <w:rsid w:val="00F55A97"/>
    <w:rsid w:val="00F55CC6"/>
    <w:rsid w:val="00F55CDC"/>
    <w:rsid w:val="00F56161"/>
    <w:rsid w:val="00F561CC"/>
    <w:rsid w:val="00F563CD"/>
    <w:rsid w:val="00F56862"/>
    <w:rsid w:val="00F56FE5"/>
    <w:rsid w:val="00F575AF"/>
    <w:rsid w:val="00F57925"/>
    <w:rsid w:val="00F57A83"/>
    <w:rsid w:val="00F600A6"/>
    <w:rsid w:val="00F604F4"/>
    <w:rsid w:val="00F60AFA"/>
    <w:rsid w:val="00F61098"/>
    <w:rsid w:val="00F6112B"/>
    <w:rsid w:val="00F6117F"/>
    <w:rsid w:val="00F62588"/>
    <w:rsid w:val="00F627EB"/>
    <w:rsid w:val="00F629BF"/>
    <w:rsid w:val="00F632EA"/>
    <w:rsid w:val="00F633D8"/>
    <w:rsid w:val="00F6431B"/>
    <w:rsid w:val="00F64B3B"/>
    <w:rsid w:val="00F64BF7"/>
    <w:rsid w:val="00F64C76"/>
    <w:rsid w:val="00F64CCC"/>
    <w:rsid w:val="00F64ED6"/>
    <w:rsid w:val="00F650D5"/>
    <w:rsid w:val="00F65747"/>
    <w:rsid w:val="00F65AD5"/>
    <w:rsid w:val="00F65F15"/>
    <w:rsid w:val="00F66072"/>
    <w:rsid w:val="00F660F7"/>
    <w:rsid w:val="00F6638A"/>
    <w:rsid w:val="00F66673"/>
    <w:rsid w:val="00F6692A"/>
    <w:rsid w:val="00F66E97"/>
    <w:rsid w:val="00F6754F"/>
    <w:rsid w:val="00F6755D"/>
    <w:rsid w:val="00F675B0"/>
    <w:rsid w:val="00F679A8"/>
    <w:rsid w:val="00F67AB4"/>
    <w:rsid w:val="00F67C61"/>
    <w:rsid w:val="00F70564"/>
    <w:rsid w:val="00F7076A"/>
    <w:rsid w:val="00F707C9"/>
    <w:rsid w:val="00F70DE9"/>
    <w:rsid w:val="00F70E58"/>
    <w:rsid w:val="00F710FE"/>
    <w:rsid w:val="00F7128C"/>
    <w:rsid w:val="00F719B2"/>
    <w:rsid w:val="00F71BEA"/>
    <w:rsid w:val="00F72864"/>
    <w:rsid w:val="00F73DA6"/>
    <w:rsid w:val="00F73E69"/>
    <w:rsid w:val="00F73EE0"/>
    <w:rsid w:val="00F7401E"/>
    <w:rsid w:val="00F74196"/>
    <w:rsid w:val="00F744F4"/>
    <w:rsid w:val="00F74887"/>
    <w:rsid w:val="00F74A01"/>
    <w:rsid w:val="00F74A84"/>
    <w:rsid w:val="00F74AA8"/>
    <w:rsid w:val="00F74F89"/>
    <w:rsid w:val="00F753FB"/>
    <w:rsid w:val="00F75A10"/>
    <w:rsid w:val="00F75D9F"/>
    <w:rsid w:val="00F76063"/>
    <w:rsid w:val="00F76A4B"/>
    <w:rsid w:val="00F76D11"/>
    <w:rsid w:val="00F77276"/>
    <w:rsid w:val="00F77A8D"/>
    <w:rsid w:val="00F77D27"/>
    <w:rsid w:val="00F77E98"/>
    <w:rsid w:val="00F80013"/>
    <w:rsid w:val="00F8095A"/>
    <w:rsid w:val="00F81308"/>
    <w:rsid w:val="00F8143C"/>
    <w:rsid w:val="00F81441"/>
    <w:rsid w:val="00F81476"/>
    <w:rsid w:val="00F81681"/>
    <w:rsid w:val="00F81731"/>
    <w:rsid w:val="00F81E11"/>
    <w:rsid w:val="00F8260F"/>
    <w:rsid w:val="00F831F9"/>
    <w:rsid w:val="00F83228"/>
    <w:rsid w:val="00F834A7"/>
    <w:rsid w:val="00F847A0"/>
    <w:rsid w:val="00F85ABF"/>
    <w:rsid w:val="00F85D19"/>
    <w:rsid w:val="00F85ED2"/>
    <w:rsid w:val="00F860A3"/>
    <w:rsid w:val="00F864FC"/>
    <w:rsid w:val="00F86808"/>
    <w:rsid w:val="00F87387"/>
    <w:rsid w:val="00F8741E"/>
    <w:rsid w:val="00F8760E"/>
    <w:rsid w:val="00F87620"/>
    <w:rsid w:val="00F8773E"/>
    <w:rsid w:val="00F9082B"/>
    <w:rsid w:val="00F90A1D"/>
    <w:rsid w:val="00F9142D"/>
    <w:rsid w:val="00F915A4"/>
    <w:rsid w:val="00F91C3D"/>
    <w:rsid w:val="00F91EF0"/>
    <w:rsid w:val="00F92104"/>
    <w:rsid w:val="00F9227B"/>
    <w:rsid w:val="00F92733"/>
    <w:rsid w:val="00F92E2B"/>
    <w:rsid w:val="00F93676"/>
    <w:rsid w:val="00F9370C"/>
    <w:rsid w:val="00F93A3D"/>
    <w:rsid w:val="00F93C72"/>
    <w:rsid w:val="00F93C99"/>
    <w:rsid w:val="00F93DCD"/>
    <w:rsid w:val="00F94009"/>
    <w:rsid w:val="00F9412A"/>
    <w:rsid w:val="00F945FC"/>
    <w:rsid w:val="00F9466A"/>
    <w:rsid w:val="00F94C16"/>
    <w:rsid w:val="00F94D3F"/>
    <w:rsid w:val="00F94EB4"/>
    <w:rsid w:val="00F94FF3"/>
    <w:rsid w:val="00F9591A"/>
    <w:rsid w:val="00F960A2"/>
    <w:rsid w:val="00F9689E"/>
    <w:rsid w:val="00F96F26"/>
    <w:rsid w:val="00F970A3"/>
    <w:rsid w:val="00F97F91"/>
    <w:rsid w:val="00FA03A6"/>
    <w:rsid w:val="00FA03D6"/>
    <w:rsid w:val="00FA052F"/>
    <w:rsid w:val="00FA066D"/>
    <w:rsid w:val="00FA0956"/>
    <w:rsid w:val="00FA0FB3"/>
    <w:rsid w:val="00FA1118"/>
    <w:rsid w:val="00FA1126"/>
    <w:rsid w:val="00FA1816"/>
    <w:rsid w:val="00FA1B03"/>
    <w:rsid w:val="00FA24F3"/>
    <w:rsid w:val="00FA263E"/>
    <w:rsid w:val="00FA2798"/>
    <w:rsid w:val="00FA2D84"/>
    <w:rsid w:val="00FA3679"/>
    <w:rsid w:val="00FA3A4D"/>
    <w:rsid w:val="00FA41F1"/>
    <w:rsid w:val="00FA42BC"/>
    <w:rsid w:val="00FA4635"/>
    <w:rsid w:val="00FA509C"/>
    <w:rsid w:val="00FA5180"/>
    <w:rsid w:val="00FA52A1"/>
    <w:rsid w:val="00FA58CA"/>
    <w:rsid w:val="00FA5C21"/>
    <w:rsid w:val="00FA5FCE"/>
    <w:rsid w:val="00FA655C"/>
    <w:rsid w:val="00FA6B08"/>
    <w:rsid w:val="00FA6B30"/>
    <w:rsid w:val="00FA6C13"/>
    <w:rsid w:val="00FA761A"/>
    <w:rsid w:val="00FA76A5"/>
    <w:rsid w:val="00FA786A"/>
    <w:rsid w:val="00FA7DA0"/>
    <w:rsid w:val="00FB0515"/>
    <w:rsid w:val="00FB0EE9"/>
    <w:rsid w:val="00FB0EFB"/>
    <w:rsid w:val="00FB0F8A"/>
    <w:rsid w:val="00FB11F1"/>
    <w:rsid w:val="00FB1300"/>
    <w:rsid w:val="00FB13B2"/>
    <w:rsid w:val="00FB19BF"/>
    <w:rsid w:val="00FB20F3"/>
    <w:rsid w:val="00FB252E"/>
    <w:rsid w:val="00FB2EB5"/>
    <w:rsid w:val="00FB2ED0"/>
    <w:rsid w:val="00FB30F6"/>
    <w:rsid w:val="00FB34E4"/>
    <w:rsid w:val="00FB38ED"/>
    <w:rsid w:val="00FB3A7C"/>
    <w:rsid w:val="00FB3DE3"/>
    <w:rsid w:val="00FB3F26"/>
    <w:rsid w:val="00FB4353"/>
    <w:rsid w:val="00FB4C8E"/>
    <w:rsid w:val="00FB4D15"/>
    <w:rsid w:val="00FB4D9E"/>
    <w:rsid w:val="00FB4E84"/>
    <w:rsid w:val="00FB588A"/>
    <w:rsid w:val="00FB5B7C"/>
    <w:rsid w:val="00FB6302"/>
    <w:rsid w:val="00FB68DD"/>
    <w:rsid w:val="00FB7654"/>
    <w:rsid w:val="00FB7718"/>
    <w:rsid w:val="00FB7F99"/>
    <w:rsid w:val="00FC02F4"/>
    <w:rsid w:val="00FC2683"/>
    <w:rsid w:val="00FC2810"/>
    <w:rsid w:val="00FC299F"/>
    <w:rsid w:val="00FC3213"/>
    <w:rsid w:val="00FC3C6C"/>
    <w:rsid w:val="00FC48C6"/>
    <w:rsid w:val="00FC4A91"/>
    <w:rsid w:val="00FC4E0B"/>
    <w:rsid w:val="00FC5B7C"/>
    <w:rsid w:val="00FC6141"/>
    <w:rsid w:val="00FC623A"/>
    <w:rsid w:val="00FC646D"/>
    <w:rsid w:val="00FC65E5"/>
    <w:rsid w:val="00FC665B"/>
    <w:rsid w:val="00FC6C78"/>
    <w:rsid w:val="00FC6CEF"/>
    <w:rsid w:val="00FC6E1D"/>
    <w:rsid w:val="00FC740E"/>
    <w:rsid w:val="00FC7470"/>
    <w:rsid w:val="00FD02CC"/>
    <w:rsid w:val="00FD0726"/>
    <w:rsid w:val="00FD1685"/>
    <w:rsid w:val="00FD1AA4"/>
    <w:rsid w:val="00FD1BD4"/>
    <w:rsid w:val="00FD1EA8"/>
    <w:rsid w:val="00FD2DBC"/>
    <w:rsid w:val="00FD2FA7"/>
    <w:rsid w:val="00FD3B87"/>
    <w:rsid w:val="00FD4B79"/>
    <w:rsid w:val="00FD5465"/>
    <w:rsid w:val="00FD58EF"/>
    <w:rsid w:val="00FD5BC9"/>
    <w:rsid w:val="00FD620D"/>
    <w:rsid w:val="00FD64B8"/>
    <w:rsid w:val="00FD667B"/>
    <w:rsid w:val="00FD7165"/>
    <w:rsid w:val="00FD7EE3"/>
    <w:rsid w:val="00FE00CF"/>
    <w:rsid w:val="00FE013B"/>
    <w:rsid w:val="00FE0207"/>
    <w:rsid w:val="00FE1225"/>
    <w:rsid w:val="00FE1303"/>
    <w:rsid w:val="00FE1498"/>
    <w:rsid w:val="00FE1ABB"/>
    <w:rsid w:val="00FE291B"/>
    <w:rsid w:val="00FE2B5F"/>
    <w:rsid w:val="00FE330C"/>
    <w:rsid w:val="00FE3B4E"/>
    <w:rsid w:val="00FE40C1"/>
    <w:rsid w:val="00FE410C"/>
    <w:rsid w:val="00FE4DBC"/>
    <w:rsid w:val="00FE50B4"/>
    <w:rsid w:val="00FE546C"/>
    <w:rsid w:val="00FE54AE"/>
    <w:rsid w:val="00FE5671"/>
    <w:rsid w:val="00FE59BB"/>
    <w:rsid w:val="00FE5E25"/>
    <w:rsid w:val="00FE6AE8"/>
    <w:rsid w:val="00FE70D5"/>
    <w:rsid w:val="00FE7127"/>
    <w:rsid w:val="00FE73D1"/>
    <w:rsid w:val="00FE7FB9"/>
    <w:rsid w:val="00FF041F"/>
    <w:rsid w:val="00FF0C67"/>
    <w:rsid w:val="00FF0E6A"/>
    <w:rsid w:val="00FF0F69"/>
    <w:rsid w:val="00FF1623"/>
    <w:rsid w:val="00FF1E96"/>
    <w:rsid w:val="00FF21EF"/>
    <w:rsid w:val="00FF2A34"/>
    <w:rsid w:val="00FF2BA8"/>
    <w:rsid w:val="00FF364B"/>
    <w:rsid w:val="00FF3803"/>
    <w:rsid w:val="00FF4871"/>
    <w:rsid w:val="00FF4A4D"/>
    <w:rsid w:val="00FF556E"/>
    <w:rsid w:val="00FF5630"/>
    <w:rsid w:val="00FF5813"/>
    <w:rsid w:val="00FF5E54"/>
    <w:rsid w:val="00FF5E85"/>
    <w:rsid w:val="00FF680F"/>
    <w:rsid w:val="00FF69CB"/>
    <w:rsid w:val="00FF6AD9"/>
    <w:rsid w:val="00FF6B4E"/>
    <w:rsid w:val="00FF7C76"/>
  </w:rsids>
  <w:docVars>
    <w:docVar w:name="btnwarning" w:val="1"/>
    <w:docVar w:name="sivug" w:val="1"/>
    <w:docVar w:name="space" w:val="1.3"/>
  </w:docVars>
  <m:mathPr>
    <m:mathFont m:val="Cambria Math"/>
  </m:mathPr>
  <w:themeFontLang w:val="en-US" w:bidi="he-IL"/>
  <w:clrSchemeMapping w:bg1="light1" w:t1="dark1" w:bg2="light2" w:t2="dark2" w:accent1="accent1" w:accent2="accent2" w:accent3="accent3" w:accent4="accent4" w:accent5="accent5" w:accent6="accent6" w:hyperlink="hyperlink" w:followedHyperlink="followedHyperlink"/>
  <w15:docId w15:val="{8B6CAE15-3EB5-BB49-87D9-11A27452D1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hAnsi="Times New Roman" w:eastAsiaTheme="minorHAnsi" w:cs="David"/>
        <w:szCs w:val="24"/>
        <w:lang w:val="en-US" w:eastAsia="en-US" w:bidi="he-IL"/>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iPriority="0"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E2619"/>
    <w:pPr>
      <w:bidi/>
      <w:spacing w:after="0" w:line="312" w:lineRule="auto"/>
    </w:pPr>
  </w:style>
  <w:style w:type="paragraph" w:styleId="Heading1">
    <w:name w:val="heading 1"/>
    <w:basedOn w:val="Normal"/>
    <w:next w:val="Normal"/>
    <w:link w:val="11"/>
    <w:uiPriority w:val="1"/>
    <w:qFormat/>
    <w:rsid w:val="00F41DE0"/>
    <w:pPr>
      <w:keepNext/>
      <w:keepLines/>
      <w:jc w:val="center"/>
      <w:outlineLvl w:val="0"/>
    </w:pPr>
    <w:rPr>
      <w:rFonts w:eastAsiaTheme="majorEastAsia"/>
      <w:bCs/>
      <w:szCs w:val="36"/>
      <w:u w:val="single"/>
    </w:rPr>
  </w:style>
  <w:style w:type="paragraph" w:styleId="Heading2">
    <w:name w:val="heading 2"/>
    <w:basedOn w:val="Normal"/>
    <w:next w:val="Normal"/>
    <w:link w:val="22"/>
    <w:uiPriority w:val="1"/>
    <w:qFormat/>
    <w:rsid w:val="00F41DE0"/>
    <w:pPr>
      <w:keepNext/>
      <w:keepLines/>
      <w:spacing w:before="480"/>
      <w:jc w:val="center"/>
      <w:outlineLvl w:val="1"/>
    </w:pPr>
    <w:rPr>
      <w:rFonts w:eastAsiaTheme="majorEastAsia"/>
      <w:bCs/>
      <w:szCs w:val="32"/>
    </w:rPr>
  </w:style>
  <w:style w:type="paragraph" w:styleId="Heading3">
    <w:name w:val="heading 3"/>
    <w:basedOn w:val="Normal"/>
    <w:next w:val="Normal"/>
    <w:link w:val="32"/>
    <w:uiPriority w:val="1"/>
    <w:qFormat/>
    <w:rsid w:val="00F41DE0"/>
    <w:pPr>
      <w:keepNext/>
      <w:keepLines/>
      <w:spacing w:before="240"/>
      <w:outlineLvl w:val="2"/>
    </w:pPr>
    <w:rPr>
      <w:rFonts w:eastAsiaTheme="majorEastAsia"/>
      <w:bCs/>
      <w:szCs w:val="28"/>
      <w:u w:val="single"/>
    </w:rPr>
  </w:style>
  <w:style w:type="paragraph" w:styleId="Heading4">
    <w:name w:val="heading 4"/>
    <w:basedOn w:val="Normal"/>
    <w:next w:val="Normal"/>
    <w:link w:val="41"/>
    <w:uiPriority w:val="1"/>
    <w:qFormat/>
    <w:rsid w:val="00F41DE0"/>
    <w:pPr>
      <w:keepNext/>
      <w:keepLines/>
      <w:spacing w:before="240"/>
      <w:outlineLvl w:val="3"/>
    </w:pPr>
    <w:rPr>
      <w:rFonts w:eastAsiaTheme="majorEastAsia"/>
      <w:bCs/>
      <w:szCs w:val="26"/>
    </w:rPr>
  </w:style>
  <w:style w:type="paragraph" w:styleId="Heading5">
    <w:name w:val="heading 5"/>
    <w:basedOn w:val="Normal"/>
    <w:next w:val="Normal"/>
    <w:link w:val="51"/>
    <w:uiPriority w:val="1"/>
    <w:qFormat/>
    <w:rsid w:val="00F41DE0"/>
    <w:pPr>
      <w:keepNext/>
      <w:keepLines/>
      <w:outlineLvl w:val="4"/>
    </w:pPr>
    <w:rPr>
      <w:rFonts w:eastAsiaTheme="majorEastAsia"/>
      <w:bCs/>
      <w:spacing w:val="40"/>
    </w:rPr>
  </w:style>
  <w:style w:type="paragraph" w:styleId="Heading6">
    <w:name w:val="heading 6"/>
    <w:basedOn w:val="Normal"/>
    <w:next w:val="Normal"/>
    <w:link w:val="61"/>
    <w:uiPriority w:val="1"/>
    <w:qFormat/>
    <w:rsid w:val="00F41DE0"/>
    <w:pPr>
      <w:keepNext/>
      <w:keepLines/>
      <w:outlineLvl w:val="5"/>
    </w:pPr>
    <w:rPr>
      <w:rFonts w:eastAsiaTheme="majorEastAsia"/>
      <w:spacing w:val="40"/>
    </w:rPr>
  </w:style>
  <w:style w:type="paragraph" w:styleId="Heading7">
    <w:name w:val="heading 7"/>
    <w:basedOn w:val="Normal"/>
    <w:next w:val="Normal"/>
    <w:link w:val="71"/>
    <w:uiPriority w:val="1"/>
    <w:qFormat/>
    <w:rsid w:val="00F41DE0"/>
    <w:pPr>
      <w:keepNext/>
      <w:keepLines/>
      <w:outlineLvl w:val="6"/>
    </w:pPr>
    <w:rPr>
      <w:rFonts w:eastAsiaTheme="majorEastAsia"/>
      <w:bCs/>
      <w:spacing w:val="40"/>
    </w:rPr>
  </w:style>
  <w:style w:type="paragraph" w:styleId="Heading8">
    <w:name w:val="heading 8"/>
    <w:basedOn w:val="Normal"/>
    <w:next w:val="Normal"/>
    <w:link w:val="81"/>
    <w:uiPriority w:val="1"/>
    <w:qFormat/>
    <w:rsid w:val="00F41DE0"/>
    <w:pPr>
      <w:keepNext/>
      <w:keepLines/>
      <w:outlineLvl w:val="7"/>
    </w:pPr>
    <w:rPr>
      <w:rFonts w:eastAsiaTheme="majorEastAsia"/>
      <w:spacing w:val="40"/>
    </w:rPr>
  </w:style>
  <w:style w:type="paragraph" w:styleId="Heading9">
    <w:name w:val="heading 9"/>
    <w:basedOn w:val="Normal"/>
    <w:next w:val="Normal"/>
    <w:link w:val="92"/>
    <w:uiPriority w:val="9"/>
    <w:semiHidden/>
    <w:unhideWhenUsed/>
    <w:rsid w:val="00BA23A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11">
    <w:name w:val="כותרת 1 תו1"/>
    <w:basedOn w:val="DefaultParagraphFont"/>
    <w:link w:val="Heading1"/>
    <w:uiPriority w:val="1"/>
    <w:rsid w:val="00F41DE0"/>
    <w:rPr>
      <w:rFonts w:eastAsiaTheme="majorEastAsia"/>
      <w:bCs/>
      <w:szCs w:val="36"/>
      <w:u w:val="single"/>
    </w:rPr>
  </w:style>
  <w:style w:type="character" w:customStyle="1" w:styleId="22">
    <w:name w:val="כותרת 2 תו2"/>
    <w:basedOn w:val="DefaultParagraphFont"/>
    <w:link w:val="Heading2"/>
    <w:uiPriority w:val="1"/>
    <w:rsid w:val="00F41DE0"/>
    <w:rPr>
      <w:rFonts w:eastAsiaTheme="majorEastAsia"/>
      <w:bCs/>
      <w:szCs w:val="32"/>
    </w:rPr>
  </w:style>
  <w:style w:type="character" w:customStyle="1" w:styleId="32">
    <w:name w:val="כותרת 3 תו2"/>
    <w:basedOn w:val="DefaultParagraphFont"/>
    <w:link w:val="Heading3"/>
    <w:uiPriority w:val="1"/>
    <w:rsid w:val="00F41DE0"/>
    <w:rPr>
      <w:rFonts w:eastAsiaTheme="majorEastAsia"/>
      <w:bCs/>
      <w:szCs w:val="28"/>
      <w:u w:val="single"/>
    </w:rPr>
  </w:style>
  <w:style w:type="character" w:customStyle="1" w:styleId="41">
    <w:name w:val="כותרת 4 תו1"/>
    <w:basedOn w:val="DefaultParagraphFont"/>
    <w:link w:val="Heading4"/>
    <w:uiPriority w:val="1"/>
    <w:rsid w:val="00F41DE0"/>
    <w:rPr>
      <w:rFonts w:eastAsiaTheme="majorEastAsia"/>
      <w:bCs/>
      <w:szCs w:val="26"/>
    </w:rPr>
  </w:style>
  <w:style w:type="character" w:customStyle="1" w:styleId="51">
    <w:name w:val="כותרת 5 תו1"/>
    <w:basedOn w:val="DefaultParagraphFont"/>
    <w:link w:val="Heading5"/>
    <w:uiPriority w:val="1"/>
    <w:rsid w:val="00F41DE0"/>
    <w:rPr>
      <w:rFonts w:eastAsiaTheme="majorEastAsia"/>
      <w:bCs/>
      <w:spacing w:val="40"/>
    </w:rPr>
  </w:style>
  <w:style w:type="character" w:customStyle="1" w:styleId="61">
    <w:name w:val="כותרת 6 תו1"/>
    <w:basedOn w:val="DefaultParagraphFont"/>
    <w:link w:val="Heading6"/>
    <w:uiPriority w:val="1"/>
    <w:rsid w:val="00F41DE0"/>
    <w:rPr>
      <w:rFonts w:eastAsiaTheme="majorEastAsia"/>
      <w:spacing w:val="40"/>
    </w:rPr>
  </w:style>
  <w:style w:type="character" w:customStyle="1" w:styleId="71">
    <w:name w:val="כותרת 7 תו1"/>
    <w:basedOn w:val="DefaultParagraphFont"/>
    <w:link w:val="Heading7"/>
    <w:uiPriority w:val="1"/>
    <w:rsid w:val="00F41DE0"/>
    <w:rPr>
      <w:rFonts w:eastAsiaTheme="majorEastAsia"/>
      <w:bCs/>
      <w:spacing w:val="40"/>
    </w:rPr>
  </w:style>
  <w:style w:type="character" w:customStyle="1" w:styleId="81">
    <w:name w:val="כותרת 8 תו1"/>
    <w:basedOn w:val="DefaultParagraphFont"/>
    <w:link w:val="Heading8"/>
    <w:uiPriority w:val="1"/>
    <w:rsid w:val="00F41DE0"/>
    <w:rPr>
      <w:rFonts w:eastAsiaTheme="majorEastAsia"/>
      <w:spacing w:val="40"/>
    </w:rPr>
  </w:style>
  <w:style w:type="paragraph" w:styleId="Header">
    <w:name w:val="header"/>
    <w:basedOn w:val="Normal"/>
    <w:link w:val="1"/>
    <w:uiPriority w:val="99"/>
    <w:unhideWhenUsed/>
    <w:rsid w:val="000501A4"/>
    <w:pPr>
      <w:tabs>
        <w:tab w:val="center" w:pos="4153"/>
        <w:tab w:val="right" w:pos="8306"/>
      </w:tabs>
      <w:spacing w:line="240" w:lineRule="auto"/>
    </w:pPr>
  </w:style>
  <w:style w:type="character" w:customStyle="1" w:styleId="1">
    <w:name w:val="כותרת עליונה תו1"/>
    <w:basedOn w:val="DefaultParagraphFont"/>
    <w:link w:val="Header"/>
    <w:uiPriority w:val="99"/>
    <w:rsid w:val="000501A4"/>
  </w:style>
  <w:style w:type="paragraph" w:styleId="Footer">
    <w:name w:val="footer"/>
    <w:aliases w:val="כותרת תחתונה תו תו תו,כותרת תחתונה תו תו תו תו תו"/>
    <w:basedOn w:val="Normal"/>
    <w:link w:val="2"/>
    <w:uiPriority w:val="99"/>
    <w:unhideWhenUsed/>
    <w:qFormat/>
    <w:rsid w:val="000501A4"/>
    <w:pPr>
      <w:tabs>
        <w:tab w:val="center" w:pos="4153"/>
        <w:tab w:val="right" w:pos="8306"/>
      </w:tabs>
      <w:spacing w:line="240" w:lineRule="auto"/>
    </w:pPr>
  </w:style>
  <w:style w:type="character" w:customStyle="1" w:styleId="2">
    <w:name w:val="כותרת תחתונה תו2"/>
    <w:aliases w:val="כותרת תחתונה תו תו תו תו,כותרת תחתונה תו תו תו תו תו תו"/>
    <w:basedOn w:val="DefaultParagraphFont"/>
    <w:link w:val="Footer"/>
    <w:uiPriority w:val="99"/>
    <w:rsid w:val="000501A4"/>
  </w:style>
  <w:style w:type="paragraph" w:styleId="Date">
    <w:name w:val="Date"/>
    <w:basedOn w:val="Normal"/>
    <w:next w:val="Normal"/>
    <w:link w:val="23"/>
    <w:uiPriority w:val="99"/>
    <w:unhideWhenUsed/>
    <w:rsid w:val="000501A4"/>
    <w:pPr>
      <w:spacing w:before="120" w:line="240" w:lineRule="auto"/>
    </w:pPr>
  </w:style>
  <w:style w:type="character" w:customStyle="1" w:styleId="23">
    <w:name w:val="תאריך תו2"/>
    <w:basedOn w:val="DefaultParagraphFont"/>
    <w:link w:val="Date"/>
    <w:uiPriority w:val="99"/>
    <w:rsid w:val="000501A4"/>
  </w:style>
  <w:style w:type="paragraph" w:styleId="FootnoteText">
    <w:name w:val="footnote text"/>
    <w:aliases w:val=" Char,FOOTNOTES,Footnote Text - Sharp,Footnote Text - Sharp Char,Footnote Text - Sharp Char Char,Footnote Text Char Char Char Char Char,Footnote reference,Sharp - Footnote Text,Sharp - Footnote Text1 Char,fn,footnote text,single space"/>
    <w:basedOn w:val="Normal"/>
    <w:link w:val="3"/>
    <w:uiPriority w:val="99"/>
    <w:qFormat/>
    <w:rsid w:val="00574579"/>
    <w:pPr>
      <w:spacing w:line="240" w:lineRule="auto"/>
      <w:ind w:left="720" w:hanging="720"/>
    </w:pPr>
    <w:rPr>
      <w:szCs w:val="20"/>
    </w:rPr>
  </w:style>
  <w:style w:type="character" w:customStyle="1" w:styleId="3">
    <w:name w:val="טקסט הערת שוליים תו3"/>
    <w:aliases w:val=" Char תו1,FOOTNOTES תו1,Footnote Text - Sharp Char Char תו1,Footnote Text - Sharp Char תו1,Footnote Text - Sharp תו1,Footnote Text Char Char Char Char Char תו1,Footnote reference תו1,Sharp - Footnote Text תו1,fn תו1,footnote text תו"/>
    <w:basedOn w:val="DefaultParagraphFont"/>
    <w:link w:val="FootnoteText"/>
    <w:uiPriority w:val="99"/>
    <w:rsid w:val="00574579"/>
    <w:rPr>
      <w:szCs w:val="20"/>
    </w:rPr>
  </w:style>
  <w:style w:type="table" w:styleId="TableGrid">
    <w:name w:val="Table Grid"/>
    <w:basedOn w:val="TableNormal"/>
    <w:uiPriority w:val="59"/>
    <w:rsid w:val="00F41D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1">
    <w:name w:val="Grid Table 2 Accent 1"/>
    <w:basedOn w:val="TableNormal"/>
    <w:uiPriority w:val="47"/>
    <w:rsid w:val="006A5837"/>
    <w:pPr>
      <w:spacing w:after="0" w:line="240" w:lineRule="auto"/>
    </w:pPr>
    <w:tblPr>
      <w:tblStyleRowBandSize w:val="1"/>
      <w:tblStyleColBandSize w:val="1"/>
      <w:tblBorders>
        <w:top w:val="single" w:sz="2" w:space="0" w:color="76CDEE" w:themeColor="accent1" w:themeTint="99"/>
        <w:bottom w:val="single" w:sz="2" w:space="0" w:color="76CDEE" w:themeColor="accent1" w:themeTint="99"/>
        <w:insideH w:val="single" w:sz="2" w:space="0" w:color="76CDEE" w:themeColor="accent1" w:themeTint="99"/>
        <w:insideV w:val="single" w:sz="2" w:space="0" w:color="76CDEE" w:themeColor="accent1" w:themeTint="99"/>
      </w:tblBorders>
    </w:tblPr>
    <w:tblStylePr w:type="firstRow">
      <w:rPr>
        <w:b/>
        <w:bCs/>
      </w:rPr>
      <w:tblPr/>
      <w:tcPr>
        <w:tcBorders>
          <w:top w:val="nil"/>
          <w:bottom w:val="single" w:sz="12" w:space="0" w:color="76CDEE" w:themeColor="accent1" w:themeTint="99"/>
          <w:insideH w:val="nil"/>
          <w:insideV w:val="nil"/>
        </w:tcBorders>
        <w:shd w:val="clear" w:color="auto" w:fill="FFFFFF" w:themeFill="background1"/>
      </w:tcPr>
    </w:tblStylePr>
    <w:tblStylePr w:type="lastRow">
      <w:rPr>
        <w:b/>
        <w:bCs/>
      </w:rPr>
      <w:tblPr/>
      <w:tcPr>
        <w:tcBorders>
          <w:top w:val="double" w:sz="2" w:space="0" w:color="76CDE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paragraph" w:styleId="BalloonText">
    <w:name w:val="Balloon Text"/>
    <w:basedOn w:val="Normal"/>
    <w:link w:val="10"/>
    <w:uiPriority w:val="99"/>
    <w:unhideWhenUsed/>
    <w:rsid w:val="00AF6305"/>
    <w:pPr>
      <w:spacing w:line="240" w:lineRule="auto"/>
    </w:pPr>
    <w:rPr>
      <w:rFonts w:ascii="Tahoma" w:hAnsi="Tahoma" w:cs="Tahoma"/>
      <w:sz w:val="18"/>
      <w:szCs w:val="18"/>
    </w:rPr>
  </w:style>
  <w:style w:type="character" w:customStyle="1" w:styleId="10">
    <w:name w:val="טקסט בלונים תו1"/>
    <w:basedOn w:val="DefaultParagraphFont"/>
    <w:link w:val="BalloonText"/>
    <w:uiPriority w:val="99"/>
    <w:rsid w:val="00AF6305"/>
    <w:rPr>
      <w:rFonts w:ascii="Tahoma" w:hAnsi="Tahoma" w:cs="Tahoma"/>
      <w:sz w:val="18"/>
      <w:szCs w:val="18"/>
    </w:rPr>
  </w:style>
  <w:style w:type="paragraph" w:styleId="CommentText">
    <w:name w:val="annotation text"/>
    <w:basedOn w:val="Normal"/>
    <w:link w:val="12"/>
    <w:uiPriority w:val="99"/>
    <w:unhideWhenUsed/>
    <w:rsid w:val="005F492A"/>
    <w:pPr>
      <w:spacing w:line="240" w:lineRule="auto"/>
    </w:pPr>
    <w:rPr>
      <w:szCs w:val="20"/>
    </w:rPr>
  </w:style>
  <w:style w:type="character" w:customStyle="1" w:styleId="12">
    <w:name w:val="טקסט הערה תו1"/>
    <w:basedOn w:val="DefaultParagraphFont"/>
    <w:link w:val="CommentText"/>
    <w:uiPriority w:val="99"/>
    <w:rsid w:val="005F492A"/>
    <w:rPr>
      <w:szCs w:val="20"/>
    </w:rPr>
  </w:style>
  <w:style w:type="paragraph" w:styleId="CommentSubject">
    <w:name w:val="annotation subject"/>
    <w:basedOn w:val="CommentText"/>
    <w:next w:val="CommentText"/>
    <w:link w:val="24"/>
    <w:uiPriority w:val="99"/>
    <w:unhideWhenUsed/>
    <w:rsid w:val="005F492A"/>
    <w:rPr>
      <w:b/>
      <w:bCs/>
    </w:rPr>
  </w:style>
  <w:style w:type="character" w:customStyle="1" w:styleId="24">
    <w:name w:val="נושא הערה תו2"/>
    <w:basedOn w:val="12"/>
    <w:link w:val="CommentSubject"/>
    <w:uiPriority w:val="99"/>
    <w:rsid w:val="005F492A"/>
    <w:rPr>
      <w:b/>
      <w:bCs/>
      <w:szCs w:val="20"/>
    </w:rPr>
  </w:style>
  <w:style w:type="paragraph" w:styleId="ListParagraph">
    <w:name w:val="List Paragraph"/>
    <w:aliases w:val="1st level - Bullet List Paragraph,Bullet List,Bullet Points,Dot pt,F5 List Paragraph,FooterText,Heading 2_sj,LP1,List Paragraph1,List Paragraph_0,List Paragraph_1,List Paragraph_2,Paragraphe de liste1,lp1,numbered,style 2,פיסקת bullets"/>
    <w:basedOn w:val="Normal"/>
    <w:link w:val="a2"/>
    <w:uiPriority w:val="34"/>
    <w:qFormat/>
    <w:rsid w:val="003F6D65"/>
    <w:pPr>
      <w:ind w:left="720"/>
      <w:contextualSpacing/>
    </w:pPr>
  </w:style>
  <w:style w:type="paragraph" w:customStyle="1" w:styleId="731">
    <w:name w:val="73א כותרת 1"/>
    <w:qFormat/>
    <w:rsid w:val="0078358A"/>
    <w:pPr>
      <w:keepNext/>
      <w:keepLines/>
      <w:pageBreakBefore/>
      <w:widowControl w:val="0"/>
      <w:spacing w:before="360" w:after="240" w:line="440" w:lineRule="exact"/>
      <w:jc w:val="center"/>
      <w:outlineLvl w:val="0"/>
    </w:pPr>
    <w:rPr>
      <w:rFonts w:ascii="Tahoma" w:hAnsi="Tahoma" w:cs="Tahoma"/>
      <w:b/>
      <w:bCs/>
      <w:noProof/>
      <w:color w:val="00305F"/>
      <w:sz w:val="40"/>
      <w:szCs w:val="36"/>
    </w:rPr>
  </w:style>
  <w:style w:type="paragraph" w:customStyle="1" w:styleId="73">
    <w:name w:val="73א פעולות ביקורת"/>
    <w:basedOn w:val="215"/>
    <w:qFormat/>
    <w:rsid w:val="0091353C"/>
    <w:pPr>
      <w:keepNext/>
      <w:keepLines/>
      <w:pBdr>
        <w:top w:val="double" w:sz="12" w:space="5" w:color="auto"/>
      </w:pBdr>
      <w:spacing w:before="480" w:after="360"/>
      <w:outlineLvl w:val="9"/>
    </w:pPr>
    <w:rPr>
      <w:b/>
      <w:noProof/>
      <w:sz w:val="31"/>
      <w:szCs w:val="31"/>
      <w:lang w:val="he-IL"/>
    </w:rPr>
  </w:style>
  <w:style w:type="character" w:styleId="Hyperlink">
    <w:name w:val="Hyperlink"/>
    <w:basedOn w:val="DefaultParagraphFont"/>
    <w:uiPriority w:val="99"/>
    <w:unhideWhenUsed/>
    <w:rsid w:val="005A4042"/>
    <w:rPr>
      <w:color w:val="6B9F25" w:themeColor="hyperlink"/>
      <w:u w:val="single"/>
    </w:rPr>
  </w:style>
  <w:style w:type="paragraph" w:customStyle="1" w:styleId="p00">
    <w:name w:val="p00"/>
    <w:basedOn w:val="Normal"/>
    <w:rsid w:val="00C24503"/>
    <w:pPr>
      <w:bidi w:val="0"/>
      <w:spacing w:before="100" w:beforeAutospacing="1" w:after="100" w:afterAutospacing="1" w:line="240" w:lineRule="auto"/>
      <w:jc w:val="left"/>
    </w:pPr>
    <w:rPr>
      <w:rFonts w:eastAsia="Times New Roman" w:cs="Times New Roman"/>
      <w:sz w:val="24"/>
    </w:rPr>
  </w:style>
  <w:style w:type="paragraph" w:styleId="Revision">
    <w:name w:val="Revision"/>
    <w:hidden/>
    <w:uiPriority w:val="99"/>
    <w:semiHidden/>
    <w:rsid w:val="00AF6A68"/>
    <w:pPr>
      <w:spacing w:after="0" w:line="240" w:lineRule="auto"/>
      <w:jc w:val="left"/>
    </w:pPr>
  </w:style>
  <w:style w:type="character" w:customStyle="1" w:styleId="default">
    <w:name w:val="default"/>
    <w:basedOn w:val="DefaultParagraphFont"/>
    <w:rsid w:val="00C24503"/>
  </w:style>
  <w:style w:type="paragraph" w:customStyle="1" w:styleId="NAME">
    <w:name w:val="NAME"/>
    <w:basedOn w:val="Normal"/>
    <w:rsid w:val="00D5266D"/>
    <w:pPr>
      <w:spacing w:before="2000" w:after="120"/>
      <w:jc w:val="center"/>
      <w:outlineLvl w:val="0"/>
    </w:pPr>
    <w:rPr>
      <w:rFonts w:ascii="Tahoma" w:eastAsia="Times New Roman" w:hAnsi="Tahoma" w:cs="Tahoma"/>
      <w:color w:val="2A2AA6"/>
      <w:sz w:val="42"/>
      <w:szCs w:val="42"/>
      <w:lang w:eastAsia="he-IL"/>
    </w:rPr>
  </w:style>
  <w:style w:type="paragraph" w:customStyle="1" w:styleId="P000">
    <w:name w:val="P00"/>
    <w:link w:val="P001"/>
    <w:rsid w:val="00C24503"/>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pPr>
    <w:rPr>
      <w:rFonts w:eastAsia="Times New Roman" w:cs="Times New Roman"/>
      <w:noProof/>
      <w:szCs w:val="26"/>
      <w:lang w:eastAsia="he-IL"/>
    </w:rPr>
  </w:style>
  <w:style w:type="character" w:customStyle="1" w:styleId="730">
    <w:name w:val="כותרת 7 תו3"/>
    <w:basedOn w:val="DefaultParagraphFont"/>
    <w:uiPriority w:val="1"/>
    <w:rsid w:val="00456AD9"/>
    <w:rPr>
      <w:rFonts w:asciiTheme="majorHAnsi" w:eastAsiaTheme="majorEastAsia" w:hAnsiTheme="majorHAnsi" w:cstheme="majorBidi"/>
      <w:b/>
      <w:bCs/>
      <w:color w:val="134163" w:themeColor="accent2" w:themeShade="80"/>
      <w:sz w:val="22"/>
      <w:szCs w:val="22"/>
    </w:rPr>
  </w:style>
  <w:style w:type="character" w:customStyle="1" w:styleId="P001">
    <w:name w:val="P00 תו"/>
    <w:link w:val="P000"/>
    <w:rsid w:val="00C24503"/>
    <w:rPr>
      <w:rFonts w:eastAsia="Times New Roman" w:cs="Times New Roman"/>
      <w:noProof/>
      <w:szCs w:val="26"/>
      <w:lang w:eastAsia="he-IL"/>
    </w:rPr>
  </w:style>
  <w:style w:type="character" w:customStyle="1" w:styleId="732">
    <w:name w:val="73א קוביה רצה תו"/>
    <w:basedOn w:val="DefaultParagraphFont"/>
    <w:link w:val="7317"/>
    <w:rsid w:val="004B039B"/>
    <w:rPr>
      <w:rFonts w:ascii="Tahoma" w:eastAsia="Times New Roman" w:hAnsi="Tahoma" w:cs="Tahoma"/>
      <w:color w:val="0D0D0D" w:themeColor="text1" w:themeTint="F2"/>
      <w:sz w:val="18"/>
      <w:szCs w:val="18"/>
      <w:shd w:val="solid" w:color="CEEAF5" w:fill="auto"/>
      <w:lang w:eastAsia="he-IL"/>
    </w:rPr>
  </w:style>
  <w:style w:type="table" w:customStyle="1" w:styleId="13">
    <w:name w:val="רשת טבלה1"/>
    <w:basedOn w:val="TableNormal"/>
    <w:next w:val="TableGrid"/>
    <w:uiPriority w:val="59"/>
    <w:rsid w:val="008B17A0"/>
    <w:pPr>
      <w:spacing w:after="0" w:line="240" w:lineRule="auto"/>
      <w:jc w:val="left"/>
    </w:pPr>
    <w:rPr>
      <w:rFonts w:eastAsia="Times New Roman"/>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NEW-BlueTable">
    <w:name w:val="NEW-Blue Table"/>
    <w:basedOn w:val="GridTable4Accent1"/>
    <w:uiPriority w:val="99"/>
    <w:rsid w:val="00DC345A"/>
    <w:pPr>
      <w:spacing w:before="120" w:after="120"/>
      <w:jc w:val="left"/>
    </w:pPr>
    <w:rPr>
      <w:rFonts w:ascii="Almoni ML Regular AAA" w:eastAsia="Almoni ML Regular AAA" w:hAnsi="Almoni ML Regular AAA" w:cs="Almoni ML Regular AAA"/>
      <w:sz w:val="18"/>
      <w:szCs w:val="18"/>
    </w:rPr>
    <w:tblPr>
      <w:tblBorders>
        <w:top w:val="none" w:sz="0" w:space="0" w:color="auto"/>
        <w:left w:val="single" w:sz="4" w:space="0" w:color="auto"/>
        <w:bottom w:val="none" w:sz="0" w:space="0" w:color="auto"/>
        <w:right w:val="single" w:sz="4" w:space="0" w:color="auto"/>
        <w:insideH w:val="none" w:sz="0" w:space="0" w:color="auto"/>
        <w:insideV w:val="single" w:sz="4" w:space="0" w:color="auto"/>
      </w:tblBorders>
      <w:tblCellMar>
        <w:top w:w="57" w:type="dxa"/>
        <w:left w:w="57" w:type="dxa"/>
        <w:bottom w:w="57" w:type="dxa"/>
        <w:right w:w="57" w:type="dxa"/>
      </w:tblCellMar>
    </w:tblPr>
    <w:tcPr>
      <w:shd w:val="clear" w:color="auto" w:fill="auto"/>
      <w:vAlign w:val="center"/>
    </w:tcPr>
    <w:tblStylePr w:type="firstRow">
      <w:pPr>
        <w:jc w:val="left"/>
      </w:pPr>
      <w:rPr>
        <w:rFonts w:ascii="Almoni ML Regular AAA" w:eastAsia="Almoni ML Regular AAA" w:hAnsi="Almoni ML Regular AAA" w:cs="Almoni ML Regular AAA"/>
        <w:b/>
        <w:bCs/>
        <w:iCs w:val="0"/>
        <w:color w:val="auto"/>
        <w:sz w:val="18"/>
        <w:szCs w:val="18"/>
      </w:rPr>
      <w:tblPr/>
      <w:tcPr>
        <w:tcBorders>
          <w:top w:val="nil"/>
          <w:left w:val="single" w:sz="4" w:space="0" w:color="auto"/>
          <w:bottom w:val="nil"/>
          <w:right w:val="single" w:sz="4" w:space="0" w:color="auto"/>
          <w:insideH w:val="nil"/>
          <w:insideV w:val="single" w:sz="4" w:space="0" w:color="auto"/>
          <w:tl2br w:val="nil"/>
          <w:tr2bl w:val="nil"/>
        </w:tcBorders>
        <w:shd w:val="clear" w:color="auto" w:fill="C6DCE4"/>
      </w:tcPr>
    </w:tblStylePr>
    <w:tblStylePr w:type="lastRow">
      <w:rPr>
        <w:rFonts w:ascii="Almoni ML Regular AAA" w:eastAsia="Almoni ML Regular AAA" w:hAnsi="Almoni ML Regular AAA" w:cs="Almoni ML Regular AAA"/>
        <w:b w:val="0"/>
        <w:bCs/>
        <w:i w:val="0"/>
        <w:iCs w:val="0"/>
        <w:color w:val="auto"/>
        <w:sz w:val="18"/>
        <w:szCs w:val="18"/>
      </w:rPr>
      <w:tblPr/>
      <w:tcPr>
        <w:tcBorders>
          <w:top w:val="double" w:sz="4" w:space="0" w:color="1CADE4" w:themeColor="accent1"/>
        </w:tcBorders>
        <w:shd w:val="clear" w:color="auto" w:fill="C6DCE4"/>
      </w:tcPr>
    </w:tblStylePr>
    <w:tblStylePr w:type="firstCol">
      <w:rPr>
        <w:rFonts w:ascii="Almoni ML Regular AAA" w:eastAsia="Almoni ML Regular AAA" w:hAnsi="Almoni ML Regular AAA" w:cs="Almoni ML Regular AAA"/>
        <w:b/>
        <w:bCs w:val="0"/>
        <w:sz w:val="18"/>
        <w:szCs w:val="18"/>
      </w:rPr>
    </w:tblStylePr>
    <w:tblStylePr w:type="lastCol">
      <w:rPr>
        <w:rFonts w:ascii="Almoni ML Regular AAA" w:eastAsia="Almoni ML Regular AAA" w:hAnsi="Almoni ML Regular AAA" w:cs="Almoni ML Regular AAA"/>
        <w:b w:val="0"/>
        <w:bCs w:val="0"/>
        <w:i w:val="0"/>
        <w:iCs w:val="0"/>
        <w:sz w:val="18"/>
        <w:szCs w:val="18"/>
      </w:rPr>
    </w:tblStylePr>
    <w:tblStylePr w:type="band1Vert">
      <w:rPr>
        <w:rFonts w:cs="Almoni ML Regular AAA"/>
        <w:bCs w:val="0"/>
        <w:iCs w:val="0"/>
        <w:sz w:val="18"/>
        <w:szCs w:val="18"/>
      </w:rPr>
      <w:tblPr/>
      <w:tcPr>
        <w:shd w:val="clear" w:color="auto" w:fill="D1EEF9" w:themeFill="accent1" w:themeFillTint="33"/>
      </w:tcPr>
    </w:tblStylePr>
    <w:tblStylePr w:type="band2Vert">
      <w:rPr>
        <w:rFonts w:cs="Almoni ML Regular AAA"/>
        <w:bCs w:val="0"/>
        <w:sz w:val="18"/>
        <w:szCs w:val="18"/>
      </w:rPr>
    </w:tblStylePr>
    <w:tblStylePr w:type="band1Horz">
      <w:rPr>
        <w:rFonts w:cs="Almoni ML Regular AAA"/>
        <w:bCs w:val="0"/>
        <w:sz w:val="18"/>
        <w:szCs w:val="18"/>
      </w:rPr>
      <w:tblPr/>
      <w:tcPr>
        <w:shd w:val="clear" w:color="auto" w:fill="DBE8EE"/>
      </w:tcPr>
    </w:tblStylePr>
    <w:tblStylePr w:type="band2Horz">
      <w:rPr>
        <w:rFonts w:cs="Almoni ML Regular AAA"/>
        <w:bCs w:val="0"/>
        <w:sz w:val="18"/>
        <w:szCs w:val="18"/>
      </w:rPr>
      <w:tblPr/>
      <w:tcPr>
        <w:shd w:val="clear" w:color="auto" w:fill="ECF4F5"/>
      </w:tcPr>
    </w:tblStylePr>
    <w:tblStylePr w:type="neCell">
      <w:rPr>
        <w:rFonts w:cs="Almoni ML Regular AAA"/>
        <w:sz w:val="18"/>
        <w:szCs w:val="18"/>
      </w:rPr>
    </w:tblStylePr>
    <w:tblStylePr w:type="nwCell">
      <w:rPr>
        <w:rFonts w:cs="Almoni ML Regular AAA"/>
        <w:sz w:val="18"/>
        <w:szCs w:val="18"/>
      </w:rPr>
    </w:tblStylePr>
    <w:tblStylePr w:type="seCell">
      <w:rPr>
        <w:rFonts w:cs="Almoni ML Regular AAA"/>
        <w:sz w:val="18"/>
        <w:szCs w:val="18"/>
      </w:rPr>
    </w:tblStylePr>
    <w:tblStylePr w:type="swCell">
      <w:rPr>
        <w:rFonts w:cs="Almoni ML Regular AAA"/>
        <w:sz w:val="18"/>
        <w:szCs w:val="18"/>
      </w:rPr>
    </w:tblStylePr>
  </w:style>
  <w:style w:type="table" w:customStyle="1" w:styleId="1-41">
    <w:name w:val="טבלת רשת 1 בהירה - הדגשה 41"/>
    <w:basedOn w:val="TableNormal"/>
    <w:uiPriority w:val="46"/>
    <w:rsid w:val="00444597"/>
    <w:pPr>
      <w:spacing w:after="0" w:line="240" w:lineRule="auto"/>
    </w:pPr>
    <w:tblPr>
      <w:tblStyleRowBandSize w:val="1"/>
      <w:tblStyleColBandSize w:val="1"/>
      <w:tblBorders>
        <w:top w:val="single" w:sz="4" w:space="0" w:color="B2E4D5" w:themeColor="accent4" w:themeTint="66"/>
        <w:left w:val="single" w:sz="4" w:space="0" w:color="B2E4D5" w:themeColor="accent4" w:themeTint="66"/>
        <w:bottom w:val="single" w:sz="4" w:space="0" w:color="B2E4D5" w:themeColor="accent4" w:themeTint="66"/>
        <w:right w:val="single" w:sz="4" w:space="0" w:color="B2E4D5" w:themeColor="accent4" w:themeTint="66"/>
        <w:insideH w:val="single" w:sz="4" w:space="0" w:color="B2E4D5" w:themeColor="accent4" w:themeTint="66"/>
        <w:insideV w:val="single" w:sz="4" w:space="0" w:color="B2E4D5" w:themeColor="accent4" w:themeTint="66"/>
      </w:tblBorders>
    </w:tblPr>
    <w:tblStylePr w:type="firstRow">
      <w:rPr>
        <w:b/>
        <w:bCs/>
      </w:rPr>
      <w:tblPr/>
      <w:tcPr>
        <w:tcBorders>
          <w:bottom w:val="single" w:sz="12" w:space="0" w:color="8CD6C0" w:themeColor="accent4" w:themeTint="99"/>
        </w:tcBorders>
      </w:tcPr>
    </w:tblStylePr>
    <w:tblStylePr w:type="lastRow">
      <w:rPr>
        <w:b/>
        <w:bCs/>
      </w:rPr>
      <w:tblPr/>
      <w:tcPr>
        <w:tcBorders>
          <w:top w:val="double" w:sz="2" w:space="0" w:color="8CD6C0" w:themeColor="accent4" w:themeTint="99"/>
        </w:tcBorders>
      </w:tcPr>
    </w:tblStylePr>
    <w:tblStylePr w:type="firstCol">
      <w:rPr>
        <w:b/>
        <w:bCs/>
      </w:rPr>
    </w:tblStylePr>
    <w:tblStylePr w:type="lastCol">
      <w:rPr>
        <w:b/>
        <w:bCs/>
      </w:rPr>
    </w:tblStylePr>
  </w:style>
  <w:style w:type="character" w:styleId="Strong">
    <w:name w:val="Strong"/>
    <w:basedOn w:val="DefaultParagraphFont"/>
    <w:uiPriority w:val="22"/>
    <w:qFormat/>
    <w:rsid w:val="00444597"/>
    <w:rPr>
      <w:b/>
      <w:bCs/>
    </w:rPr>
  </w:style>
  <w:style w:type="paragraph" w:customStyle="1" w:styleId="rtejustify">
    <w:name w:val="rtejustify"/>
    <w:basedOn w:val="Normal"/>
    <w:rsid w:val="00444597"/>
    <w:pPr>
      <w:bidi w:val="0"/>
      <w:spacing w:before="100" w:beforeAutospacing="1" w:after="100" w:afterAutospacing="1" w:line="240" w:lineRule="auto"/>
      <w:jc w:val="left"/>
    </w:pPr>
    <w:rPr>
      <w:rFonts w:eastAsia="Times New Roman" w:cs="Times New Roman"/>
      <w:sz w:val="24"/>
    </w:rPr>
  </w:style>
  <w:style w:type="table" w:styleId="GridTable4Accent1">
    <w:name w:val="Grid Table 4 Accent 1"/>
    <w:basedOn w:val="TableNormal"/>
    <w:uiPriority w:val="49"/>
    <w:rsid w:val="00EE343A"/>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insideV w:val="nil"/>
        </w:tcBorders>
        <w:shd w:val="clear" w:color="auto" w:fill="1CADE4" w:themeFill="accent1"/>
      </w:tcPr>
    </w:tblStylePr>
    <w:tblStylePr w:type="lastRow">
      <w:rPr>
        <w:b/>
        <w:bCs/>
      </w:rPr>
      <w:tblPr/>
      <w:tcPr>
        <w:tcBorders>
          <w:top w:val="double" w:sz="4" w:space="0" w:color="1CADE4" w:themeColor="accent1"/>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paragraph" w:styleId="Caption">
    <w:name w:val="caption"/>
    <w:basedOn w:val="Normal"/>
    <w:next w:val="Normal"/>
    <w:uiPriority w:val="35"/>
    <w:unhideWhenUsed/>
    <w:qFormat/>
    <w:rsid w:val="00444597"/>
    <w:pPr>
      <w:spacing w:after="200" w:line="240" w:lineRule="auto"/>
    </w:pPr>
    <w:rPr>
      <w:i/>
      <w:iCs/>
      <w:color w:val="335B74" w:themeColor="text2"/>
      <w:sz w:val="18"/>
      <w:szCs w:val="18"/>
    </w:rPr>
  </w:style>
  <w:style w:type="character" w:customStyle="1" w:styleId="Bodytext2">
    <w:name w:val="Body text (2)_"/>
    <w:basedOn w:val="DefaultParagraphFont"/>
    <w:link w:val="Bodytext20"/>
    <w:rsid w:val="00444597"/>
    <w:rPr>
      <w:rFonts w:eastAsia="Times New Roman" w:cs="Times New Roman"/>
      <w:sz w:val="22"/>
      <w:szCs w:val="22"/>
      <w:shd w:val="clear" w:color="auto" w:fill="FFFFFF"/>
    </w:rPr>
  </w:style>
  <w:style w:type="paragraph" w:customStyle="1" w:styleId="Bodytext20">
    <w:name w:val="Body text (2)"/>
    <w:basedOn w:val="Normal"/>
    <w:link w:val="Bodytext2"/>
    <w:rsid w:val="00444597"/>
    <w:pPr>
      <w:widowControl w:val="0"/>
      <w:shd w:val="clear" w:color="auto" w:fill="FFFFFF"/>
      <w:spacing w:line="259" w:lineRule="exact"/>
    </w:pPr>
    <w:rPr>
      <w:rFonts w:eastAsia="Times New Roman" w:cs="Times New Roman"/>
      <w:sz w:val="22"/>
      <w:szCs w:val="22"/>
    </w:rPr>
  </w:style>
  <w:style w:type="character" w:customStyle="1" w:styleId="Bodytext7">
    <w:name w:val="Body text (7)_"/>
    <w:basedOn w:val="DefaultParagraphFont"/>
    <w:link w:val="Bodytext70"/>
    <w:rsid w:val="00444597"/>
    <w:rPr>
      <w:rFonts w:eastAsia="Times New Roman" w:cs="Times New Roman"/>
      <w:sz w:val="22"/>
      <w:szCs w:val="22"/>
      <w:shd w:val="clear" w:color="auto" w:fill="FFFFFF"/>
    </w:rPr>
  </w:style>
  <w:style w:type="paragraph" w:customStyle="1" w:styleId="Bodytext70">
    <w:name w:val="Body text (7)"/>
    <w:basedOn w:val="Normal"/>
    <w:link w:val="Bodytext7"/>
    <w:rsid w:val="00444597"/>
    <w:pPr>
      <w:widowControl w:val="0"/>
      <w:shd w:val="clear" w:color="auto" w:fill="FFFFFF"/>
      <w:spacing w:line="384" w:lineRule="exact"/>
      <w:ind w:hanging="360"/>
    </w:pPr>
    <w:rPr>
      <w:rFonts w:eastAsia="Times New Roman" w:cs="Times New Roman"/>
      <w:sz w:val="22"/>
      <w:szCs w:val="22"/>
    </w:rPr>
  </w:style>
  <w:style w:type="character" w:customStyle="1" w:styleId="Bodytext2Bold">
    <w:name w:val="Body text (2) + Bold"/>
    <w:basedOn w:val="Bodytext2"/>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Bodytext3">
    <w:name w:val="Body text (3)_"/>
    <w:basedOn w:val="DefaultParagraphFont"/>
    <w:rsid w:val="00444597"/>
    <w:rPr>
      <w:rFonts w:ascii="Lucida Sans Unicode" w:eastAsia="Lucida Sans Unicode" w:hAnsi="Lucida Sans Unicode" w:cs="Lucida Sans Unicode"/>
      <w:b w:val="0"/>
      <w:bCs w:val="0"/>
      <w:i w:val="0"/>
      <w:iCs w:val="0"/>
      <w:smallCaps w:val="0"/>
      <w:strike w:val="0"/>
      <w:sz w:val="16"/>
      <w:szCs w:val="16"/>
      <w:u w:val="none"/>
    </w:rPr>
  </w:style>
  <w:style w:type="character" w:customStyle="1" w:styleId="Bodytext30">
    <w:name w:val="Body text (3)"/>
    <w:basedOn w:val="Bodytext3"/>
    <w:rsid w:val="00444597"/>
    <w:rPr>
      <w:rFonts w:ascii="Lucida Sans Unicode" w:eastAsia="Lucida Sans Unicode" w:hAnsi="Lucida Sans Unicode" w:cs="Lucida Sans Unicode"/>
      <w:b w:val="0"/>
      <w:bCs w:val="0"/>
      <w:i w:val="0"/>
      <w:iCs w:val="0"/>
      <w:smallCaps w:val="0"/>
      <w:strike w:val="0"/>
      <w:color w:val="000000"/>
      <w:spacing w:val="0"/>
      <w:w w:val="100"/>
      <w:position w:val="0"/>
      <w:sz w:val="16"/>
      <w:szCs w:val="16"/>
      <w:u w:val="none"/>
      <w:lang w:val="he-IL" w:eastAsia="he-IL" w:bidi="he-IL"/>
    </w:rPr>
  </w:style>
  <w:style w:type="character" w:customStyle="1" w:styleId="Bodytext2Spacing-1pt">
    <w:name w:val="Body text (2) + Spacing -1 pt"/>
    <w:basedOn w:val="Bodytext2"/>
    <w:rsid w:val="00444597"/>
    <w:rPr>
      <w:rFonts w:ascii="Lucida Sans Unicode" w:eastAsia="Lucida Sans Unicode" w:hAnsi="Lucida Sans Unicode" w:cs="Lucida Sans Unicode"/>
      <w:b w:val="0"/>
      <w:bCs w:val="0"/>
      <w:i w:val="0"/>
      <w:iCs w:val="0"/>
      <w:smallCaps w:val="0"/>
      <w:strike w:val="0"/>
      <w:color w:val="000000"/>
      <w:spacing w:val="-30"/>
      <w:w w:val="100"/>
      <w:position w:val="0"/>
      <w:sz w:val="20"/>
      <w:szCs w:val="20"/>
      <w:u w:val="none"/>
      <w:shd w:val="clear" w:color="auto" w:fill="FFFFFF"/>
      <w:lang w:val="en-US" w:eastAsia="en-US" w:bidi="en-US"/>
    </w:rPr>
  </w:style>
  <w:style w:type="character" w:customStyle="1" w:styleId="Bodytext6">
    <w:name w:val="Body text (6)_"/>
    <w:basedOn w:val="DefaultParagraphFont"/>
    <w:link w:val="Bodytext60"/>
    <w:rsid w:val="00444597"/>
    <w:rPr>
      <w:rFonts w:ascii="Lucida Sans Unicode" w:eastAsia="Lucida Sans Unicode" w:hAnsi="Lucida Sans Unicode" w:cs="Lucida Sans Unicode"/>
      <w:b/>
      <w:bCs/>
      <w:szCs w:val="20"/>
      <w:shd w:val="clear" w:color="auto" w:fill="FFFFFF"/>
    </w:rPr>
  </w:style>
  <w:style w:type="paragraph" w:customStyle="1" w:styleId="Bodytext60">
    <w:name w:val="Body text (6)"/>
    <w:basedOn w:val="Normal"/>
    <w:link w:val="Bodytext6"/>
    <w:rsid w:val="00444597"/>
    <w:pPr>
      <w:widowControl w:val="0"/>
      <w:shd w:val="clear" w:color="auto" w:fill="FFFFFF"/>
      <w:spacing w:line="370" w:lineRule="exact"/>
    </w:pPr>
    <w:rPr>
      <w:rFonts w:ascii="Lucida Sans Unicode" w:eastAsia="Lucida Sans Unicode" w:hAnsi="Lucida Sans Unicode" w:cs="Lucida Sans Unicode"/>
      <w:b/>
      <w:bCs/>
      <w:szCs w:val="20"/>
    </w:rPr>
  </w:style>
  <w:style w:type="character" w:customStyle="1" w:styleId="Bodytext6NotBold">
    <w:name w:val="Body text (6) + Not Bold"/>
    <w:aliases w:val="Spacing -1 pt"/>
    <w:basedOn w:val="Bodytext6"/>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paragraph" w:styleId="BodyTextIndent">
    <w:name w:val="Body Text Indent"/>
    <w:basedOn w:val="Normal"/>
    <w:link w:val="a"/>
    <w:uiPriority w:val="99"/>
    <w:unhideWhenUsed/>
    <w:rsid w:val="0006189A"/>
    <w:pPr>
      <w:spacing w:after="120"/>
      <w:ind w:left="340"/>
    </w:pPr>
    <w:rPr>
      <w:rFonts w:ascii="Tahoma" w:hAnsi="Tahoma" w:cs="Tahoma"/>
      <w:sz w:val="16"/>
      <w:szCs w:val="20"/>
    </w:rPr>
  </w:style>
  <w:style w:type="character" w:customStyle="1" w:styleId="a">
    <w:name w:val="כניסה בגוף טקסט תו"/>
    <w:basedOn w:val="DefaultParagraphFont"/>
    <w:link w:val="BodyTextIndent"/>
    <w:uiPriority w:val="99"/>
    <w:rsid w:val="0006189A"/>
    <w:rPr>
      <w:rFonts w:ascii="Tahoma" w:hAnsi="Tahoma" w:cs="Tahoma"/>
      <w:sz w:val="16"/>
      <w:szCs w:val="20"/>
    </w:rPr>
  </w:style>
  <w:style w:type="paragraph" w:customStyle="1" w:styleId="121">
    <w:name w:val="כותרת 1_21"/>
    <w:basedOn w:val="Normal"/>
    <w:link w:val="121Char"/>
    <w:qFormat/>
    <w:rsid w:val="00454096"/>
    <w:pPr>
      <w:spacing w:before="1440"/>
      <w:jc w:val="center"/>
      <w:outlineLvl w:val="0"/>
    </w:pPr>
    <w:rPr>
      <w:rFonts w:ascii="Tahoma" w:hAnsi="Tahoma" w:eastAsiaTheme="minorEastAsia" w:cs="Tahoma"/>
      <w:color w:val="2A2AA6"/>
      <w:sz w:val="42"/>
      <w:szCs w:val="42"/>
    </w:rPr>
  </w:style>
  <w:style w:type="character" w:customStyle="1" w:styleId="alink">
    <w:name w:val="a_link"/>
    <w:basedOn w:val="DefaultParagraphFont"/>
    <w:rsid w:val="00417266"/>
    <w:rPr>
      <w:color w:val="0000FF"/>
    </w:rPr>
  </w:style>
  <w:style w:type="paragraph" w:customStyle="1" w:styleId="a0">
    <w:name w:val="תואר"/>
    <w:basedOn w:val="Normal"/>
    <w:link w:val="a1"/>
    <w:qFormat/>
    <w:rsid w:val="00417266"/>
    <w:pPr>
      <w:spacing w:line="240" w:lineRule="auto"/>
      <w:jc w:val="center"/>
    </w:pPr>
    <w:rPr>
      <w:rFonts w:eastAsia="Times New Roman" w:cs="Times New Roman"/>
      <w:b/>
      <w:bCs/>
      <w:sz w:val="32"/>
      <w:szCs w:val="32"/>
      <w:lang w:eastAsia="he-IL"/>
    </w:rPr>
  </w:style>
  <w:style w:type="character" w:customStyle="1" w:styleId="a1">
    <w:name w:val="תואר תו"/>
    <w:link w:val="a0"/>
    <w:locked/>
    <w:rsid w:val="00417266"/>
    <w:rPr>
      <w:rFonts w:eastAsia="Times New Roman" w:cs="Times New Roman"/>
      <w:b/>
      <w:bCs/>
      <w:sz w:val="32"/>
      <w:szCs w:val="32"/>
      <w:lang w:eastAsia="he-IL"/>
    </w:rPr>
  </w:style>
  <w:style w:type="character" w:customStyle="1" w:styleId="25">
    <w:name w:val="טקסט הערת שוליים תו2"/>
    <w:uiPriority w:val="99"/>
    <w:rsid w:val="00417266"/>
    <w:rPr>
      <w:rFonts w:cs="David"/>
    </w:rPr>
  </w:style>
  <w:style w:type="paragraph" w:styleId="TOCHeading">
    <w:name w:val="TOC Heading"/>
    <w:basedOn w:val="Heading1"/>
    <w:next w:val="Normal"/>
    <w:uiPriority w:val="39"/>
    <w:unhideWhenUsed/>
    <w:qFormat/>
    <w:rsid w:val="00417266"/>
    <w:pPr>
      <w:spacing w:before="240" w:line="259" w:lineRule="auto"/>
      <w:jc w:val="left"/>
      <w:outlineLvl w:val="9"/>
    </w:pPr>
    <w:rPr>
      <w:rFonts w:asciiTheme="majorHAnsi" w:hAnsiTheme="majorHAnsi" w:cstheme="majorBidi"/>
      <w:bCs w:val="0"/>
      <w:color w:val="1481AB" w:themeColor="accent1" w:themeShade="BF"/>
      <w:sz w:val="32"/>
      <w:szCs w:val="32"/>
      <w:u w:val="none"/>
      <w:rtl/>
      <w:cs/>
    </w:rPr>
  </w:style>
  <w:style w:type="character" w:customStyle="1" w:styleId="highlightspan">
    <w:name w:val="highlightspan"/>
    <w:basedOn w:val="DefaultParagraphFont"/>
    <w:rsid w:val="00417266"/>
  </w:style>
  <w:style w:type="character" w:customStyle="1" w:styleId="14">
    <w:name w:val="נושא הערה תו1"/>
    <w:basedOn w:val="12"/>
    <w:uiPriority w:val="99"/>
    <w:semiHidden/>
    <w:rsid w:val="00417266"/>
    <w:rPr>
      <w:b/>
      <w:bCs/>
      <w:szCs w:val="20"/>
    </w:rPr>
  </w:style>
  <w:style w:type="character" w:styleId="FollowedHyperlink">
    <w:name w:val="FollowedHyperlink"/>
    <w:basedOn w:val="DefaultParagraphFont"/>
    <w:uiPriority w:val="99"/>
    <w:semiHidden/>
    <w:unhideWhenUsed/>
    <w:rsid w:val="00417266"/>
    <w:rPr>
      <w:color w:val="B26B02" w:themeColor="followedHyperlink"/>
      <w:u w:val="single"/>
    </w:rPr>
  </w:style>
  <w:style w:type="paragraph" w:styleId="TableofFigures">
    <w:name w:val="table of figures"/>
    <w:basedOn w:val="Normal"/>
    <w:next w:val="Normal"/>
    <w:uiPriority w:val="99"/>
    <w:semiHidden/>
    <w:unhideWhenUsed/>
    <w:rsid w:val="00417266"/>
  </w:style>
  <w:style w:type="character" w:styleId="PlaceholderText">
    <w:name w:val="Placeholder Text"/>
    <w:basedOn w:val="DefaultParagraphFont"/>
    <w:uiPriority w:val="99"/>
    <w:semiHidden/>
    <w:rsid w:val="00417266"/>
    <w:rPr>
      <w:color w:val="808080"/>
    </w:rPr>
  </w:style>
  <w:style w:type="paragraph" w:customStyle="1" w:styleId="733155">
    <w:name w:val="73א כותרת 3_15.5"/>
    <w:basedOn w:val="Heading3"/>
    <w:link w:val="7331550"/>
    <w:qFormat/>
    <w:rsid w:val="00092EAB"/>
    <w:pPr>
      <w:spacing w:before="360" w:after="180" w:line="240" w:lineRule="atLeast"/>
      <w:jc w:val="left"/>
    </w:pPr>
    <w:rPr>
      <w:rFonts w:ascii="Tahoma" w:eastAsia="Times New Roman" w:hAnsi="Tahoma" w:cs="Tahoma"/>
      <w:b/>
      <w:color w:val="00305F"/>
      <w:sz w:val="31"/>
      <w:szCs w:val="31"/>
      <w:u w:val="none"/>
    </w:rPr>
  </w:style>
  <w:style w:type="paragraph" w:customStyle="1" w:styleId="100">
    <w:name w:val="טקסט רץ 10"/>
    <w:basedOn w:val="Normal"/>
    <w:link w:val="10Char"/>
    <w:qFormat/>
    <w:rsid w:val="00705DA7"/>
    <w:pPr>
      <w:spacing w:after="120"/>
    </w:pPr>
    <w:rPr>
      <w:rFonts w:ascii="Tahoma" w:hAnsi="Tahoma" w:cs="Tahoma"/>
      <w:szCs w:val="20"/>
    </w:rPr>
  </w:style>
  <w:style w:type="character" w:customStyle="1" w:styleId="7331550">
    <w:name w:val="73א כותרת 3_15.5 תו"/>
    <w:basedOn w:val="32"/>
    <w:link w:val="733155"/>
    <w:rsid w:val="00092EAB"/>
    <w:rPr>
      <w:rFonts w:ascii="Tahoma" w:eastAsia="Times New Roman" w:hAnsi="Tahoma" w:cs="Tahoma"/>
      <w:b/>
      <w:bCs/>
      <w:color w:val="00305F"/>
      <w:sz w:val="31"/>
      <w:szCs w:val="31"/>
      <w:u w:val="single"/>
    </w:rPr>
  </w:style>
  <w:style w:type="paragraph" w:customStyle="1" w:styleId="00">
    <w:name w:val="00 הערות שוליים אנגלית צד שמאל"/>
    <w:basedOn w:val="FootnoteText"/>
    <w:link w:val="000"/>
    <w:qFormat/>
    <w:rsid w:val="0096627E"/>
    <w:pPr>
      <w:keepNext/>
      <w:keepLines/>
      <w:spacing w:after="60" w:line="220" w:lineRule="exact"/>
      <w:ind w:left="397" w:hanging="397"/>
    </w:pPr>
    <w:rPr>
      <w:rFonts w:ascii="Tahoma" w:hAnsi="Tahoma" w:cs="Tahoma"/>
      <w:color w:val="0D0D0D" w:themeColor="text1" w:themeTint="F2"/>
      <w:sz w:val="14"/>
      <w:szCs w:val="14"/>
    </w:rPr>
  </w:style>
  <w:style w:type="paragraph" w:customStyle="1" w:styleId="733">
    <w:name w:val="73א לוחות/תרשימים/תמונות/אינפוגרפיקה/מפות"/>
    <w:basedOn w:val="Normal"/>
    <w:qFormat/>
    <w:rsid w:val="004B039B"/>
    <w:pPr>
      <w:keepNext/>
      <w:keepLines/>
      <w:widowControl w:val="0"/>
      <w:spacing w:before="240" w:after="240" w:line="260" w:lineRule="exact"/>
      <w:jc w:val="center"/>
      <w:outlineLvl w:val="6"/>
    </w:pPr>
    <w:rPr>
      <w:rFonts w:ascii="Tahoma" w:hAnsi="Tahoma" w:eastAsiaTheme="minorEastAsia" w:cs="Tahoma"/>
      <w:b/>
      <w:bCs/>
      <w:color w:val="0D0D0D" w:themeColor="text1" w:themeTint="F2"/>
      <w:szCs w:val="20"/>
    </w:rPr>
  </w:style>
  <w:style w:type="paragraph" w:customStyle="1" w:styleId="218">
    <w:name w:val="כותרת 2_18"/>
    <w:basedOn w:val="Heading2"/>
    <w:link w:val="218Char"/>
    <w:qFormat/>
    <w:rsid w:val="00635B2E"/>
    <w:pPr>
      <w:keepLines w:val="0"/>
      <w:spacing w:before="600" w:after="120"/>
      <w:jc w:val="left"/>
    </w:pPr>
    <w:rPr>
      <w:rFonts w:ascii="Arial Bold" w:eastAsia="Times New Roman" w:hAnsi="Arial Bold" w:cs="Tahoma"/>
      <w:bCs w:val="0"/>
      <w:color w:val="365F91"/>
      <w:sz w:val="36"/>
      <w:szCs w:val="36"/>
    </w:rPr>
  </w:style>
  <w:style w:type="character" w:customStyle="1" w:styleId="218Char">
    <w:name w:val="כותרת 2_18 Char"/>
    <w:link w:val="218"/>
    <w:rsid w:val="00635B2E"/>
    <w:rPr>
      <w:rFonts w:ascii="Arial Bold" w:eastAsia="Times New Roman" w:hAnsi="Arial Bold" w:cs="Tahoma"/>
      <w:color w:val="365F91"/>
      <w:sz w:val="36"/>
      <w:szCs w:val="36"/>
    </w:rPr>
  </w:style>
  <w:style w:type="character" w:customStyle="1" w:styleId="a2">
    <w:name w:val="פיסקת רשימה תו"/>
    <w:aliases w:val="1st level - Bullet List Paragraph תו,Bullet List תו,Dot pt תו,FooterText תו,LP1 תו,List Paragraph1 תו,List Paragraph_0 תו,List Paragraph_1 תו,List Paragraph_2 תו,Paragraphe de liste1 תו,lp1 תו,numbered תו,style 2 תו,פיסקת bullets תו"/>
    <w:link w:val="ListParagraph"/>
    <w:uiPriority w:val="34"/>
    <w:qFormat/>
    <w:rsid w:val="00DD7B55"/>
  </w:style>
  <w:style w:type="paragraph" w:customStyle="1" w:styleId="734">
    <w:name w:val="73א הזחה ראשונה מספר"/>
    <w:basedOn w:val="ListParagraph"/>
    <w:link w:val="7336"/>
    <w:qFormat/>
    <w:rsid w:val="0091353C"/>
    <w:pPr>
      <w:spacing w:after="180" w:line="260" w:lineRule="exact"/>
      <w:ind w:left="709" w:hanging="454"/>
      <w:contextualSpacing w:val="0"/>
    </w:pPr>
    <w:rPr>
      <w:rFonts w:ascii="Tahoma" w:hAnsi="Tahoma" w:cs="Tahoma"/>
      <w:color w:val="0D0D0D" w:themeColor="text1" w:themeTint="F2"/>
      <w:sz w:val="18"/>
      <w:szCs w:val="18"/>
    </w:rPr>
  </w:style>
  <w:style w:type="paragraph" w:customStyle="1" w:styleId="735">
    <w:name w:val="73א הזחה שנייה ריק"/>
    <w:basedOn w:val="BodyTextIndent"/>
    <w:link w:val="7311"/>
    <w:qFormat/>
    <w:rsid w:val="0074714A"/>
    <w:pPr>
      <w:spacing w:after="180" w:line="260" w:lineRule="exact"/>
      <w:ind w:left="794"/>
    </w:pPr>
    <w:rPr>
      <w:color w:val="0D0D0D" w:themeColor="text1" w:themeTint="F2"/>
      <w:sz w:val="18"/>
      <w:szCs w:val="18"/>
    </w:rPr>
  </w:style>
  <w:style w:type="paragraph" w:customStyle="1" w:styleId="736">
    <w:name w:val="73א הזחה שנייה אותיות"/>
    <w:basedOn w:val="ListParagraph"/>
    <w:qFormat/>
    <w:rsid w:val="00591F15"/>
    <w:pPr>
      <w:spacing w:after="180" w:line="260" w:lineRule="exact"/>
      <w:ind w:left="0"/>
    </w:pPr>
    <w:rPr>
      <w:rFonts w:ascii="Tahoma" w:hAnsi="Tahoma" w:cs="Tahoma"/>
      <w:color w:val="0D0D0D" w:themeColor="text1" w:themeTint="F2"/>
      <w:sz w:val="18"/>
      <w:szCs w:val="18"/>
    </w:rPr>
  </w:style>
  <w:style w:type="paragraph" w:customStyle="1" w:styleId="737">
    <w:name w:val="73א מקרא+הערות לתרשים/לוח/תמונה"/>
    <w:basedOn w:val="00"/>
    <w:link w:val="7330"/>
    <w:qFormat/>
    <w:rsid w:val="00003ABB"/>
    <w:pPr>
      <w:keepNext w:val="0"/>
      <w:keepLines w:val="0"/>
      <w:spacing w:before="120" w:after="240" w:line="260" w:lineRule="exact"/>
      <w:ind w:left="0" w:firstLine="0"/>
    </w:pPr>
    <w:rPr>
      <w:sz w:val="16"/>
      <w:szCs w:val="16"/>
    </w:rPr>
  </w:style>
  <w:style w:type="paragraph" w:customStyle="1" w:styleId="738">
    <w:name w:val="73א קוביה כחולה הזחה שנייה"/>
    <w:basedOn w:val="Normal"/>
    <w:qFormat/>
    <w:rsid w:val="00FF6AD9"/>
    <w:pPr>
      <w:keepLines/>
      <w:pBdr>
        <w:top w:val="single" w:sz="18" w:space="4" w:color="CEEAF6"/>
        <w:left w:val="single" w:sz="18" w:space="11" w:color="CEEAF6"/>
        <w:bottom w:val="single" w:sz="18" w:space="6" w:color="CEEAF6"/>
        <w:right w:val="single" w:sz="18" w:space="11" w:color="CEEAF6"/>
      </w:pBdr>
      <w:shd w:val="solid" w:color="CEEAF6" w:fill="auto"/>
      <w:tabs>
        <w:tab w:val="left" w:pos="624"/>
      </w:tabs>
      <w:spacing w:after="180" w:line="260" w:lineRule="exact"/>
      <w:ind w:left="1077" w:right="284"/>
    </w:pPr>
    <w:rPr>
      <w:rFonts w:ascii="Tahoma" w:eastAsia="Times New Roman" w:hAnsi="Tahoma" w:cs="Tahoma"/>
      <w:color w:val="0D0D0D" w:themeColor="text1" w:themeTint="F2"/>
      <w:sz w:val="18"/>
      <w:szCs w:val="18"/>
      <w:lang w:eastAsia="he-IL"/>
    </w:rPr>
  </w:style>
  <w:style w:type="paragraph" w:customStyle="1" w:styleId="739">
    <w:name w:val="73א קוביה כחולה בתוך הזחה ראשונה"/>
    <w:basedOn w:val="738"/>
    <w:qFormat/>
    <w:rsid w:val="00003557"/>
    <w:pPr>
      <w:pBdr>
        <w:top w:val="single" w:sz="18" w:space="4" w:color="CEEAF5"/>
        <w:left w:val="single" w:sz="18" w:space="11" w:color="CEEAF5"/>
        <w:bottom w:val="single" w:sz="18" w:space="6" w:color="CEEAF5"/>
        <w:right w:val="single" w:sz="18" w:space="11" w:color="CEEAF5"/>
      </w:pBdr>
      <w:shd w:val="solid" w:color="CEEAF5" w:fill="auto"/>
      <w:spacing w:after="120"/>
      <w:ind w:left="680" w:right="227"/>
    </w:pPr>
  </w:style>
  <w:style w:type="paragraph" w:customStyle="1" w:styleId="7310">
    <w:name w:val="73א הזחה שנייה ללא מספר"/>
    <w:basedOn w:val="735"/>
    <w:link w:val="7312"/>
    <w:qFormat/>
    <w:rsid w:val="00543F8A"/>
  </w:style>
  <w:style w:type="character" w:customStyle="1" w:styleId="7311">
    <w:name w:val="73א הזחה שנייה ריק תו"/>
    <w:basedOn w:val="a"/>
    <w:link w:val="735"/>
    <w:rsid w:val="0074714A"/>
    <w:rPr>
      <w:rFonts w:ascii="Tahoma" w:hAnsi="Tahoma" w:cs="Tahoma"/>
      <w:color w:val="0D0D0D" w:themeColor="text1" w:themeTint="F2"/>
      <w:sz w:val="18"/>
      <w:szCs w:val="18"/>
    </w:rPr>
  </w:style>
  <w:style w:type="character" w:customStyle="1" w:styleId="7312">
    <w:name w:val="73א הזחה שנייה ללא מספר תו"/>
    <w:basedOn w:val="7311"/>
    <w:link w:val="7310"/>
    <w:rsid w:val="00543F8A"/>
    <w:rPr>
      <w:rFonts w:ascii="Tahoma" w:hAnsi="Tahoma" w:cs="Tahoma"/>
      <w:color w:val="0D0D0D" w:themeColor="text1" w:themeTint="F2"/>
      <w:sz w:val="18"/>
      <w:szCs w:val="18"/>
    </w:rPr>
  </w:style>
  <w:style w:type="paragraph" w:customStyle="1" w:styleId="7313">
    <w:name w:val="73א מספור הערות שוליים"/>
    <w:basedOn w:val="00"/>
    <w:qFormat/>
    <w:rsid w:val="003B639B"/>
  </w:style>
  <w:style w:type="paragraph" w:customStyle="1" w:styleId="73R">
    <w:name w:val="73א טבלה טקסט R"/>
    <w:basedOn w:val="Normal"/>
    <w:qFormat/>
    <w:rsid w:val="009F08EA"/>
    <w:pPr>
      <w:keepLines/>
      <w:spacing w:before="120" w:after="120" w:line="180" w:lineRule="exact"/>
      <w:jc w:val="left"/>
    </w:pPr>
    <w:rPr>
      <w:rFonts w:ascii="Tahoma" w:hAnsi="Tahoma" w:eastAsiaTheme="minorEastAsia" w:cs="Tahoma"/>
      <w:sz w:val="16"/>
      <w:szCs w:val="16"/>
    </w:rPr>
  </w:style>
  <w:style w:type="paragraph" w:customStyle="1" w:styleId="73B">
    <w:name w:val="73א טבלה טקסט B"/>
    <w:basedOn w:val="Normal"/>
    <w:qFormat/>
    <w:rsid w:val="00520550"/>
    <w:pPr>
      <w:spacing w:before="120" w:after="120" w:line="180" w:lineRule="exact"/>
      <w:jc w:val="left"/>
    </w:pPr>
    <w:rPr>
      <w:rFonts w:ascii="Tahoma" w:hAnsi="Tahoma" w:eastAsiaTheme="minorEastAsia" w:cs="Tahoma"/>
      <w:b/>
      <w:bCs/>
      <w:sz w:val="16"/>
      <w:szCs w:val="16"/>
    </w:rPr>
  </w:style>
  <w:style w:type="paragraph" w:customStyle="1" w:styleId="73HEADER">
    <w:name w:val="73א טבלה HEADER"/>
    <w:basedOn w:val="Normal"/>
    <w:qFormat/>
    <w:rsid w:val="00520550"/>
    <w:pPr>
      <w:spacing w:before="120" w:after="120" w:line="180" w:lineRule="exact"/>
      <w:jc w:val="left"/>
    </w:pPr>
    <w:rPr>
      <w:rFonts w:ascii="Tahoma" w:hAnsi="Tahoma" w:eastAsiaTheme="minorEastAsia" w:cs="Tahoma"/>
      <w:b/>
      <w:color w:val="0D0D0D" w:themeColor="text1" w:themeTint="F2"/>
      <w:sz w:val="16"/>
      <w:szCs w:val="16"/>
    </w:rPr>
  </w:style>
  <w:style w:type="paragraph" w:customStyle="1" w:styleId="a3">
    <w:name w:val="כניסה שלישית"/>
    <w:basedOn w:val="ListParagraph"/>
    <w:qFormat/>
    <w:rsid w:val="008E5512"/>
    <w:pPr>
      <w:spacing w:after="120"/>
      <w:ind w:left="0"/>
    </w:pPr>
    <w:rPr>
      <w:rFonts w:ascii="Tahoma" w:hAnsi="Tahoma" w:cs="Tahoma"/>
      <w:szCs w:val="20"/>
    </w:rPr>
  </w:style>
  <w:style w:type="paragraph" w:customStyle="1" w:styleId="7314">
    <w:name w:val="73א הזחה שלישית"/>
    <w:basedOn w:val="7310"/>
    <w:qFormat/>
    <w:rsid w:val="00591F15"/>
    <w:pPr>
      <w:ind w:left="1191"/>
    </w:pPr>
  </w:style>
  <w:style w:type="paragraph" w:customStyle="1" w:styleId="7315">
    <w:name w:val="73א קוביה כחולה הזחה שלישית"/>
    <w:basedOn w:val="738"/>
    <w:qFormat/>
    <w:rsid w:val="00FF6AD9"/>
    <w:pPr>
      <w:framePr w:wrap="around" w:vAnchor="text" w:hAnchor="text" w:y="1"/>
      <w:shd w:val="solid" w:color="CEEAF6" w:fill="CEEAF6"/>
      <w:spacing w:after="120"/>
      <w:ind w:left="1474"/>
    </w:pPr>
  </w:style>
  <w:style w:type="paragraph" w:customStyle="1" w:styleId="15">
    <w:name w:val="קוביה הזחה 1"/>
    <w:basedOn w:val="738"/>
    <w:qFormat/>
    <w:rsid w:val="005C2859"/>
    <w:pPr>
      <w:ind w:left="680"/>
    </w:pPr>
  </w:style>
  <w:style w:type="paragraph" w:customStyle="1" w:styleId="7316">
    <w:name w:val="73א הזחה ראשונה ללא מספר"/>
    <w:basedOn w:val="7310"/>
    <w:qFormat/>
    <w:rsid w:val="003570AC"/>
    <w:pPr>
      <w:ind w:left="397"/>
    </w:pPr>
  </w:style>
  <w:style w:type="paragraph" w:customStyle="1" w:styleId="7317">
    <w:name w:val="73א קוביה רצה"/>
    <w:basedOn w:val="739"/>
    <w:link w:val="732"/>
    <w:qFormat/>
    <w:rsid w:val="004B039B"/>
    <w:pPr>
      <w:ind w:left="227"/>
    </w:pPr>
  </w:style>
  <w:style w:type="paragraph" w:customStyle="1" w:styleId="73414">
    <w:name w:val="73א כותרת 4_14"/>
    <w:basedOn w:val="Heading4"/>
    <w:qFormat/>
    <w:rsid w:val="0078358A"/>
    <w:pPr>
      <w:spacing w:after="180" w:line="240" w:lineRule="atLeast"/>
      <w:jc w:val="left"/>
    </w:pPr>
    <w:rPr>
      <w:rFonts w:ascii="Tahoma" w:hAnsi="Tahoma" w:cs="Tahoma"/>
      <w:b/>
      <w:color w:val="00305F"/>
      <w:sz w:val="28"/>
      <w:szCs w:val="28"/>
    </w:rPr>
  </w:style>
  <w:style w:type="paragraph" w:customStyle="1" w:styleId="7318">
    <w:name w:val="73א הזחה בתוך קוביה"/>
    <w:basedOn w:val="7317"/>
    <w:qFormat/>
    <w:rsid w:val="009D0EE8"/>
    <w:pPr>
      <w:ind w:left="0"/>
    </w:pPr>
  </w:style>
  <w:style w:type="paragraph" w:customStyle="1" w:styleId="73512">
    <w:name w:val="73א כותרת 5_12"/>
    <w:basedOn w:val="100"/>
    <w:qFormat/>
    <w:rsid w:val="0078358A"/>
    <w:pPr>
      <w:keepNext/>
      <w:keepLines/>
      <w:spacing w:before="240" w:after="180" w:line="240" w:lineRule="atLeast"/>
      <w:jc w:val="left"/>
      <w:outlineLvl w:val="4"/>
    </w:pPr>
    <w:rPr>
      <w:b/>
      <w:bCs/>
      <w:color w:val="00305F"/>
      <w:sz w:val="24"/>
      <w:szCs w:val="24"/>
    </w:rPr>
  </w:style>
  <w:style w:type="paragraph" w:customStyle="1" w:styleId="7319">
    <w:name w:val="73א מספרים בתוך קוביה"/>
    <w:basedOn w:val="7318"/>
    <w:rsid w:val="00520550"/>
  </w:style>
  <w:style w:type="paragraph" w:customStyle="1" w:styleId="73110">
    <w:name w:val="73א אותיות בתוך קוביה 1"/>
    <w:basedOn w:val="7319"/>
    <w:qFormat/>
    <w:rsid w:val="00B30FEF"/>
  </w:style>
  <w:style w:type="numbering" w:customStyle="1" w:styleId="-">
    <w:name w:val="משרד האוצר - מדורג"/>
    <w:uiPriority w:val="99"/>
    <w:rsid w:val="006D5CCE"/>
    <w:pPr>
      <w:numPr>
        <w:numId w:val="1"/>
      </w:numPr>
    </w:pPr>
  </w:style>
  <w:style w:type="paragraph" w:customStyle="1" w:styleId="gmail-msolistparagraph">
    <w:name w:val="gmail-msolistparagraph"/>
    <w:basedOn w:val="Normal"/>
    <w:uiPriority w:val="99"/>
    <w:rsid w:val="006D5CCE"/>
    <w:pPr>
      <w:bidi w:val="0"/>
      <w:spacing w:before="100" w:beforeAutospacing="1" w:after="100" w:afterAutospacing="1" w:line="240" w:lineRule="auto"/>
      <w:jc w:val="left"/>
    </w:pPr>
    <w:rPr>
      <w:rFonts w:cs="Times New Roman"/>
      <w:sz w:val="24"/>
    </w:rPr>
  </w:style>
  <w:style w:type="paragraph" w:styleId="PlainText">
    <w:name w:val="Plain Text"/>
    <w:basedOn w:val="Normal"/>
    <w:link w:val="a4"/>
    <w:uiPriority w:val="99"/>
    <w:unhideWhenUsed/>
    <w:rsid w:val="006D5CCE"/>
    <w:pPr>
      <w:spacing w:line="240" w:lineRule="auto"/>
      <w:jc w:val="left"/>
    </w:pPr>
    <w:rPr>
      <w:rFonts w:ascii="Calibri" w:hAnsi="Calibri" w:cstheme="minorBidi"/>
      <w:sz w:val="22"/>
      <w:szCs w:val="21"/>
    </w:rPr>
  </w:style>
  <w:style w:type="character" w:customStyle="1" w:styleId="a4">
    <w:name w:val="טקסט רגיל תו"/>
    <w:basedOn w:val="DefaultParagraphFont"/>
    <w:link w:val="PlainText"/>
    <w:uiPriority w:val="99"/>
    <w:rsid w:val="006D5CCE"/>
    <w:rPr>
      <w:rFonts w:ascii="Calibri" w:hAnsi="Calibri" w:cstheme="minorBidi"/>
      <w:sz w:val="22"/>
      <w:szCs w:val="21"/>
    </w:rPr>
  </w:style>
  <w:style w:type="table" w:customStyle="1" w:styleId="26">
    <w:name w:val="רשת טבלה2"/>
    <w:basedOn w:val="TableNormal"/>
    <w:next w:val="TableGrid"/>
    <w:uiPriority w:val="59"/>
    <w:rsid w:val="006D5CCE"/>
    <w:pPr>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a5"/>
    <w:uiPriority w:val="99"/>
    <w:unhideWhenUsed/>
    <w:rsid w:val="006D5CCE"/>
    <w:pPr>
      <w:spacing w:line="240" w:lineRule="auto"/>
    </w:pPr>
    <w:rPr>
      <w:szCs w:val="20"/>
    </w:rPr>
  </w:style>
  <w:style w:type="character" w:customStyle="1" w:styleId="a5">
    <w:name w:val="טקסט הערת סיום תו"/>
    <w:basedOn w:val="DefaultParagraphFont"/>
    <w:link w:val="EndnoteText"/>
    <w:uiPriority w:val="99"/>
    <w:rsid w:val="006D5CCE"/>
    <w:rPr>
      <w:szCs w:val="20"/>
    </w:rPr>
  </w:style>
  <w:style w:type="paragraph" w:customStyle="1" w:styleId="110">
    <w:name w:val="כותרת 11"/>
    <w:basedOn w:val="Normal"/>
    <w:next w:val="Normal"/>
    <w:link w:val="16"/>
    <w:uiPriority w:val="1"/>
    <w:qFormat/>
    <w:rsid w:val="002516DF"/>
    <w:pPr>
      <w:keepNext/>
      <w:keepLines/>
      <w:jc w:val="center"/>
      <w:outlineLvl w:val="0"/>
    </w:pPr>
    <w:rPr>
      <w:rFonts w:eastAsia="Times New Roman"/>
      <w:bCs/>
      <w:szCs w:val="36"/>
      <w:u w:val="single"/>
    </w:rPr>
  </w:style>
  <w:style w:type="paragraph" w:customStyle="1" w:styleId="210">
    <w:name w:val="כותרת 21"/>
    <w:basedOn w:val="Normal"/>
    <w:next w:val="Normal"/>
    <w:link w:val="27"/>
    <w:uiPriority w:val="1"/>
    <w:qFormat/>
    <w:rsid w:val="002516DF"/>
    <w:pPr>
      <w:keepNext/>
      <w:keepLines/>
      <w:spacing w:before="480"/>
      <w:jc w:val="center"/>
      <w:outlineLvl w:val="1"/>
    </w:pPr>
    <w:rPr>
      <w:rFonts w:eastAsia="Times New Roman"/>
      <w:bCs/>
      <w:szCs w:val="32"/>
    </w:rPr>
  </w:style>
  <w:style w:type="paragraph" w:customStyle="1" w:styleId="31">
    <w:name w:val="כותרת 31"/>
    <w:basedOn w:val="Normal"/>
    <w:next w:val="Normal"/>
    <w:link w:val="30"/>
    <w:uiPriority w:val="1"/>
    <w:qFormat/>
    <w:rsid w:val="002516DF"/>
    <w:pPr>
      <w:keepNext/>
      <w:keepLines/>
      <w:spacing w:before="120"/>
      <w:outlineLvl w:val="2"/>
    </w:pPr>
    <w:rPr>
      <w:rFonts w:eastAsia="Times New Roman"/>
      <w:bCs/>
      <w:szCs w:val="28"/>
      <w:u w:val="single"/>
    </w:rPr>
  </w:style>
  <w:style w:type="paragraph" w:customStyle="1" w:styleId="410">
    <w:name w:val="כותרת 41"/>
    <w:basedOn w:val="Normal"/>
    <w:next w:val="Normal"/>
    <w:link w:val="4"/>
    <w:uiPriority w:val="1"/>
    <w:qFormat/>
    <w:rsid w:val="002516DF"/>
    <w:pPr>
      <w:keepNext/>
      <w:keepLines/>
      <w:spacing w:before="120"/>
      <w:outlineLvl w:val="3"/>
    </w:pPr>
    <w:rPr>
      <w:rFonts w:eastAsia="Times New Roman"/>
      <w:bCs/>
      <w:szCs w:val="26"/>
    </w:rPr>
  </w:style>
  <w:style w:type="paragraph" w:customStyle="1" w:styleId="510">
    <w:name w:val="כותרת 51"/>
    <w:basedOn w:val="Normal"/>
    <w:next w:val="Normal"/>
    <w:link w:val="5"/>
    <w:uiPriority w:val="1"/>
    <w:qFormat/>
    <w:rsid w:val="002516DF"/>
    <w:pPr>
      <w:keepNext/>
      <w:keepLines/>
      <w:outlineLvl w:val="4"/>
    </w:pPr>
    <w:rPr>
      <w:rFonts w:eastAsia="Times New Roman"/>
      <w:bCs/>
      <w:spacing w:val="40"/>
    </w:rPr>
  </w:style>
  <w:style w:type="paragraph" w:customStyle="1" w:styleId="610">
    <w:name w:val="כותרת 61"/>
    <w:basedOn w:val="Normal"/>
    <w:next w:val="Normal"/>
    <w:link w:val="6"/>
    <w:uiPriority w:val="1"/>
    <w:qFormat/>
    <w:rsid w:val="002516DF"/>
    <w:pPr>
      <w:keepNext/>
      <w:keepLines/>
      <w:outlineLvl w:val="5"/>
    </w:pPr>
    <w:rPr>
      <w:rFonts w:eastAsia="Times New Roman"/>
      <w:spacing w:val="40"/>
    </w:rPr>
  </w:style>
  <w:style w:type="paragraph" w:customStyle="1" w:styleId="710">
    <w:name w:val="כותרת 71"/>
    <w:basedOn w:val="Normal"/>
    <w:next w:val="Normal"/>
    <w:link w:val="7"/>
    <w:uiPriority w:val="1"/>
    <w:qFormat/>
    <w:rsid w:val="002516DF"/>
    <w:pPr>
      <w:keepNext/>
      <w:keepLines/>
      <w:outlineLvl w:val="6"/>
    </w:pPr>
    <w:rPr>
      <w:rFonts w:eastAsia="Times New Roman"/>
      <w:bCs/>
      <w:spacing w:val="40"/>
    </w:rPr>
  </w:style>
  <w:style w:type="paragraph" w:customStyle="1" w:styleId="810">
    <w:name w:val="כותרת 81"/>
    <w:basedOn w:val="Normal"/>
    <w:next w:val="Normal"/>
    <w:link w:val="8"/>
    <w:uiPriority w:val="1"/>
    <w:qFormat/>
    <w:rsid w:val="002516DF"/>
    <w:pPr>
      <w:keepNext/>
      <w:keepLines/>
      <w:outlineLvl w:val="7"/>
    </w:pPr>
    <w:rPr>
      <w:rFonts w:eastAsia="Times New Roman"/>
      <w:spacing w:val="40"/>
    </w:rPr>
  </w:style>
  <w:style w:type="character" w:customStyle="1" w:styleId="16">
    <w:name w:val="כותרת 1 תו"/>
    <w:link w:val="110"/>
    <w:uiPriority w:val="1"/>
    <w:rsid w:val="002516DF"/>
    <w:rPr>
      <w:rFonts w:eastAsia="Times New Roman"/>
      <w:bCs/>
      <w:szCs w:val="36"/>
      <w:u w:val="single"/>
    </w:rPr>
  </w:style>
  <w:style w:type="character" w:customStyle="1" w:styleId="27">
    <w:name w:val="כותרת 2 תו"/>
    <w:link w:val="210"/>
    <w:uiPriority w:val="1"/>
    <w:rsid w:val="002516DF"/>
    <w:rPr>
      <w:rFonts w:eastAsia="Times New Roman"/>
      <w:bCs/>
      <w:szCs w:val="32"/>
    </w:rPr>
  </w:style>
  <w:style w:type="character" w:customStyle="1" w:styleId="30">
    <w:name w:val="כותרת 3 תו"/>
    <w:link w:val="31"/>
    <w:uiPriority w:val="1"/>
    <w:rsid w:val="002516DF"/>
    <w:rPr>
      <w:rFonts w:eastAsia="Times New Roman"/>
      <w:bCs/>
      <w:szCs w:val="28"/>
      <w:u w:val="single"/>
    </w:rPr>
  </w:style>
  <w:style w:type="character" w:customStyle="1" w:styleId="4">
    <w:name w:val="כותרת 4 תו"/>
    <w:link w:val="410"/>
    <w:uiPriority w:val="1"/>
    <w:rsid w:val="002516DF"/>
    <w:rPr>
      <w:rFonts w:eastAsia="Times New Roman"/>
      <w:bCs/>
      <w:szCs w:val="26"/>
    </w:rPr>
  </w:style>
  <w:style w:type="character" w:customStyle="1" w:styleId="5">
    <w:name w:val="כותרת 5 תו"/>
    <w:link w:val="510"/>
    <w:uiPriority w:val="1"/>
    <w:rsid w:val="002516DF"/>
    <w:rPr>
      <w:rFonts w:eastAsia="Times New Roman"/>
      <w:bCs/>
      <w:spacing w:val="40"/>
    </w:rPr>
  </w:style>
  <w:style w:type="character" w:customStyle="1" w:styleId="6">
    <w:name w:val="כותרת 6 תו"/>
    <w:link w:val="610"/>
    <w:uiPriority w:val="1"/>
    <w:rsid w:val="002516DF"/>
    <w:rPr>
      <w:rFonts w:eastAsia="Times New Roman"/>
      <w:spacing w:val="40"/>
    </w:rPr>
  </w:style>
  <w:style w:type="character" w:customStyle="1" w:styleId="7">
    <w:name w:val="כותרת 7 תו"/>
    <w:link w:val="710"/>
    <w:uiPriority w:val="1"/>
    <w:rsid w:val="002516DF"/>
    <w:rPr>
      <w:rFonts w:eastAsia="Times New Roman"/>
      <w:bCs/>
      <w:spacing w:val="40"/>
    </w:rPr>
  </w:style>
  <w:style w:type="character" w:customStyle="1" w:styleId="8">
    <w:name w:val="כותרת 8 תו"/>
    <w:link w:val="810"/>
    <w:uiPriority w:val="1"/>
    <w:rsid w:val="002516DF"/>
    <w:rPr>
      <w:rFonts w:eastAsia="Times New Roman"/>
      <w:spacing w:val="40"/>
    </w:rPr>
  </w:style>
  <w:style w:type="paragraph" w:customStyle="1" w:styleId="17">
    <w:name w:val="כותרת עליונה1"/>
    <w:basedOn w:val="Normal"/>
    <w:link w:val="a6"/>
    <w:uiPriority w:val="99"/>
    <w:unhideWhenUsed/>
    <w:rsid w:val="002516DF"/>
    <w:pPr>
      <w:tabs>
        <w:tab w:val="center" w:pos="4153"/>
        <w:tab w:val="right" w:pos="8306"/>
      </w:tabs>
      <w:spacing w:line="240" w:lineRule="auto"/>
    </w:pPr>
    <w:rPr>
      <w:rFonts w:eastAsia="Calibri"/>
    </w:rPr>
  </w:style>
  <w:style w:type="character" w:customStyle="1" w:styleId="a6">
    <w:name w:val="כותרת עליונה תו"/>
    <w:basedOn w:val="DefaultParagraphFont"/>
    <w:link w:val="17"/>
    <w:uiPriority w:val="99"/>
    <w:rsid w:val="002516DF"/>
    <w:rPr>
      <w:rFonts w:eastAsia="Calibri"/>
    </w:rPr>
  </w:style>
  <w:style w:type="paragraph" w:customStyle="1" w:styleId="18">
    <w:name w:val="כותרת תחתונה1"/>
    <w:basedOn w:val="Normal"/>
    <w:link w:val="a7"/>
    <w:uiPriority w:val="99"/>
    <w:unhideWhenUsed/>
    <w:rsid w:val="002516DF"/>
    <w:pPr>
      <w:tabs>
        <w:tab w:val="center" w:pos="4153"/>
        <w:tab w:val="right" w:pos="8306"/>
      </w:tabs>
      <w:spacing w:line="240" w:lineRule="auto"/>
    </w:pPr>
    <w:rPr>
      <w:rFonts w:eastAsia="Calibri"/>
    </w:rPr>
  </w:style>
  <w:style w:type="character" w:customStyle="1" w:styleId="a7">
    <w:name w:val="כותרת תחתונה תו"/>
    <w:basedOn w:val="DefaultParagraphFont"/>
    <w:link w:val="18"/>
    <w:uiPriority w:val="99"/>
    <w:rsid w:val="002516DF"/>
    <w:rPr>
      <w:rFonts w:eastAsia="Calibri"/>
    </w:rPr>
  </w:style>
  <w:style w:type="paragraph" w:customStyle="1" w:styleId="19">
    <w:name w:val="תאריך1"/>
    <w:basedOn w:val="Normal"/>
    <w:next w:val="Normal"/>
    <w:link w:val="a8"/>
    <w:uiPriority w:val="99"/>
    <w:unhideWhenUsed/>
    <w:rsid w:val="002516DF"/>
    <w:pPr>
      <w:spacing w:before="120" w:line="240" w:lineRule="auto"/>
    </w:pPr>
    <w:rPr>
      <w:rFonts w:eastAsia="Calibri"/>
    </w:rPr>
  </w:style>
  <w:style w:type="character" w:customStyle="1" w:styleId="a8">
    <w:name w:val="תאריך תו"/>
    <w:basedOn w:val="DefaultParagraphFont"/>
    <w:link w:val="19"/>
    <w:uiPriority w:val="99"/>
    <w:rsid w:val="002516DF"/>
    <w:rPr>
      <w:rFonts w:eastAsia="Calibri"/>
    </w:rPr>
  </w:style>
  <w:style w:type="character" w:customStyle="1" w:styleId="a9">
    <w:name w:val="טקסט הערת שוליים תו"/>
    <w:aliases w:val=" Char תו,Char תו,FOOTNOTES תו,Footnote Text - Sharp Char Char תו,Footnote Text - Sharp Char תו,Footnote Text - Sharp תו,Footnote Text Char Char Char Char Char תו,Footnote Text תו,Footnote reference תו,Sharp - Footnote Text תו,fn תו"/>
    <w:uiPriority w:val="99"/>
    <w:rsid w:val="002516DF"/>
    <w:rPr>
      <w:szCs w:val="20"/>
    </w:rPr>
  </w:style>
  <w:style w:type="paragraph" w:customStyle="1" w:styleId="111">
    <w:name w:val="פיסקת רשימה1"/>
    <w:basedOn w:val="Normal"/>
    <w:uiPriority w:val="34"/>
    <w:qFormat/>
    <w:rsid w:val="002516DF"/>
    <w:pPr>
      <w:ind w:left="720"/>
      <w:contextualSpacing/>
    </w:pPr>
    <w:rPr>
      <w:rFonts w:eastAsia="Calibri"/>
    </w:rPr>
  </w:style>
  <w:style w:type="paragraph" w:customStyle="1" w:styleId="a10">
    <w:name w:val="סגנון רגיל +"/>
    <w:basedOn w:val="Normal"/>
    <w:rsid w:val="002516DF"/>
    <w:pPr>
      <w:overflowPunct w:val="0"/>
      <w:autoSpaceDE w:val="0"/>
      <w:autoSpaceDN w:val="0"/>
      <w:adjustRightInd w:val="0"/>
      <w:spacing w:line="240" w:lineRule="auto"/>
      <w:jc w:val="left"/>
      <w:textAlignment w:val="baseline"/>
    </w:pPr>
    <w:rPr>
      <w:rFonts w:ascii="Arial" w:eastAsia="Times New Roman" w:hAnsi="Arial" w:cs="Arial"/>
      <w:sz w:val="22"/>
      <w:szCs w:val="22"/>
      <w:lang w:eastAsia="he-IL"/>
    </w:rPr>
  </w:style>
  <w:style w:type="paragraph" w:customStyle="1" w:styleId="112">
    <w:name w:val="טקסט בלונים1"/>
    <w:basedOn w:val="Normal"/>
    <w:link w:val="a11"/>
    <w:uiPriority w:val="99"/>
    <w:semiHidden/>
    <w:unhideWhenUsed/>
    <w:rsid w:val="002516DF"/>
    <w:pPr>
      <w:spacing w:line="240" w:lineRule="auto"/>
    </w:pPr>
    <w:rPr>
      <w:rFonts w:ascii="Tahoma" w:eastAsia="Calibri" w:hAnsi="Tahoma" w:cs="Tahoma"/>
      <w:sz w:val="18"/>
      <w:szCs w:val="18"/>
    </w:rPr>
  </w:style>
  <w:style w:type="character" w:customStyle="1" w:styleId="a11">
    <w:name w:val="טקסט בלונים תו"/>
    <w:link w:val="112"/>
    <w:uiPriority w:val="99"/>
    <w:semiHidden/>
    <w:rsid w:val="002516DF"/>
    <w:rPr>
      <w:rFonts w:ascii="Tahoma" w:eastAsia="Calibri" w:hAnsi="Tahoma" w:cs="Tahoma"/>
      <w:sz w:val="18"/>
      <w:szCs w:val="18"/>
    </w:rPr>
  </w:style>
  <w:style w:type="character" w:customStyle="1" w:styleId="113">
    <w:name w:val="כותרת תחתונה תו1"/>
    <w:uiPriority w:val="99"/>
    <w:rsid w:val="002516DF"/>
    <w:rPr>
      <w:rFonts w:cs="David"/>
      <w:sz w:val="24"/>
      <w:szCs w:val="24"/>
    </w:rPr>
  </w:style>
  <w:style w:type="character" w:customStyle="1" w:styleId="114">
    <w:name w:val="טקסט הערת שוליים תו1"/>
    <w:aliases w:val="Char תו1,Sharp - Footnote Text1 Char תו"/>
    <w:uiPriority w:val="99"/>
    <w:locked/>
    <w:rsid w:val="002516DF"/>
    <w:rPr>
      <w:rFonts w:cs="David"/>
      <w:sz w:val="20"/>
      <w:szCs w:val="20"/>
      <w:lang w:bidi="he-IL"/>
    </w:rPr>
  </w:style>
  <w:style w:type="character" w:customStyle="1" w:styleId="9">
    <w:name w:val="כותרת 9 תו"/>
    <w:locked/>
    <w:rsid w:val="002516DF"/>
    <w:rPr>
      <w:rFonts w:ascii="Cambria" w:hAnsi="Cambria" w:cs="Times New Roman"/>
    </w:rPr>
  </w:style>
  <w:style w:type="paragraph" w:customStyle="1" w:styleId="BulletList2">
    <w:name w:val="Bullet List 2"/>
    <w:basedOn w:val="Normal"/>
    <w:link w:val="BulletList20"/>
    <w:rsid w:val="002516DF"/>
    <w:pPr>
      <w:numPr>
        <w:numId w:val="2"/>
      </w:numPr>
      <w:snapToGrid w:val="0"/>
      <w:spacing w:before="120" w:line="320" w:lineRule="exact"/>
    </w:pPr>
    <w:rPr>
      <w:rFonts w:eastAsia="Times New Roman"/>
      <w:sz w:val="22"/>
      <w:szCs w:val="28"/>
      <w:lang w:eastAsia="he-IL"/>
    </w:rPr>
  </w:style>
  <w:style w:type="paragraph" w:customStyle="1" w:styleId="Hn1">
    <w:name w:val="Hn1"/>
    <w:basedOn w:val="Normal"/>
    <w:next w:val="Normal"/>
    <w:rsid w:val="002516DF"/>
    <w:pPr>
      <w:keepNext/>
      <w:numPr>
        <w:numId w:val="3"/>
      </w:numPr>
      <w:snapToGrid w:val="0"/>
      <w:spacing w:before="240" w:after="120" w:line="320" w:lineRule="exact"/>
      <w:outlineLvl w:val="0"/>
    </w:pPr>
    <w:rPr>
      <w:rFonts w:eastAsia="Times New Roman"/>
      <w:b/>
      <w:bCs/>
      <w:kern w:val="32"/>
      <w:sz w:val="28"/>
      <w:szCs w:val="32"/>
      <w:lang w:val="pl-PL" w:eastAsia="he-IL"/>
    </w:rPr>
  </w:style>
  <w:style w:type="character" w:customStyle="1" w:styleId="BulletList20">
    <w:name w:val="Bullet List 2 תו"/>
    <w:link w:val="BulletList2"/>
    <w:rsid w:val="002516DF"/>
    <w:rPr>
      <w:rFonts w:eastAsia="Times New Roman"/>
      <w:sz w:val="22"/>
      <w:szCs w:val="28"/>
      <w:lang w:eastAsia="he-IL"/>
    </w:rPr>
  </w:style>
  <w:style w:type="table" w:customStyle="1" w:styleId="5-11">
    <w:name w:val="טבלת רשת 5 כהה - הדגשה 11"/>
    <w:basedOn w:val="TableNormal"/>
    <w:uiPriority w:val="50"/>
    <w:rsid w:val="002516DF"/>
    <w:pPr>
      <w:spacing w:after="0" w:line="240" w:lineRule="auto"/>
      <w:jc w:val="left"/>
    </w:pPr>
    <w:rPr>
      <w:rFonts w:eastAsia="Calibri"/>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3-11">
    <w:name w:val="טבלת רשימה 3 - הדגשה 11"/>
    <w:basedOn w:val="TableNormal"/>
    <w:uiPriority w:val="48"/>
    <w:rsid w:val="002516DF"/>
    <w:pPr>
      <w:spacing w:after="0" w:line="240" w:lineRule="auto"/>
      <w:jc w:val="left"/>
    </w:pPr>
    <w:rPr>
      <w:rFonts w:eastAsia="Calibri"/>
      <w:szCs w:val="20"/>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customStyle="1" w:styleId="310">
    <w:name w:val="טבלת רשימה 31"/>
    <w:basedOn w:val="TableNormal"/>
    <w:uiPriority w:val="48"/>
    <w:rsid w:val="002516DF"/>
    <w:pPr>
      <w:spacing w:after="0" w:line="240" w:lineRule="auto"/>
      <w:jc w:val="left"/>
    </w:pPr>
    <w:rPr>
      <w:rFonts w:eastAsia="Calibri"/>
      <w:szCs w:val="20"/>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115">
    <w:name w:val="רשת טבלה בהירה1"/>
    <w:basedOn w:val="TableNormal"/>
    <w:uiPriority w:val="40"/>
    <w:rsid w:val="002516DF"/>
    <w:pPr>
      <w:spacing w:after="0" w:line="240" w:lineRule="auto"/>
      <w:jc w:val="left"/>
    </w:pPr>
    <w:rPr>
      <w:rFonts w:eastAsia="Calibri"/>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116">
    <w:name w:val="טקסט הערה1"/>
    <w:basedOn w:val="Normal"/>
    <w:link w:val="a12"/>
    <w:uiPriority w:val="99"/>
    <w:unhideWhenUsed/>
    <w:rsid w:val="002516DF"/>
    <w:pPr>
      <w:spacing w:line="240" w:lineRule="auto"/>
    </w:pPr>
    <w:rPr>
      <w:rFonts w:eastAsia="Calibri"/>
      <w:szCs w:val="20"/>
    </w:rPr>
  </w:style>
  <w:style w:type="character" w:customStyle="1" w:styleId="a12">
    <w:name w:val="טקסט הערה תו"/>
    <w:link w:val="116"/>
    <w:uiPriority w:val="99"/>
    <w:rsid w:val="002516DF"/>
    <w:rPr>
      <w:rFonts w:eastAsia="Calibri"/>
      <w:szCs w:val="20"/>
    </w:rPr>
  </w:style>
  <w:style w:type="paragraph" w:customStyle="1" w:styleId="117">
    <w:name w:val="נושא הערה1"/>
    <w:basedOn w:val="116"/>
    <w:next w:val="116"/>
    <w:link w:val="a13"/>
    <w:uiPriority w:val="99"/>
    <w:semiHidden/>
    <w:unhideWhenUsed/>
    <w:rsid w:val="002516DF"/>
    <w:rPr>
      <w:b/>
      <w:bCs/>
    </w:rPr>
  </w:style>
  <w:style w:type="character" w:customStyle="1" w:styleId="a13">
    <w:name w:val="נושא הערה תו"/>
    <w:link w:val="117"/>
    <w:uiPriority w:val="99"/>
    <w:semiHidden/>
    <w:rsid w:val="002516DF"/>
    <w:rPr>
      <w:rFonts w:eastAsia="Calibri"/>
      <w:b/>
      <w:bCs/>
      <w:szCs w:val="20"/>
    </w:rPr>
  </w:style>
  <w:style w:type="character" w:customStyle="1" w:styleId="211">
    <w:name w:val="כותרת 2 תו1"/>
    <w:basedOn w:val="DefaultParagraphFont"/>
    <w:uiPriority w:val="1"/>
    <w:rsid w:val="002516DF"/>
    <w:rPr>
      <w:rFonts w:asciiTheme="majorHAnsi" w:eastAsiaTheme="majorEastAsia" w:hAnsiTheme="majorHAnsi" w:cstheme="majorBidi"/>
      <w:color w:val="1481AB" w:themeColor="accent1" w:themeShade="BF"/>
      <w:sz w:val="26"/>
      <w:szCs w:val="26"/>
    </w:rPr>
  </w:style>
  <w:style w:type="character" w:customStyle="1" w:styleId="311">
    <w:name w:val="כותרת 3 תו1"/>
    <w:basedOn w:val="DefaultParagraphFont"/>
    <w:uiPriority w:val="1"/>
    <w:rsid w:val="002516DF"/>
    <w:rPr>
      <w:rFonts w:asciiTheme="majorHAnsi" w:eastAsiaTheme="majorEastAsia" w:hAnsiTheme="majorHAnsi" w:cstheme="majorBidi"/>
      <w:color w:val="0D5571" w:themeColor="accent1" w:themeShade="7F"/>
      <w:sz w:val="24"/>
      <w:szCs w:val="24"/>
    </w:rPr>
  </w:style>
  <w:style w:type="character" w:customStyle="1" w:styleId="118">
    <w:name w:val="תאריך תו1"/>
    <w:basedOn w:val="DefaultParagraphFont"/>
    <w:uiPriority w:val="99"/>
    <w:semiHidden/>
    <w:rsid w:val="002516DF"/>
    <w:rPr>
      <w:szCs w:val="24"/>
    </w:rPr>
  </w:style>
  <w:style w:type="character" w:customStyle="1" w:styleId="170">
    <w:name w:val="תו תו17"/>
    <w:semiHidden/>
    <w:locked/>
    <w:rsid w:val="002516DF"/>
    <w:rPr>
      <w:b/>
      <w:spacing w:val="40"/>
      <w:sz w:val="24"/>
      <w:lang w:val="en-US" w:eastAsia="he-IL" w:bidi="he-IL"/>
    </w:rPr>
  </w:style>
  <w:style w:type="character" w:customStyle="1" w:styleId="big-number">
    <w:name w:val="big-number"/>
    <w:basedOn w:val="DefaultParagraphFont"/>
    <w:rsid w:val="00387987"/>
  </w:style>
  <w:style w:type="paragraph" w:customStyle="1" w:styleId="p22">
    <w:name w:val="p22"/>
    <w:basedOn w:val="Normal"/>
    <w:rsid w:val="00387987"/>
    <w:pPr>
      <w:bidi w:val="0"/>
      <w:spacing w:before="100" w:beforeAutospacing="1" w:after="100" w:afterAutospacing="1" w:line="240" w:lineRule="auto"/>
      <w:jc w:val="left"/>
    </w:pPr>
    <w:rPr>
      <w:rFonts w:eastAsia="Times New Roman" w:cs="Times New Roman"/>
      <w:sz w:val="24"/>
    </w:rPr>
  </w:style>
  <w:style w:type="paragraph" w:customStyle="1" w:styleId="p11">
    <w:name w:val="p11"/>
    <w:basedOn w:val="Normal"/>
    <w:rsid w:val="00387987"/>
    <w:pPr>
      <w:bidi w:val="0"/>
      <w:spacing w:before="100" w:beforeAutospacing="1" w:after="100" w:afterAutospacing="1" w:line="240" w:lineRule="auto"/>
      <w:jc w:val="left"/>
    </w:pPr>
    <w:rPr>
      <w:rFonts w:eastAsia="Times New Roman" w:cs="Times New Roman"/>
      <w:sz w:val="24"/>
    </w:rPr>
  </w:style>
  <w:style w:type="table" w:customStyle="1" w:styleId="4-41">
    <w:name w:val="טבלת רשת 4 - הדגשה 41"/>
    <w:basedOn w:val="TableNormal"/>
    <w:uiPriority w:val="49"/>
    <w:rsid w:val="00387987"/>
    <w:pPr>
      <w:spacing w:after="0" w:line="240" w:lineRule="auto"/>
    </w:pPr>
    <w:tblPr>
      <w:tblStyleRowBandSize w:val="1"/>
      <w:tblStyleColBandSize w:val="1"/>
      <w:tblBorders>
        <w:top w:val="single" w:sz="4" w:space="0" w:color="8CD6C0" w:themeColor="accent4" w:themeTint="99"/>
        <w:left w:val="single" w:sz="4" w:space="0" w:color="8CD6C0" w:themeColor="accent4" w:themeTint="99"/>
        <w:bottom w:val="single" w:sz="4" w:space="0" w:color="8CD6C0" w:themeColor="accent4" w:themeTint="99"/>
        <w:right w:val="single" w:sz="4" w:space="0" w:color="8CD6C0" w:themeColor="accent4" w:themeTint="99"/>
        <w:insideH w:val="single" w:sz="4" w:space="0" w:color="8CD6C0" w:themeColor="accent4" w:themeTint="99"/>
        <w:insideV w:val="single" w:sz="4" w:space="0" w:color="8CD6C0" w:themeColor="accent4" w:themeTint="99"/>
      </w:tblBorders>
    </w:tblPr>
    <w:tblStylePr w:type="firstRow">
      <w:rPr>
        <w:b/>
        <w:bCs/>
        <w:color w:val="FFFFFF" w:themeColor="background1"/>
      </w:rPr>
      <w:tblPr/>
      <w:tcPr>
        <w:tcBorders>
          <w:top w:val="single" w:sz="4" w:space="0" w:color="42BA97" w:themeColor="accent4"/>
          <w:left w:val="single" w:sz="4" w:space="0" w:color="42BA97" w:themeColor="accent4"/>
          <w:bottom w:val="single" w:sz="4" w:space="0" w:color="42BA97" w:themeColor="accent4"/>
          <w:right w:val="single" w:sz="4" w:space="0" w:color="42BA97" w:themeColor="accent4"/>
          <w:insideH w:val="nil"/>
          <w:insideV w:val="nil"/>
        </w:tcBorders>
        <w:shd w:val="clear" w:color="auto" w:fill="42BA97" w:themeFill="accent4"/>
      </w:tcPr>
    </w:tblStylePr>
    <w:tblStylePr w:type="lastRow">
      <w:rPr>
        <w:b/>
        <w:bCs/>
      </w:rPr>
      <w:tblPr/>
      <w:tcPr>
        <w:tcBorders>
          <w:top w:val="double" w:sz="4" w:space="0" w:color="42BA97" w:themeColor="accent4"/>
        </w:tcBorders>
      </w:tcPr>
    </w:tblStylePr>
    <w:tblStylePr w:type="firstCol">
      <w:rPr>
        <w:b/>
        <w:bCs/>
      </w:rPr>
    </w:tblStylePr>
    <w:tblStylePr w:type="lastCol">
      <w:rPr>
        <w:b/>
        <w:bCs/>
      </w:rPr>
    </w:tblStylePr>
    <w:tblStylePr w:type="band1Vert">
      <w:tblPr/>
      <w:tcPr>
        <w:shd w:val="clear" w:color="auto" w:fill="D8F1EA" w:themeFill="accent4" w:themeFillTint="33"/>
      </w:tcPr>
    </w:tblStylePr>
    <w:tblStylePr w:type="band1Horz">
      <w:tblPr/>
      <w:tcPr>
        <w:shd w:val="clear" w:color="auto" w:fill="D8F1EA" w:themeFill="accent4" w:themeFillTint="33"/>
      </w:tcPr>
    </w:tblStylePr>
  </w:style>
  <w:style w:type="table" w:customStyle="1" w:styleId="1-11">
    <w:name w:val="טבלת רשת 1 בהירה - הדגשה 11"/>
    <w:basedOn w:val="TableNormal"/>
    <w:uiPriority w:val="46"/>
    <w:rsid w:val="00387987"/>
    <w:pPr>
      <w:spacing w:after="0" w:line="240" w:lineRule="auto"/>
    </w:pPr>
    <w:tblPr>
      <w:tblStyleRowBandSize w:val="1"/>
      <w:tblStyleColBandSize w:val="1"/>
      <w:tblBorders>
        <w:top w:val="single" w:sz="4" w:space="0" w:color="A4DDF4" w:themeColor="accent1" w:themeTint="66"/>
        <w:left w:val="single" w:sz="4" w:space="0" w:color="A4DDF4" w:themeColor="accent1" w:themeTint="66"/>
        <w:bottom w:val="single" w:sz="4" w:space="0" w:color="A4DDF4" w:themeColor="accent1" w:themeTint="66"/>
        <w:right w:val="single" w:sz="4" w:space="0" w:color="A4DDF4" w:themeColor="accent1" w:themeTint="66"/>
        <w:insideH w:val="single" w:sz="4" w:space="0" w:color="A4DDF4" w:themeColor="accent1" w:themeTint="66"/>
        <w:insideV w:val="single" w:sz="4" w:space="0" w:color="A4DDF4" w:themeColor="accent1" w:themeTint="66"/>
      </w:tblBorders>
    </w:tblPr>
    <w:tblStylePr w:type="firstRow">
      <w:rPr>
        <w:b/>
        <w:bCs/>
      </w:rPr>
      <w:tblPr/>
      <w:tcPr>
        <w:tcBorders>
          <w:bottom w:val="single" w:sz="12" w:space="0" w:color="76CDEE" w:themeColor="accent1" w:themeTint="99"/>
        </w:tcBorders>
      </w:tcPr>
    </w:tblStylePr>
    <w:tblStylePr w:type="lastRow">
      <w:rPr>
        <w:b/>
        <w:bCs/>
      </w:rPr>
      <w:tblPr/>
      <w:tcPr>
        <w:tcBorders>
          <w:top w:val="double" w:sz="2" w:space="0" w:color="76CDEE" w:themeColor="accent1" w:themeTint="99"/>
        </w:tcBorders>
      </w:tcPr>
    </w:tblStylePr>
    <w:tblStylePr w:type="firstCol">
      <w:rPr>
        <w:b/>
        <w:bCs/>
      </w:rPr>
    </w:tblStylePr>
    <w:tblStylePr w:type="lastCol">
      <w:rPr>
        <w:b/>
        <w:bCs/>
      </w:rPr>
    </w:tblStylePr>
  </w:style>
  <w:style w:type="table" w:customStyle="1" w:styleId="1-31">
    <w:name w:val="טבלת רשת 1 בהירה - הדגשה 31"/>
    <w:basedOn w:val="TableNormal"/>
    <w:uiPriority w:val="46"/>
    <w:rsid w:val="00387987"/>
    <w:pPr>
      <w:spacing w:after="0" w:line="240" w:lineRule="auto"/>
    </w:pPr>
    <w:tblPr>
      <w:tblStyleRowBandSize w:val="1"/>
      <w:tblStyleColBandSize w:val="1"/>
      <w:tblBorders>
        <w:top w:val="single" w:sz="4" w:space="0" w:color="A8EBEF" w:themeColor="accent3" w:themeTint="66"/>
        <w:left w:val="single" w:sz="4" w:space="0" w:color="A8EBEF" w:themeColor="accent3" w:themeTint="66"/>
        <w:bottom w:val="single" w:sz="4" w:space="0" w:color="A8EBEF" w:themeColor="accent3" w:themeTint="66"/>
        <w:right w:val="single" w:sz="4" w:space="0" w:color="A8EBEF" w:themeColor="accent3" w:themeTint="66"/>
        <w:insideH w:val="single" w:sz="4" w:space="0" w:color="A8EBEF" w:themeColor="accent3" w:themeTint="66"/>
        <w:insideV w:val="single" w:sz="4" w:space="0" w:color="A8EBEF" w:themeColor="accent3" w:themeTint="66"/>
      </w:tblBorders>
    </w:tblPr>
    <w:tblStylePr w:type="firstRow">
      <w:rPr>
        <w:b/>
        <w:bCs/>
      </w:rPr>
      <w:tblPr/>
      <w:tcPr>
        <w:tcBorders>
          <w:bottom w:val="single" w:sz="12" w:space="0" w:color="7CE1E7" w:themeColor="accent3" w:themeTint="99"/>
        </w:tcBorders>
      </w:tcPr>
    </w:tblStylePr>
    <w:tblStylePr w:type="lastRow">
      <w:rPr>
        <w:b/>
        <w:bCs/>
      </w:rPr>
      <w:tblPr/>
      <w:tcPr>
        <w:tcBorders>
          <w:top w:val="double" w:sz="2" w:space="0" w:color="7CE1E7" w:themeColor="accent3" w:themeTint="99"/>
        </w:tcBorders>
      </w:tcPr>
    </w:tblStylePr>
    <w:tblStylePr w:type="firstCol">
      <w:rPr>
        <w:b/>
        <w:bCs/>
      </w:rPr>
    </w:tblStylePr>
    <w:tblStylePr w:type="lastCol">
      <w:rPr>
        <w:b/>
        <w:bCs/>
      </w:rPr>
    </w:tblStylePr>
  </w:style>
  <w:style w:type="table" w:customStyle="1" w:styleId="4-11">
    <w:name w:val="טבלת רשת 4 - הדגשה 11"/>
    <w:basedOn w:val="TableNormal"/>
    <w:uiPriority w:val="49"/>
    <w:rsid w:val="00387987"/>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insideV w:val="nil"/>
        </w:tcBorders>
        <w:shd w:val="clear" w:color="auto" w:fill="1CADE4" w:themeFill="accent1"/>
      </w:tcPr>
    </w:tblStylePr>
    <w:tblStylePr w:type="lastRow">
      <w:rPr>
        <w:b/>
        <w:bCs/>
      </w:rPr>
      <w:tblPr/>
      <w:tcPr>
        <w:tcBorders>
          <w:top w:val="double" w:sz="4" w:space="0" w:color="1CADE4" w:themeColor="accent1"/>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119">
    <w:name w:val="טבלת רשת 1 בהירה1"/>
    <w:basedOn w:val="TableNormal"/>
    <w:uiPriority w:val="46"/>
    <w:rsid w:val="0038798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511">
    <w:name w:val="טבלה רגילה 51"/>
    <w:basedOn w:val="TableNormal"/>
    <w:uiPriority w:val="45"/>
    <w:rsid w:val="0038798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5-51">
    <w:name w:val="טבלת רשת 5 כהה - הדגשה 51"/>
    <w:basedOn w:val="TableNormal"/>
    <w:uiPriority w:val="50"/>
    <w:rsid w:val="0038798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EBDA"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E885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E885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E885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E8853" w:themeFill="accent5"/>
      </w:tcPr>
    </w:tblStylePr>
    <w:tblStylePr w:type="band1Vert">
      <w:tblPr/>
      <w:tcPr>
        <w:shd w:val="clear" w:color="auto" w:fill="A9D7B6" w:themeFill="accent5" w:themeFillTint="66"/>
      </w:tcPr>
    </w:tblStylePr>
    <w:tblStylePr w:type="band1Horz">
      <w:tblPr/>
      <w:tcPr>
        <w:shd w:val="clear" w:color="auto" w:fill="A9D7B6" w:themeFill="accent5" w:themeFillTint="66"/>
      </w:tcPr>
    </w:tblStylePr>
  </w:style>
  <w:style w:type="paragraph" w:customStyle="1" w:styleId="7320">
    <w:name w:val="73א כוכבית טקסט רץ"/>
    <w:basedOn w:val="Normal"/>
    <w:qFormat/>
    <w:rsid w:val="00A6769C"/>
    <w:pPr>
      <w:spacing w:after="180" w:line="260" w:lineRule="exact"/>
      <w:jc w:val="center"/>
    </w:pPr>
    <w:rPr>
      <w:rFonts w:ascii="Segoe UI Symbol" w:hAnsi="Segoe UI Symbol" w:cs="Segoe UI Symbol"/>
      <w:color w:val="0D0D0D" w:themeColor="text1" w:themeTint="F2"/>
      <w:sz w:val="18"/>
      <w:szCs w:val="18"/>
    </w:rPr>
  </w:style>
  <w:style w:type="paragraph" w:customStyle="1" w:styleId="7321">
    <w:name w:val="73א כוכבית בתוך קוביה"/>
    <w:basedOn w:val="7317"/>
    <w:qFormat/>
    <w:rsid w:val="001F0DE8"/>
    <w:pPr>
      <w:jc w:val="center"/>
    </w:pPr>
    <w:rPr>
      <w:rFonts w:ascii="Segoe UI Symbol" w:hAnsi="Segoe UI Symbol" w:cs="Segoe UI Symbol"/>
    </w:rPr>
  </w:style>
  <w:style w:type="paragraph" w:customStyle="1" w:styleId="7322">
    <w:name w:val="73א הזחה אותיות"/>
    <w:basedOn w:val="ListParagraph"/>
    <w:qFormat/>
    <w:rsid w:val="0086219D"/>
    <w:pPr>
      <w:numPr>
        <w:numId w:val="4"/>
      </w:numPr>
      <w:spacing w:after="180" w:line="260" w:lineRule="exact"/>
      <w:ind w:left="794" w:hanging="397"/>
    </w:pPr>
    <w:rPr>
      <w:rFonts w:ascii="Tahoma" w:hAnsi="Tahoma" w:cs="Tahoma"/>
      <w:color w:val="0D0D0D" w:themeColor="text1" w:themeTint="F2"/>
      <w:sz w:val="18"/>
      <w:szCs w:val="18"/>
    </w:rPr>
  </w:style>
  <w:style w:type="paragraph" w:customStyle="1" w:styleId="7323">
    <w:name w:val="73א מספור בתוך קוביה"/>
    <w:basedOn w:val="ListParagraph"/>
    <w:qFormat/>
    <w:rsid w:val="00520550"/>
    <w:pPr>
      <w:numPr>
        <w:numId w:val="5"/>
      </w:numPr>
      <w:pBdr>
        <w:top w:val="single" w:sz="18" w:space="4" w:color="CEEAF6"/>
        <w:left w:val="single" w:sz="18" w:space="11" w:color="CEEAF6"/>
        <w:bottom w:val="single" w:sz="18" w:space="6" w:color="CEEAF6"/>
        <w:right w:val="single" w:sz="18" w:space="11" w:color="CEEAF6"/>
      </w:pBdr>
      <w:shd w:val="solid" w:color="CEEAF6" w:fill="CEEAF6"/>
      <w:spacing w:after="120" w:line="260" w:lineRule="exact"/>
      <w:ind w:left="1077" w:right="227" w:hanging="397"/>
      <w:contextualSpacing w:val="0"/>
    </w:pPr>
    <w:rPr>
      <w:rFonts w:ascii="Tahoma" w:hAnsi="Tahoma" w:cs="Tahoma"/>
      <w:color w:val="0D0D0D" w:themeColor="text1" w:themeTint="F2"/>
      <w:sz w:val="18"/>
      <w:szCs w:val="18"/>
    </w:rPr>
  </w:style>
  <w:style w:type="paragraph" w:customStyle="1" w:styleId="a14">
    <w:name w:val="נבנצלים"/>
    <w:basedOn w:val="Normal"/>
    <w:next w:val="Normal"/>
    <w:rsid w:val="00114E4E"/>
    <w:pPr>
      <w:widowControl w:val="0"/>
      <w:ind w:left="-567"/>
    </w:pPr>
    <w:rPr>
      <w:rFonts w:eastAsia="Times New Roman"/>
      <w:sz w:val="24"/>
      <w:szCs w:val="20"/>
      <w:lang w:eastAsia="he-IL"/>
    </w:rPr>
  </w:style>
  <w:style w:type="character" w:customStyle="1" w:styleId="Bodytext5">
    <w:name w:val="Body text (5)_"/>
    <w:basedOn w:val="DefaultParagraphFont"/>
    <w:link w:val="Bodytext50"/>
    <w:rsid w:val="00114E4E"/>
    <w:rPr>
      <w:rFonts w:ascii="David" w:eastAsia="David" w:hAnsi="David"/>
      <w:sz w:val="21"/>
      <w:szCs w:val="21"/>
      <w:shd w:val="clear" w:color="auto" w:fill="FFFFFF"/>
    </w:rPr>
  </w:style>
  <w:style w:type="paragraph" w:customStyle="1" w:styleId="Bodytext50">
    <w:name w:val="Body text (5)"/>
    <w:basedOn w:val="Normal"/>
    <w:link w:val="Bodytext5"/>
    <w:rsid w:val="00114E4E"/>
    <w:pPr>
      <w:widowControl w:val="0"/>
      <w:shd w:val="clear" w:color="auto" w:fill="FFFFFF"/>
      <w:spacing w:before="480" w:line="234" w:lineRule="exact"/>
      <w:ind w:hanging="5440"/>
      <w:jc w:val="left"/>
    </w:pPr>
    <w:rPr>
      <w:rFonts w:ascii="David" w:eastAsia="David" w:hAnsi="David"/>
      <w:sz w:val="21"/>
      <w:szCs w:val="21"/>
    </w:rPr>
  </w:style>
  <w:style w:type="paragraph" w:styleId="Subtitle">
    <w:name w:val="Subtitle"/>
    <w:basedOn w:val="Normal"/>
    <w:next w:val="Normal"/>
    <w:link w:val="a15"/>
    <w:qFormat/>
    <w:rsid w:val="00114E4E"/>
    <w:pPr>
      <w:spacing w:after="60" w:line="240" w:lineRule="auto"/>
      <w:jc w:val="center"/>
      <w:outlineLvl w:val="1"/>
    </w:pPr>
    <w:rPr>
      <w:rFonts w:ascii="Cambria" w:eastAsia="Times New Roman" w:hAnsi="Cambria" w:cs="Times New Roman"/>
      <w:sz w:val="24"/>
      <w:lang w:val="x-none" w:eastAsia="x-none"/>
    </w:rPr>
  </w:style>
  <w:style w:type="character" w:customStyle="1" w:styleId="a15">
    <w:name w:val="כותרת משנה תו"/>
    <w:basedOn w:val="DefaultParagraphFont"/>
    <w:link w:val="Subtitle"/>
    <w:rsid w:val="00114E4E"/>
    <w:rPr>
      <w:rFonts w:ascii="Cambria" w:eastAsia="Times New Roman" w:hAnsi="Cambria" w:cs="Times New Roman"/>
      <w:sz w:val="24"/>
      <w:lang w:val="x-none" w:eastAsia="x-none"/>
    </w:rPr>
  </w:style>
  <w:style w:type="paragraph" w:styleId="HTMLTopofForm">
    <w:name w:val="HTML Top of Form"/>
    <w:basedOn w:val="Normal"/>
    <w:next w:val="Normal"/>
    <w:link w:val="z-"/>
    <w:hidden/>
    <w:uiPriority w:val="99"/>
    <w:semiHidden/>
    <w:unhideWhenUsed/>
    <w:rsid w:val="00114E4E"/>
    <w:pPr>
      <w:pBdr>
        <w:bottom w:val="single" w:sz="6" w:space="1" w:color="auto"/>
      </w:pBdr>
      <w:bidi w:val="0"/>
      <w:spacing w:line="240" w:lineRule="auto"/>
      <w:jc w:val="center"/>
    </w:pPr>
    <w:rPr>
      <w:rFonts w:ascii="Arial" w:eastAsia="Times New Roman" w:hAnsi="Arial" w:cs="Arial"/>
      <w:vanish/>
      <w:sz w:val="16"/>
      <w:szCs w:val="16"/>
    </w:rPr>
  </w:style>
  <w:style w:type="character" w:customStyle="1" w:styleId="z-">
    <w:name w:val="z-ראש טופס תו"/>
    <w:basedOn w:val="DefaultParagraphFont"/>
    <w:link w:val="HTMLTopofForm"/>
    <w:uiPriority w:val="99"/>
    <w:semiHidden/>
    <w:rsid w:val="00114E4E"/>
    <w:rPr>
      <w:rFonts w:ascii="Arial" w:eastAsia="Times New Roman" w:hAnsi="Arial" w:cs="Arial"/>
      <w:vanish/>
      <w:sz w:val="16"/>
      <w:szCs w:val="16"/>
    </w:rPr>
  </w:style>
  <w:style w:type="character" w:customStyle="1" w:styleId="92">
    <w:name w:val="כותרת 9 תו2"/>
    <w:basedOn w:val="DefaultParagraphFont"/>
    <w:link w:val="Heading9"/>
    <w:uiPriority w:val="9"/>
    <w:semiHidden/>
    <w:rsid w:val="00BA23AE"/>
    <w:rPr>
      <w:rFonts w:asciiTheme="majorHAnsi" w:eastAsiaTheme="majorEastAsia" w:hAnsiTheme="majorHAnsi" w:cstheme="majorBidi"/>
      <w:i/>
      <w:iCs/>
      <w:color w:val="272727" w:themeColor="text1" w:themeTint="D8"/>
      <w:sz w:val="21"/>
      <w:szCs w:val="21"/>
    </w:rPr>
  </w:style>
  <w:style w:type="paragraph" w:customStyle="1" w:styleId="font2">
    <w:name w:val="font_2"/>
    <w:basedOn w:val="Normal"/>
    <w:rsid w:val="00BA23AE"/>
    <w:pPr>
      <w:bidi w:val="0"/>
      <w:spacing w:before="100" w:beforeAutospacing="1" w:after="100" w:afterAutospacing="1" w:line="240" w:lineRule="auto"/>
      <w:jc w:val="left"/>
    </w:pPr>
    <w:rPr>
      <w:rFonts w:eastAsia="Times New Roman" w:cs="Times New Roman"/>
      <w:sz w:val="24"/>
    </w:rPr>
  </w:style>
  <w:style w:type="table" w:customStyle="1" w:styleId="4-61">
    <w:name w:val="טבלת רשת 4 - הדגשה 61"/>
    <w:basedOn w:val="TableNormal"/>
    <w:uiPriority w:val="49"/>
    <w:rsid w:val="00BA23AE"/>
    <w:pPr>
      <w:spacing w:after="0" w:line="240" w:lineRule="auto"/>
    </w:pPr>
    <w:tblPr>
      <w:tblStyleRowBandSize w:val="1"/>
      <w:tblStyleColBandSize w:val="1"/>
      <w:tblBorders>
        <w:top w:val="single" w:sz="4" w:space="0" w:color="A0C7C5" w:themeColor="accent6" w:themeTint="99"/>
        <w:left w:val="single" w:sz="4" w:space="0" w:color="A0C7C5" w:themeColor="accent6" w:themeTint="99"/>
        <w:bottom w:val="single" w:sz="4" w:space="0" w:color="A0C7C5" w:themeColor="accent6" w:themeTint="99"/>
        <w:right w:val="single" w:sz="4" w:space="0" w:color="A0C7C5" w:themeColor="accent6" w:themeTint="99"/>
        <w:insideH w:val="single" w:sz="4" w:space="0" w:color="A0C7C5" w:themeColor="accent6" w:themeTint="99"/>
        <w:insideV w:val="single" w:sz="4" w:space="0" w:color="A0C7C5" w:themeColor="accent6" w:themeTint="99"/>
      </w:tblBorders>
    </w:tblPr>
    <w:tblStylePr w:type="firstRow">
      <w:rPr>
        <w:b/>
        <w:bCs/>
        <w:color w:val="FFFFFF" w:themeColor="background1"/>
      </w:rPr>
      <w:tblPr/>
      <w:tcPr>
        <w:tcBorders>
          <w:top w:val="single" w:sz="4" w:space="0" w:color="62A39F" w:themeColor="accent6"/>
          <w:left w:val="single" w:sz="4" w:space="0" w:color="62A39F" w:themeColor="accent6"/>
          <w:bottom w:val="single" w:sz="4" w:space="0" w:color="62A39F" w:themeColor="accent6"/>
          <w:right w:val="single" w:sz="4" w:space="0" w:color="62A39F" w:themeColor="accent6"/>
          <w:insideH w:val="nil"/>
          <w:insideV w:val="nil"/>
        </w:tcBorders>
        <w:shd w:val="clear" w:color="auto" w:fill="62A39F" w:themeFill="accent6"/>
      </w:tcPr>
    </w:tblStylePr>
    <w:tblStylePr w:type="lastRow">
      <w:rPr>
        <w:b/>
        <w:bCs/>
      </w:rPr>
      <w:tblPr/>
      <w:tcPr>
        <w:tcBorders>
          <w:top w:val="double" w:sz="4" w:space="0" w:color="62A39F" w:themeColor="accent6"/>
        </w:tcBorders>
      </w:tcPr>
    </w:tblStylePr>
    <w:tblStylePr w:type="firstCol">
      <w:rPr>
        <w:b/>
        <w:bCs/>
      </w:rPr>
    </w:tblStylePr>
    <w:tblStylePr w:type="lastCol">
      <w:rPr>
        <w:b/>
        <w:bCs/>
      </w:rPr>
    </w:tblStylePr>
    <w:tblStylePr w:type="band1Vert">
      <w:tblPr/>
      <w:tcPr>
        <w:shd w:val="clear" w:color="auto" w:fill="DFECEB" w:themeFill="accent6" w:themeFillTint="33"/>
      </w:tcPr>
    </w:tblStylePr>
    <w:tblStylePr w:type="band1Horz">
      <w:tblPr/>
      <w:tcPr>
        <w:shd w:val="clear" w:color="auto" w:fill="DFECEB" w:themeFill="accent6" w:themeFillTint="33"/>
      </w:tcPr>
    </w:tblStylePr>
  </w:style>
  <w:style w:type="table" w:customStyle="1" w:styleId="312">
    <w:name w:val="טבלת רשת 31"/>
    <w:basedOn w:val="TableNormal"/>
    <w:uiPriority w:val="48"/>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P220">
    <w:name w:val="P22"/>
    <w:basedOn w:val="Normal"/>
    <w:rsid w:val="00454096"/>
    <w:pPr>
      <w:widowControl w:val="0"/>
      <w:tabs>
        <w:tab w:val="left" w:pos="1474"/>
        <w:tab w:val="left" w:pos="1928"/>
        <w:tab w:val="left" w:pos="2381"/>
        <w:tab w:val="left" w:pos="2835"/>
        <w:tab w:val="right" w:leader="dot" w:pos="6259"/>
      </w:tabs>
      <w:suppressAutoHyphens/>
      <w:autoSpaceDE w:val="0"/>
      <w:autoSpaceDN w:val="0"/>
      <w:spacing w:before="60" w:line="240" w:lineRule="auto"/>
      <w:ind w:left="2835" w:right="1021"/>
    </w:pPr>
    <w:rPr>
      <w:rFonts w:eastAsia="Times New Roman" w:cs="FrankRuehl"/>
      <w:noProof/>
      <w:szCs w:val="26"/>
      <w:lang w:eastAsia="he-IL"/>
    </w:rPr>
  </w:style>
  <w:style w:type="paragraph" w:customStyle="1" w:styleId="P33">
    <w:name w:val="P33"/>
    <w:basedOn w:val="Normal"/>
    <w:rsid w:val="00454096"/>
    <w:pPr>
      <w:widowControl w:val="0"/>
      <w:tabs>
        <w:tab w:val="left" w:pos="1928"/>
        <w:tab w:val="left" w:pos="2381"/>
        <w:tab w:val="left" w:pos="2835"/>
        <w:tab w:val="right" w:leader="dot" w:pos="6259"/>
      </w:tabs>
      <w:suppressAutoHyphens/>
      <w:autoSpaceDE w:val="0"/>
      <w:autoSpaceDN w:val="0"/>
      <w:spacing w:before="60" w:line="240" w:lineRule="auto"/>
      <w:ind w:left="2835" w:right="1474"/>
    </w:pPr>
    <w:rPr>
      <w:rFonts w:eastAsia="Times New Roman" w:cs="FrankRuehl"/>
      <w:noProof/>
      <w:szCs w:val="26"/>
      <w:lang w:eastAsia="he-IL"/>
    </w:rPr>
  </w:style>
  <w:style w:type="table" w:customStyle="1" w:styleId="6-31">
    <w:name w:val="טבלת רשת 6 צבעונית - הדגשה 31"/>
    <w:basedOn w:val="TableNormal"/>
    <w:uiPriority w:val="51"/>
    <w:rsid w:val="00BA23AE"/>
    <w:pPr>
      <w:spacing w:after="0" w:line="240" w:lineRule="auto"/>
    </w:pPr>
    <w:rPr>
      <w:color w:val="1D99A0" w:themeColor="accent3" w:themeShade="BF"/>
    </w:rPr>
    <w:tblPr>
      <w:tblStyleRowBandSize w:val="1"/>
      <w:tblStyleColBandSize w:val="1"/>
      <w:tblBorders>
        <w:top w:val="single" w:sz="4" w:space="0" w:color="7CE1E7" w:themeColor="accent3" w:themeTint="99"/>
        <w:left w:val="single" w:sz="4" w:space="0" w:color="7CE1E7" w:themeColor="accent3" w:themeTint="99"/>
        <w:bottom w:val="single" w:sz="4" w:space="0" w:color="7CE1E7" w:themeColor="accent3" w:themeTint="99"/>
        <w:right w:val="single" w:sz="4" w:space="0" w:color="7CE1E7" w:themeColor="accent3" w:themeTint="99"/>
        <w:insideH w:val="single" w:sz="4" w:space="0" w:color="7CE1E7" w:themeColor="accent3" w:themeTint="99"/>
        <w:insideV w:val="single" w:sz="4" w:space="0" w:color="7CE1E7" w:themeColor="accent3" w:themeTint="99"/>
      </w:tblBorders>
    </w:tblPr>
    <w:tblStylePr w:type="firstRow">
      <w:rPr>
        <w:b/>
        <w:bCs/>
      </w:rPr>
      <w:tblPr/>
      <w:tcPr>
        <w:tcBorders>
          <w:bottom w:val="single" w:sz="12" w:space="0" w:color="7CE1E7" w:themeColor="accent3" w:themeTint="99"/>
        </w:tcBorders>
      </w:tcPr>
    </w:tblStylePr>
    <w:tblStylePr w:type="lastRow">
      <w:rPr>
        <w:b/>
        <w:bCs/>
      </w:rPr>
      <w:tblPr/>
      <w:tcPr>
        <w:tcBorders>
          <w:top w:val="double" w:sz="4" w:space="0" w:color="7CE1E7" w:themeColor="accent3" w:themeTint="99"/>
        </w:tcBorders>
      </w:tcPr>
    </w:tblStylePr>
    <w:tblStylePr w:type="firstCol">
      <w:rPr>
        <w:b/>
        <w:bCs/>
      </w:rPr>
    </w:tblStylePr>
    <w:tblStylePr w:type="lastCol">
      <w:rPr>
        <w:b/>
        <w:bCs/>
      </w:rPr>
    </w:tblStylePr>
    <w:tblStylePr w:type="band1Vert">
      <w:tblPr/>
      <w:tcPr>
        <w:shd w:val="clear" w:color="auto" w:fill="D3F5F7" w:themeFill="accent3" w:themeFillTint="33"/>
      </w:tcPr>
    </w:tblStylePr>
    <w:tblStylePr w:type="band1Horz">
      <w:tblPr/>
      <w:tcPr>
        <w:shd w:val="clear" w:color="auto" w:fill="D3F5F7" w:themeFill="accent3" w:themeFillTint="33"/>
      </w:tcPr>
    </w:tblStylePr>
  </w:style>
  <w:style w:type="paragraph" w:styleId="NoSpacing">
    <w:name w:val="No Spacing"/>
    <w:link w:val="a16"/>
    <w:uiPriority w:val="1"/>
    <w:qFormat/>
    <w:rsid w:val="00BA23AE"/>
    <w:pPr>
      <w:bidi/>
      <w:spacing w:after="0" w:line="240" w:lineRule="auto"/>
      <w:jc w:val="left"/>
    </w:pPr>
    <w:rPr>
      <w:rFonts w:asciiTheme="minorHAnsi" w:eastAsiaTheme="minorEastAsia" w:hAnsiTheme="minorHAnsi" w:cstheme="minorBidi"/>
      <w:sz w:val="22"/>
      <w:szCs w:val="22"/>
    </w:rPr>
  </w:style>
  <w:style w:type="character" w:customStyle="1" w:styleId="a16">
    <w:name w:val="ללא מרווח תו"/>
    <w:basedOn w:val="DefaultParagraphFont"/>
    <w:link w:val="NoSpacing"/>
    <w:uiPriority w:val="1"/>
    <w:rsid w:val="00BA23AE"/>
    <w:rPr>
      <w:rFonts w:asciiTheme="minorHAnsi" w:eastAsiaTheme="minorEastAsia" w:hAnsiTheme="minorHAnsi" w:cstheme="minorBidi"/>
      <w:sz w:val="22"/>
      <w:szCs w:val="22"/>
    </w:rPr>
  </w:style>
  <w:style w:type="character" w:customStyle="1" w:styleId="91">
    <w:name w:val="כותרת 9 תו1"/>
    <w:basedOn w:val="DefaultParagraphFont"/>
    <w:uiPriority w:val="9"/>
    <w:rsid w:val="00BA23AE"/>
    <w:rPr>
      <w:rFonts w:asciiTheme="majorHAnsi" w:eastAsiaTheme="majorEastAsia" w:hAnsiTheme="majorHAnsi" w:cstheme="majorBidi"/>
      <w:i/>
      <w:iCs/>
      <w:color w:val="134163" w:themeColor="accent2" w:themeShade="80"/>
      <w:sz w:val="22"/>
      <w:szCs w:val="22"/>
    </w:rPr>
  </w:style>
  <w:style w:type="table" w:customStyle="1" w:styleId="411">
    <w:name w:val="טבלת רשת 41"/>
    <w:basedOn w:val="TableNormal"/>
    <w:uiPriority w:val="49"/>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12">
    <w:name w:val="טבלת רשת 21"/>
    <w:basedOn w:val="TableNormal"/>
    <w:uiPriority w:val="47"/>
    <w:rsid w:val="00BA23A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a17">
    <w:name w:val="טבלה הערות מתחת"/>
    <w:basedOn w:val="00"/>
    <w:qFormat/>
    <w:rsid w:val="00771BEC"/>
    <w:pPr>
      <w:spacing w:before="120"/>
    </w:pPr>
  </w:style>
  <w:style w:type="paragraph" w:customStyle="1" w:styleId="7324">
    <w:name w:val="73א אותיות רשימה א"/>
    <w:aliases w:val="71ג אותיות רשימה א,ב"/>
    <w:basedOn w:val="ListParagraph"/>
    <w:qFormat/>
    <w:rsid w:val="00A858E9"/>
    <w:pPr>
      <w:widowControl w:val="0"/>
      <w:numPr>
        <w:numId w:val="6"/>
      </w:numPr>
      <w:spacing w:after="180" w:line="260" w:lineRule="exact"/>
    </w:pPr>
    <w:rPr>
      <w:rFonts w:ascii="Tahoma" w:hAnsi="Tahoma" w:cs="Tahoma"/>
      <w:color w:val="0D0D0D" w:themeColor="text1" w:themeTint="F2"/>
      <w:sz w:val="18"/>
      <w:szCs w:val="18"/>
    </w:rPr>
  </w:style>
  <w:style w:type="paragraph" w:customStyle="1" w:styleId="a18">
    <w:name w:val="קריאות"/>
    <w:basedOn w:val="Normal"/>
    <w:next w:val="Normal"/>
    <w:rsid w:val="00CF1EB5"/>
    <w:pPr>
      <w:spacing w:line="240" w:lineRule="exact"/>
    </w:pPr>
    <w:rPr>
      <w:rFonts w:ascii="David" w:eastAsia="Times New Roman" w:hAnsi="David"/>
      <w:sz w:val="24"/>
      <w:u w:val="single"/>
      <w:lang w:eastAsia="he-IL"/>
    </w:rPr>
  </w:style>
  <w:style w:type="paragraph" w:customStyle="1" w:styleId="a19">
    <w:name w:val="יור"/>
    <w:basedOn w:val="Normal"/>
    <w:next w:val="Normal"/>
    <w:rsid w:val="00CF1EB5"/>
    <w:pPr>
      <w:spacing w:line="240" w:lineRule="exact"/>
    </w:pPr>
    <w:rPr>
      <w:rFonts w:ascii="David" w:eastAsia="Times New Roman" w:hAnsi="David"/>
      <w:sz w:val="24"/>
      <w:u w:val="single"/>
      <w:lang w:eastAsia="he-IL"/>
    </w:rPr>
  </w:style>
  <w:style w:type="character" w:customStyle="1" w:styleId="Char3">
    <w:name w:val="ציטוט בג&quot;צ Char"/>
    <w:link w:val="a20"/>
    <w:locked/>
    <w:rsid w:val="00CF1EB5"/>
    <w:rPr>
      <w:bCs/>
      <w:noProof/>
      <w:sz w:val="24"/>
      <w:lang w:eastAsia="he-IL"/>
    </w:rPr>
  </w:style>
  <w:style w:type="paragraph" w:customStyle="1" w:styleId="a20">
    <w:name w:val="ציטוט בג&quot;צ"/>
    <w:basedOn w:val="Normal"/>
    <w:link w:val="Char3"/>
    <w:qFormat/>
    <w:rsid w:val="00CF1EB5"/>
    <w:pPr>
      <w:spacing w:line="240" w:lineRule="auto"/>
      <w:ind w:left="1440" w:right="1440"/>
    </w:pPr>
    <w:rPr>
      <w:bCs/>
      <w:noProof/>
      <w:sz w:val="24"/>
      <w:lang w:eastAsia="he-IL"/>
    </w:rPr>
  </w:style>
  <w:style w:type="paragraph" w:customStyle="1" w:styleId="7380">
    <w:name w:val="73א כותרת 8"/>
    <w:basedOn w:val="Heading8"/>
    <w:qFormat/>
    <w:rsid w:val="003855E1"/>
    <w:pPr>
      <w:spacing w:after="120"/>
    </w:pPr>
    <w:rPr>
      <w:rFonts w:ascii="Tahoma" w:hAnsi="Tahoma" w:cs="Tahoma"/>
      <w:color w:val="00305F"/>
      <w:spacing w:val="20"/>
      <w:sz w:val="19"/>
      <w:szCs w:val="19"/>
    </w:rPr>
  </w:style>
  <w:style w:type="paragraph" w:customStyle="1" w:styleId="73610">
    <w:name w:val="73א כותרת 6_10"/>
    <w:basedOn w:val="73512"/>
    <w:link w:val="736100"/>
    <w:qFormat/>
    <w:rsid w:val="0078358A"/>
    <w:pPr>
      <w:outlineLvl w:val="5"/>
    </w:pPr>
    <w:rPr>
      <w:sz w:val="20"/>
      <w:szCs w:val="20"/>
    </w:rPr>
  </w:style>
  <w:style w:type="table" w:customStyle="1" w:styleId="5-31">
    <w:name w:val="טבלת רשת 5 כהה - הדגשה 31"/>
    <w:basedOn w:val="TableNormal"/>
    <w:uiPriority w:val="50"/>
    <w:rsid w:val="00E73D0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F5F7"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7CED7"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7CED7"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7CED7"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7CED7" w:themeFill="accent3"/>
      </w:tcPr>
    </w:tblStylePr>
    <w:tblStylePr w:type="band1Vert">
      <w:tblPr/>
      <w:tcPr>
        <w:shd w:val="clear" w:color="auto" w:fill="A8EBEF" w:themeFill="accent3" w:themeFillTint="66"/>
      </w:tcPr>
    </w:tblStylePr>
    <w:tblStylePr w:type="band1Horz">
      <w:tblPr/>
      <w:tcPr>
        <w:shd w:val="clear" w:color="auto" w:fill="A8EBEF" w:themeFill="accent3" w:themeFillTint="66"/>
      </w:tcPr>
    </w:tblStylePr>
  </w:style>
  <w:style w:type="table" w:customStyle="1" w:styleId="2-11">
    <w:name w:val="טבלת רשת 2 - הדגשה 11"/>
    <w:basedOn w:val="TableNormal"/>
    <w:uiPriority w:val="47"/>
    <w:rsid w:val="00E73D0E"/>
    <w:pPr>
      <w:spacing w:after="0" w:line="240" w:lineRule="auto"/>
    </w:pPr>
    <w:tblPr>
      <w:tblStyleRowBandSize w:val="1"/>
      <w:tblStyleColBandSize w:val="1"/>
      <w:tblBorders>
        <w:top w:val="single" w:sz="2" w:space="0" w:color="76CDEE" w:themeColor="accent1" w:themeTint="99"/>
        <w:bottom w:val="single" w:sz="2" w:space="0" w:color="76CDEE" w:themeColor="accent1" w:themeTint="99"/>
        <w:insideH w:val="single" w:sz="2" w:space="0" w:color="76CDEE" w:themeColor="accent1" w:themeTint="99"/>
        <w:insideV w:val="single" w:sz="2" w:space="0" w:color="76CDEE" w:themeColor="accent1" w:themeTint="99"/>
      </w:tblBorders>
    </w:tblPr>
    <w:tblStylePr w:type="firstRow">
      <w:rPr>
        <w:b/>
        <w:bCs/>
      </w:rPr>
      <w:tblPr/>
      <w:tcPr>
        <w:tcBorders>
          <w:top w:val="nil"/>
          <w:bottom w:val="single" w:sz="12" w:space="0" w:color="76CDEE" w:themeColor="accent1" w:themeTint="99"/>
          <w:insideH w:val="nil"/>
          <w:insideV w:val="nil"/>
        </w:tcBorders>
        <w:shd w:val="clear" w:color="auto" w:fill="FFFFFF" w:themeFill="background1"/>
      </w:tcPr>
    </w:tblStylePr>
    <w:tblStylePr w:type="lastRow">
      <w:rPr>
        <w:b/>
        <w:bCs/>
      </w:rPr>
      <w:tblPr/>
      <w:tcPr>
        <w:tcBorders>
          <w:top w:val="double" w:sz="2" w:space="0" w:color="76CDE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4-110">
    <w:name w:val="טבלת רשימה 4 - הדגשה 11"/>
    <w:basedOn w:val="TableNormal"/>
    <w:uiPriority w:val="49"/>
    <w:rsid w:val="00E73D0E"/>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tcBorders>
        <w:shd w:val="clear" w:color="auto" w:fill="1CADE4" w:themeFill="accent1"/>
      </w:tcPr>
    </w:tblStylePr>
    <w:tblStylePr w:type="lastRow">
      <w:rPr>
        <w:b/>
        <w:bCs/>
      </w:rPr>
      <w:tblPr/>
      <w:tcPr>
        <w:tcBorders>
          <w:top w:val="double" w:sz="4" w:space="0" w:color="76CDEE" w:themeColor="accent1" w:themeTint="99"/>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6-11">
    <w:name w:val="טבלת רשת 6 צבעונית - הדגשה 11"/>
    <w:basedOn w:val="TableNormal"/>
    <w:uiPriority w:val="51"/>
    <w:rsid w:val="00E73D0E"/>
    <w:pPr>
      <w:spacing w:after="0" w:line="240" w:lineRule="auto"/>
    </w:pPr>
    <w:rPr>
      <w:color w:val="1481AB" w:themeColor="accent1" w:themeShade="BF"/>
    </w:r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rPr>
      <w:tblPr/>
      <w:tcPr>
        <w:tcBorders>
          <w:bottom w:val="single" w:sz="12" w:space="0" w:color="76CDEE" w:themeColor="accent1" w:themeTint="99"/>
        </w:tcBorders>
      </w:tcPr>
    </w:tblStylePr>
    <w:tblStylePr w:type="lastRow">
      <w:rPr>
        <w:b/>
        <w:bCs/>
      </w:rPr>
      <w:tblPr/>
      <w:tcPr>
        <w:tcBorders>
          <w:top w:val="double" w:sz="4" w:space="0" w:color="76CDEE" w:themeColor="accent1" w:themeTint="99"/>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character" w:customStyle="1" w:styleId="120">
    <w:name w:val="כותרת טקסט1"/>
    <w:basedOn w:val="DefaultParagraphFont"/>
    <w:rsid w:val="00D81F77"/>
  </w:style>
  <w:style w:type="paragraph" w:customStyle="1" w:styleId="a21">
    <w:name w:val="כותרת סעיף"/>
    <w:basedOn w:val="Normal"/>
    <w:rsid w:val="005F7321"/>
    <w:pPr>
      <w:numPr>
        <w:numId w:val="7"/>
      </w:numPr>
      <w:spacing w:before="240" w:line="360" w:lineRule="auto"/>
    </w:pPr>
    <w:rPr>
      <w:rFonts w:ascii="Arial" w:eastAsia="Times New Roman" w:hAnsi="Arial" w:cs="Arial"/>
      <w:b/>
      <w:bCs/>
      <w:color w:val="1B3461"/>
      <w:sz w:val="22"/>
      <w:szCs w:val="22"/>
    </w:rPr>
  </w:style>
  <w:style w:type="paragraph" w:customStyle="1" w:styleId="73BULLETS">
    <w:name w:val="73א בולטים BULLETS ריק"/>
    <w:basedOn w:val="ListParagraph"/>
    <w:qFormat/>
    <w:rsid w:val="00497FC7"/>
    <w:pPr>
      <w:widowControl w:val="0"/>
      <w:numPr>
        <w:numId w:val="8"/>
      </w:numPr>
      <w:spacing w:after="180" w:line="260" w:lineRule="exact"/>
      <w:ind w:left="397" w:hanging="397"/>
      <w:contextualSpacing w:val="0"/>
    </w:pPr>
    <w:rPr>
      <w:rFonts w:ascii="Tahoma" w:eastAsia="Times New Roman" w:hAnsi="Tahoma" w:cs="Tahoma"/>
      <w:color w:val="0D0D0D" w:themeColor="text1" w:themeTint="F2"/>
      <w:sz w:val="18"/>
      <w:szCs w:val="18"/>
      <w:lang w:eastAsia="he-IL"/>
    </w:rPr>
  </w:style>
  <w:style w:type="paragraph" w:customStyle="1" w:styleId="73BULLETS07">
    <w:name w:val="73א בולטים BULLETS ריק הזחה 0.7"/>
    <w:basedOn w:val="73BULLETS"/>
    <w:qFormat/>
    <w:rsid w:val="00AA4F04"/>
    <w:pPr>
      <w:ind w:left="794"/>
    </w:pPr>
  </w:style>
  <w:style w:type="character" w:customStyle="1" w:styleId="EndnoteTextChar1">
    <w:name w:val="Endnote Text Char1"/>
    <w:basedOn w:val="DefaultParagraphFont"/>
    <w:uiPriority w:val="99"/>
    <w:semiHidden/>
    <w:rsid w:val="00DF2BC6"/>
    <w:rPr>
      <w:szCs w:val="20"/>
    </w:rPr>
  </w:style>
  <w:style w:type="character" w:customStyle="1" w:styleId="UnresolvedMention1">
    <w:name w:val="Unresolved Mention1"/>
    <w:basedOn w:val="DefaultParagraphFont"/>
    <w:uiPriority w:val="99"/>
    <w:semiHidden/>
    <w:unhideWhenUsed/>
    <w:rsid w:val="00B24213"/>
    <w:rPr>
      <w:color w:val="605E5C"/>
      <w:shd w:val="clear" w:color="auto" w:fill="E1DFDD"/>
    </w:rPr>
  </w:style>
  <w:style w:type="character" w:customStyle="1" w:styleId="Bodytext4">
    <w:name w:val="Body text (4)_"/>
    <w:basedOn w:val="DefaultParagraphFont"/>
    <w:link w:val="Bodytext40"/>
    <w:rsid w:val="008C0B8B"/>
    <w:rPr>
      <w:rFonts w:ascii="David" w:eastAsia="David" w:hAnsi="David"/>
      <w:b/>
      <w:bCs/>
      <w:sz w:val="22"/>
      <w:szCs w:val="22"/>
      <w:shd w:val="clear" w:color="auto" w:fill="FFFFFF"/>
    </w:rPr>
  </w:style>
  <w:style w:type="paragraph" w:customStyle="1" w:styleId="Bodytext40">
    <w:name w:val="Body text (4)"/>
    <w:basedOn w:val="Normal"/>
    <w:link w:val="Bodytext4"/>
    <w:rsid w:val="008C0B8B"/>
    <w:pPr>
      <w:widowControl w:val="0"/>
      <w:shd w:val="clear" w:color="auto" w:fill="FFFFFF"/>
      <w:adjustRightInd w:val="0"/>
      <w:spacing w:before="480" w:after="60" w:line="0" w:lineRule="atLeast"/>
      <w:ind w:hanging="360"/>
      <w:jc w:val="center"/>
      <w:textAlignment w:val="baseline"/>
    </w:pPr>
    <w:rPr>
      <w:rFonts w:ascii="David" w:eastAsia="David" w:hAnsi="David"/>
      <w:b/>
      <w:bCs/>
      <w:sz w:val="22"/>
      <w:szCs w:val="22"/>
    </w:rPr>
  </w:style>
  <w:style w:type="character" w:customStyle="1" w:styleId="Bodytext6NotItalic">
    <w:name w:val="Body text (6) + Not Italic"/>
    <w:basedOn w:val="DefaultParagraphFont"/>
    <w:rsid w:val="008C0B8B"/>
    <w:rPr>
      <w:rFonts w:ascii="David" w:eastAsia="David" w:hAnsi="David" w:cs="David"/>
      <w:b w:val="0"/>
      <w:bCs w:val="0"/>
      <w:i/>
      <w:iCs/>
      <w:smallCaps w:val="0"/>
      <w:strike w:val="0"/>
      <w:color w:val="000000"/>
      <w:spacing w:val="0"/>
      <w:w w:val="100"/>
      <w:position w:val="0"/>
      <w:sz w:val="22"/>
      <w:szCs w:val="22"/>
      <w:u w:val="none"/>
      <w:lang w:val="he-IL" w:eastAsia="he-IL" w:bidi="he-IL"/>
    </w:rPr>
  </w:style>
  <w:style w:type="paragraph" w:customStyle="1" w:styleId="big-header">
    <w:name w:val="big-header"/>
    <w:basedOn w:val="Normal"/>
    <w:rsid w:val="00205724"/>
    <w:pPr>
      <w:keepNext/>
      <w:keepLines/>
      <w:widowControl w:val="0"/>
      <w:tabs>
        <w:tab w:val="left" w:pos="624"/>
        <w:tab w:val="left" w:pos="1021"/>
        <w:tab w:val="left" w:pos="1474"/>
        <w:tab w:val="left" w:pos="1928"/>
        <w:tab w:val="left" w:pos="2381"/>
        <w:tab w:val="left" w:pos="2835"/>
      </w:tabs>
      <w:suppressAutoHyphens/>
      <w:autoSpaceDE w:val="0"/>
      <w:autoSpaceDN w:val="0"/>
      <w:spacing w:before="440" w:after="120" w:line="240" w:lineRule="auto"/>
      <w:ind w:left="2835"/>
      <w:jc w:val="center"/>
    </w:pPr>
    <w:rPr>
      <w:rFonts w:eastAsia="Times New Roman" w:cs="FrankRuehl"/>
      <w:noProof/>
      <w:szCs w:val="32"/>
      <w:lang w:eastAsia="he-IL"/>
    </w:rPr>
  </w:style>
  <w:style w:type="character" w:customStyle="1" w:styleId="UnresolvedMention11">
    <w:name w:val="Unresolved Mention11"/>
    <w:basedOn w:val="DefaultParagraphFont"/>
    <w:uiPriority w:val="99"/>
    <w:semiHidden/>
    <w:unhideWhenUsed/>
    <w:rsid w:val="00205724"/>
    <w:rPr>
      <w:color w:val="605E5C"/>
      <w:shd w:val="clear" w:color="auto" w:fill="E1DFDD"/>
    </w:rPr>
  </w:style>
  <w:style w:type="character" w:customStyle="1" w:styleId="Bodytext7Exact">
    <w:name w:val="Body text (7)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NotBoldExact">
    <w:name w:val="Body text (7) + Not Bold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13pt">
    <w:name w:val="Body text (7) + 13 pt"/>
    <w:aliases w:val="Not Bold Exact"/>
    <w:basedOn w:val="Bodytext7"/>
    <w:rsid w:val="003B6D05"/>
    <w:rPr>
      <w:rFonts w:ascii="Tahoma" w:eastAsia="Tahoma" w:hAnsi="Tahoma" w:cs="Tahoma"/>
      <w:b/>
      <w:bCs/>
      <w:i w:val="0"/>
      <w:iCs w:val="0"/>
      <w:smallCaps w:val="0"/>
      <w:strike w:val="0"/>
      <w:color w:val="FFFFFF"/>
      <w:sz w:val="26"/>
      <w:szCs w:val="26"/>
      <w:u w:val="none"/>
      <w:shd w:val="clear" w:color="auto" w:fill="FFFFFF"/>
    </w:rPr>
  </w:style>
  <w:style w:type="paragraph" w:customStyle="1" w:styleId="a22">
    <w:name w:val="טקסט רץ"/>
    <w:basedOn w:val="100"/>
    <w:link w:val="Char4"/>
    <w:qFormat/>
    <w:rsid w:val="00D17911"/>
    <w:pPr>
      <w:spacing w:after="180" w:line="260" w:lineRule="exact"/>
    </w:pPr>
    <w:rPr>
      <w:color w:val="0D0D0D"/>
      <w:szCs w:val="18"/>
    </w:rPr>
  </w:style>
  <w:style w:type="character" w:customStyle="1" w:styleId="10Char">
    <w:name w:val="טקסט רץ 10 Char"/>
    <w:basedOn w:val="DefaultParagraphFont"/>
    <w:link w:val="100"/>
    <w:rsid w:val="00D17911"/>
    <w:rPr>
      <w:rFonts w:ascii="Tahoma" w:hAnsi="Tahoma" w:cs="Tahoma"/>
      <w:szCs w:val="20"/>
    </w:rPr>
  </w:style>
  <w:style w:type="character" w:customStyle="1" w:styleId="Char4">
    <w:name w:val="טקסט רץ Char"/>
    <w:basedOn w:val="10Char"/>
    <w:link w:val="a22"/>
    <w:rsid w:val="00D17911"/>
    <w:rPr>
      <w:rFonts w:ascii="Tahoma" w:hAnsi="Tahoma" w:cs="Tahoma"/>
      <w:color w:val="0D0D0D"/>
      <w:szCs w:val="18"/>
    </w:rPr>
  </w:style>
  <w:style w:type="paragraph" w:customStyle="1" w:styleId="22021">
    <w:name w:val="כותרת 2 תקציר 2021"/>
    <w:basedOn w:val="121"/>
    <w:link w:val="22021Char"/>
    <w:qFormat/>
    <w:rsid w:val="00E64141"/>
    <w:pPr>
      <w:spacing w:before="360" w:after="240" w:line="440" w:lineRule="exact"/>
      <w:jc w:val="left"/>
      <w:outlineLvl w:val="1"/>
    </w:pPr>
    <w:rPr>
      <w:b/>
      <w:bCs/>
      <w:color w:val="00305F"/>
      <w:sz w:val="34"/>
      <w:szCs w:val="34"/>
    </w:rPr>
  </w:style>
  <w:style w:type="character" w:customStyle="1" w:styleId="121Char">
    <w:name w:val="כותרת 1_21 Char"/>
    <w:basedOn w:val="DefaultParagraphFont"/>
    <w:link w:val="121"/>
    <w:rsid w:val="00454096"/>
    <w:rPr>
      <w:rFonts w:ascii="Tahoma" w:hAnsi="Tahoma" w:eastAsiaTheme="minorEastAsia" w:cs="Tahoma"/>
      <w:color w:val="2A2AA6"/>
      <w:sz w:val="42"/>
      <w:szCs w:val="42"/>
    </w:rPr>
  </w:style>
  <w:style w:type="character" w:customStyle="1" w:styleId="22021Char">
    <w:name w:val="כותרת 2 תקציר 2021 Char"/>
    <w:basedOn w:val="121Char"/>
    <w:link w:val="22021"/>
    <w:rsid w:val="00E64141"/>
    <w:rPr>
      <w:rFonts w:ascii="Tahoma" w:hAnsi="Tahoma" w:eastAsiaTheme="minorEastAsia" w:cs="Tahoma"/>
      <w:b/>
      <w:bCs/>
      <w:color w:val="00305F"/>
      <w:sz w:val="34"/>
      <w:szCs w:val="34"/>
    </w:rPr>
  </w:style>
  <w:style w:type="paragraph" w:customStyle="1" w:styleId="12021">
    <w:name w:val="כותרת 1   2021"/>
    <w:basedOn w:val="121"/>
    <w:link w:val="12021Char"/>
    <w:qFormat/>
    <w:rsid w:val="008D750B"/>
    <w:pPr>
      <w:spacing w:before="360" w:after="180" w:line="440" w:lineRule="exact"/>
    </w:pPr>
    <w:rPr>
      <w:b/>
      <w:bCs/>
      <w:color w:val="00305F"/>
      <w:sz w:val="34"/>
      <w:szCs w:val="34"/>
    </w:rPr>
  </w:style>
  <w:style w:type="paragraph" w:customStyle="1" w:styleId="2021">
    <w:name w:val="מספרים גדולים בטבלת תקציר 2021"/>
    <w:basedOn w:val="121"/>
    <w:link w:val="2021Char"/>
    <w:qFormat/>
    <w:rsid w:val="00C27BF6"/>
    <w:pPr>
      <w:spacing w:before="120" w:line="240" w:lineRule="auto"/>
      <w:jc w:val="left"/>
    </w:pPr>
    <w:rPr>
      <w:b/>
      <w:bCs/>
      <w:color w:val="0D0D0D" w:themeColor="text1" w:themeTint="F2"/>
      <w:sz w:val="36"/>
      <w:szCs w:val="36"/>
    </w:rPr>
  </w:style>
  <w:style w:type="character" w:customStyle="1" w:styleId="12021Char">
    <w:name w:val="כותרת 1   2021 Char"/>
    <w:basedOn w:val="121Char"/>
    <w:link w:val="12021"/>
    <w:rsid w:val="008D750B"/>
    <w:rPr>
      <w:rFonts w:ascii="Tahoma" w:hAnsi="Tahoma" w:eastAsiaTheme="minorEastAsia" w:cs="Tahoma"/>
      <w:b/>
      <w:bCs/>
      <w:color w:val="00305F"/>
      <w:sz w:val="34"/>
      <w:szCs w:val="34"/>
    </w:rPr>
  </w:style>
  <w:style w:type="paragraph" w:customStyle="1" w:styleId="20210">
    <w:name w:val="ערכים בלוח התקציר 2021"/>
    <w:basedOn w:val="121"/>
    <w:link w:val="2021Char0"/>
    <w:qFormat/>
    <w:rsid w:val="00C27BF6"/>
    <w:pPr>
      <w:spacing w:before="0" w:after="180" w:line="240" w:lineRule="auto"/>
      <w:jc w:val="left"/>
    </w:pPr>
    <w:rPr>
      <w:color w:val="0D0D0D" w:themeColor="text1" w:themeTint="F2"/>
      <w:w w:val="90"/>
      <w:sz w:val="18"/>
      <w:szCs w:val="18"/>
    </w:rPr>
  </w:style>
  <w:style w:type="character" w:customStyle="1" w:styleId="2021Char">
    <w:name w:val="מספרים גדולים בטבלת תקציר 2021 Char"/>
    <w:basedOn w:val="121Char"/>
    <w:link w:val="2021"/>
    <w:rsid w:val="00C27BF6"/>
    <w:rPr>
      <w:rFonts w:ascii="Tahoma" w:hAnsi="Tahoma" w:eastAsiaTheme="minorEastAsia" w:cs="Tahoma"/>
      <w:b/>
      <w:bCs/>
      <w:color w:val="0D0D0D" w:themeColor="text1" w:themeTint="F2"/>
      <w:sz w:val="36"/>
      <w:szCs w:val="36"/>
    </w:rPr>
  </w:style>
  <w:style w:type="paragraph" w:customStyle="1" w:styleId="732021">
    <w:name w:val="73א כיתוב בתוך טבלת תקציר 2021"/>
    <w:basedOn w:val="20210"/>
    <w:link w:val="7320210"/>
    <w:qFormat/>
    <w:rsid w:val="00662020"/>
    <w:pPr>
      <w:keepNext/>
      <w:spacing w:before="60" w:line="260" w:lineRule="exact"/>
    </w:pPr>
  </w:style>
  <w:style w:type="character" w:customStyle="1" w:styleId="2021Char0">
    <w:name w:val="ערכים בלוח התקציר 2021 Char"/>
    <w:basedOn w:val="121Char"/>
    <w:link w:val="20210"/>
    <w:rsid w:val="00C27BF6"/>
    <w:rPr>
      <w:rFonts w:ascii="Tahoma" w:hAnsi="Tahoma" w:eastAsiaTheme="minorEastAsia" w:cs="Tahoma"/>
      <w:color w:val="0D0D0D" w:themeColor="text1" w:themeTint="F2"/>
      <w:w w:val="90"/>
      <w:sz w:val="18"/>
      <w:szCs w:val="18"/>
    </w:rPr>
  </w:style>
  <w:style w:type="character" w:customStyle="1" w:styleId="7320210">
    <w:name w:val="73א כיתוב בתוך טבלת תקציר 2021 תו"/>
    <w:basedOn w:val="2021Char0"/>
    <w:link w:val="732021"/>
    <w:rsid w:val="00662020"/>
    <w:rPr>
      <w:rFonts w:ascii="Tahoma" w:hAnsi="Tahoma" w:eastAsiaTheme="minorEastAsia" w:cs="Tahoma"/>
      <w:color w:val="0D0D0D" w:themeColor="text1" w:themeTint="F2"/>
      <w:w w:val="90"/>
      <w:sz w:val="18"/>
      <w:szCs w:val="18"/>
    </w:rPr>
  </w:style>
  <w:style w:type="paragraph" w:customStyle="1" w:styleId="213">
    <w:name w:val="סיכום תקציר 21"/>
    <w:basedOn w:val="Normal"/>
    <w:link w:val="21Char"/>
    <w:qFormat/>
    <w:rsid w:val="00454096"/>
    <w:pPr>
      <w:spacing w:after="180" w:line="240" w:lineRule="atLeast"/>
      <w:jc w:val="left"/>
      <w:outlineLvl w:val="1"/>
    </w:pPr>
    <w:rPr>
      <w:rFonts w:ascii="Tahoma" w:hAnsi="Tahoma" w:eastAsiaTheme="minorEastAsia" w:cs="Tahoma"/>
      <w:b/>
      <w:bCs/>
      <w:color w:val="00305F"/>
      <w:sz w:val="34"/>
      <w:szCs w:val="32"/>
    </w:rPr>
  </w:style>
  <w:style w:type="paragraph" w:customStyle="1" w:styleId="214">
    <w:name w:val="עיקרי המלצות הביקורת 21"/>
    <w:basedOn w:val="Normal"/>
    <w:link w:val="21Char0"/>
    <w:qFormat/>
    <w:rsid w:val="00454096"/>
    <w:pPr>
      <w:spacing w:after="180" w:line="240" w:lineRule="atLeast"/>
      <w:jc w:val="left"/>
      <w:outlineLvl w:val="1"/>
    </w:pPr>
    <w:rPr>
      <w:rFonts w:ascii="Tahoma" w:hAnsi="Tahoma" w:eastAsiaTheme="minorEastAsia" w:cs="Tahoma"/>
      <w:b/>
      <w:bCs/>
      <w:color w:val="002E5F"/>
      <w:sz w:val="34"/>
      <w:szCs w:val="32"/>
    </w:rPr>
  </w:style>
  <w:style w:type="character" w:customStyle="1" w:styleId="21Char">
    <w:name w:val="סיכום תקציר 21 Char"/>
    <w:basedOn w:val="DefaultParagraphFont"/>
    <w:link w:val="213"/>
    <w:rsid w:val="00454096"/>
    <w:rPr>
      <w:rFonts w:ascii="Tahoma" w:hAnsi="Tahoma" w:eastAsiaTheme="minorEastAsia" w:cs="Tahoma"/>
      <w:b/>
      <w:bCs/>
      <w:color w:val="00305F"/>
      <w:sz w:val="34"/>
      <w:szCs w:val="32"/>
    </w:rPr>
  </w:style>
  <w:style w:type="paragraph" w:customStyle="1" w:styleId="215">
    <w:name w:val="פעולות הביקורת 21"/>
    <w:basedOn w:val="Normal"/>
    <w:link w:val="21Char1"/>
    <w:qFormat/>
    <w:rsid w:val="00454096"/>
    <w:pPr>
      <w:spacing w:after="180" w:line="240" w:lineRule="atLeast"/>
      <w:jc w:val="left"/>
      <w:outlineLvl w:val="1"/>
    </w:pPr>
    <w:rPr>
      <w:rFonts w:ascii="Tahoma" w:hAnsi="Tahoma" w:eastAsiaTheme="minorEastAsia" w:cs="Tahoma"/>
      <w:bCs/>
      <w:color w:val="00305F"/>
      <w:sz w:val="32"/>
      <w:szCs w:val="32"/>
    </w:rPr>
  </w:style>
  <w:style w:type="character" w:customStyle="1" w:styleId="21Char0">
    <w:name w:val="עיקרי המלצות הביקורת 21 Char"/>
    <w:basedOn w:val="DefaultParagraphFont"/>
    <w:link w:val="214"/>
    <w:rsid w:val="00454096"/>
    <w:rPr>
      <w:rFonts w:ascii="Tahoma" w:hAnsi="Tahoma" w:eastAsiaTheme="minorEastAsia" w:cs="Tahoma"/>
      <w:b/>
      <w:bCs/>
      <w:color w:val="002E5F"/>
      <w:sz w:val="34"/>
      <w:szCs w:val="32"/>
    </w:rPr>
  </w:style>
  <w:style w:type="character" w:customStyle="1" w:styleId="21Char1">
    <w:name w:val="פעולות הביקורת 21 Char"/>
    <w:basedOn w:val="DefaultParagraphFont"/>
    <w:link w:val="215"/>
    <w:rsid w:val="00454096"/>
    <w:rPr>
      <w:rFonts w:ascii="Tahoma" w:hAnsi="Tahoma" w:eastAsiaTheme="minorEastAsia" w:cs="Tahoma"/>
      <w:b w:val="0"/>
      <w:bCs/>
      <w:color w:val="00305F"/>
      <w:sz w:val="32"/>
      <w:szCs w:val="32"/>
    </w:rPr>
  </w:style>
  <w:style w:type="paragraph" w:customStyle="1" w:styleId="216">
    <w:name w:val="פעולות הביקורת21"/>
    <w:basedOn w:val="Normal"/>
    <w:link w:val="21Char2"/>
    <w:qFormat/>
    <w:rsid w:val="001F3363"/>
    <w:pPr>
      <w:spacing w:after="180" w:line="260" w:lineRule="exact"/>
      <w:ind w:left="-1"/>
    </w:pPr>
    <w:rPr>
      <w:rFonts w:ascii="Tahoma" w:hAnsi="Tahoma" w:cs="Tahoma"/>
      <w:sz w:val="18"/>
      <w:szCs w:val="18"/>
    </w:rPr>
  </w:style>
  <w:style w:type="paragraph" w:customStyle="1" w:styleId="20211">
    <w:name w:val="טקסט רץ 2021"/>
    <w:basedOn w:val="Normal"/>
    <w:rsid w:val="00454096"/>
    <w:pPr>
      <w:spacing w:after="180" w:line="240" w:lineRule="atLeast"/>
      <w:jc w:val="left"/>
      <w:outlineLvl w:val="1"/>
    </w:pPr>
    <w:rPr>
      <w:rFonts w:ascii="Tahoma" w:hAnsi="Tahoma" w:eastAsiaTheme="minorEastAsia" w:cs="Tahoma"/>
      <w:b/>
      <w:bCs/>
      <w:color w:val="00305F"/>
      <w:sz w:val="34"/>
      <w:szCs w:val="32"/>
    </w:rPr>
  </w:style>
  <w:style w:type="paragraph" w:customStyle="1" w:styleId="a23">
    <w:name w:val="לוחות/תרשימים/תמונות/אינפוגרפיקה/מפות"/>
    <w:basedOn w:val="Normal"/>
    <w:qFormat/>
    <w:rsid w:val="00A93F51"/>
    <w:pPr>
      <w:keepNext/>
      <w:spacing w:after="200"/>
      <w:jc w:val="center"/>
    </w:pPr>
    <w:rPr>
      <w:rFonts w:ascii="Tahoma" w:hAnsi="Tahoma" w:eastAsiaTheme="minorEastAsia" w:cs="Tahoma"/>
      <w:color w:val="1481AB" w:themeColor="accent1" w:themeShade="BF"/>
      <w:szCs w:val="20"/>
    </w:rPr>
  </w:style>
  <w:style w:type="paragraph" w:customStyle="1" w:styleId="7325">
    <w:name w:val="73א כותרת סיכום"/>
    <w:basedOn w:val="733155"/>
    <w:qFormat/>
    <w:rsid w:val="00662020"/>
    <w:rPr>
      <w:b w:val="0"/>
    </w:rPr>
  </w:style>
  <w:style w:type="paragraph" w:customStyle="1" w:styleId="7326">
    <w:name w:val="73א תמונת המצב העולה מן הביקורת"/>
    <w:basedOn w:val="215"/>
    <w:link w:val="7327"/>
    <w:qFormat/>
    <w:rsid w:val="006F49D3"/>
    <w:pPr>
      <w:keepNext/>
      <w:keepLines/>
      <w:pBdr>
        <w:top w:val="single" w:sz="12" w:space="5" w:color="auto"/>
      </w:pBdr>
      <w:spacing w:before="360" w:after="240"/>
      <w:outlineLvl w:val="9"/>
    </w:pPr>
    <w:rPr>
      <w:sz w:val="31"/>
      <w:szCs w:val="31"/>
    </w:rPr>
  </w:style>
  <w:style w:type="character" w:customStyle="1" w:styleId="7327">
    <w:name w:val="73א תמונת המצב העולה מן הביקורת תו"/>
    <w:basedOn w:val="21Char1"/>
    <w:link w:val="7326"/>
    <w:rsid w:val="006F49D3"/>
    <w:rPr>
      <w:rFonts w:ascii="Tahoma" w:hAnsi="Tahoma" w:eastAsiaTheme="minorEastAsia" w:cs="Tahoma"/>
      <w:b w:val="0"/>
      <w:bCs/>
      <w:color w:val="00305F"/>
      <w:sz w:val="31"/>
      <w:szCs w:val="31"/>
    </w:rPr>
  </w:style>
  <w:style w:type="paragraph" w:customStyle="1" w:styleId="7328">
    <w:name w:val="73א כותרת 2"/>
    <w:link w:val="7329"/>
    <w:qFormat/>
    <w:rsid w:val="00BB0517"/>
    <w:pPr>
      <w:keepNext/>
      <w:keepLines/>
      <w:bidi/>
      <w:spacing w:before="360" w:after="240" w:line="240" w:lineRule="atLeast"/>
      <w:jc w:val="left"/>
      <w:outlineLvl w:val="1"/>
    </w:pPr>
    <w:rPr>
      <w:rFonts w:ascii="Tahoma" w:hAnsi="Tahoma" w:cs="Tahoma"/>
      <w:b/>
      <w:bCs/>
      <w:color w:val="00305F"/>
      <w:sz w:val="34"/>
      <w:szCs w:val="34"/>
    </w:rPr>
  </w:style>
  <w:style w:type="character" w:customStyle="1" w:styleId="7329">
    <w:name w:val="73א כותרת 2 תו"/>
    <w:basedOn w:val="DefaultParagraphFont"/>
    <w:link w:val="7328"/>
    <w:rsid w:val="00BB0517"/>
    <w:rPr>
      <w:rFonts w:ascii="Tahoma" w:hAnsi="Tahoma" w:cs="Tahoma"/>
      <w:b/>
      <w:bCs/>
      <w:color w:val="00305F"/>
      <w:sz w:val="34"/>
      <w:szCs w:val="34"/>
    </w:rPr>
  </w:style>
  <w:style w:type="character" w:customStyle="1" w:styleId="000">
    <w:name w:val="00 הערות שוליים אנגלית צד שמאל תו"/>
    <w:basedOn w:val="3"/>
    <w:link w:val="00"/>
    <w:rsid w:val="0096627E"/>
    <w:rPr>
      <w:rFonts w:ascii="Tahoma" w:hAnsi="Tahoma" w:cs="Tahoma"/>
      <w:color w:val="0D0D0D" w:themeColor="text1" w:themeTint="F2"/>
      <w:sz w:val="14"/>
      <w:szCs w:val="14"/>
    </w:rPr>
  </w:style>
  <w:style w:type="paragraph" w:customStyle="1" w:styleId="7300">
    <w:name w:val="73א מקרא לתרשים תמונה לוח רווח אחרי 0"/>
    <w:basedOn w:val="737"/>
    <w:link w:val="7301"/>
    <w:qFormat/>
    <w:rsid w:val="00050995"/>
    <w:pPr>
      <w:spacing w:after="0"/>
    </w:pPr>
  </w:style>
  <w:style w:type="character" w:customStyle="1" w:styleId="7330">
    <w:name w:val="73א מקרא+הערות לתרשים/לוח/תמונה תו"/>
    <w:basedOn w:val="000"/>
    <w:link w:val="737"/>
    <w:rsid w:val="00003ABB"/>
    <w:rPr>
      <w:rFonts w:ascii="Tahoma" w:hAnsi="Tahoma" w:cs="Tahoma"/>
      <w:color w:val="0D0D0D" w:themeColor="text1" w:themeTint="F2"/>
      <w:sz w:val="16"/>
      <w:szCs w:val="16"/>
    </w:rPr>
  </w:style>
  <w:style w:type="character" w:customStyle="1" w:styleId="7301">
    <w:name w:val="73א מקרא לתרשים תמונה לוח רווח אחרי 0 תו"/>
    <w:basedOn w:val="7330"/>
    <w:link w:val="7300"/>
    <w:rsid w:val="00050995"/>
    <w:rPr>
      <w:rFonts w:ascii="Tahoma" w:hAnsi="Tahoma" w:cs="Tahoma"/>
      <w:color w:val="0D0D0D" w:themeColor="text1" w:themeTint="F2"/>
      <w:sz w:val="16"/>
      <w:szCs w:val="16"/>
    </w:rPr>
  </w:style>
  <w:style w:type="paragraph" w:customStyle="1" w:styleId="7390">
    <w:name w:val="73א בולד 9 בתוך שורה"/>
    <w:basedOn w:val="216"/>
    <w:link w:val="7391"/>
    <w:qFormat/>
    <w:rsid w:val="00FF6AD9"/>
    <w:pPr>
      <w:ind w:left="397"/>
    </w:pPr>
    <w:rPr>
      <w:bCs/>
      <w:noProof/>
      <w:color w:val="0D0D0D" w:themeColor="text1" w:themeTint="F2"/>
      <w:lang w:val="he-IL"/>
    </w:rPr>
  </w:style>
  <w:style w:type="character" w:customStyle="1" w:styleId="21Char2">
    <w:name w:val="פעולות הביקורת21 Char"/>
    <w:basedOn w:val="DefaultParagraphFont"/>
    <w:link w:val="216"/>
    <w:rsid w:val="001F3363"/>
    <w:rPr>
      <w:rFonts w:ascii="Tahoma" w:hAnsi="Tahoma" w:cs="Tahoma"/>
      <w:color w:val="0D0D0D" w:themeColor="text1" w:themeTint="F2"/>
      <w:sz w:val="18"/>
      <w:szCs w:val="18"/>
    </w:rPr>
  </w:style>
  <w:style w:type="character" w:customStyle="1" w:styleId="7391">
    <w:name w:val="73א בולד 9 בתוך שורה תו"/>
    <w:basedOn w:val="21Char2"/>
    <w:link w:val="7390"/>
    <w:rsid w:val="00FF6AD9"/>
    <w:rPr>
      <w:rFonts w:ascii="Tahoma" w:hAnsi="Tahoma" w:cs="Tahoma"/>
      <w:bCs/>
      <w:noProof/>
      <w:color w:val="0D0D0D" w:themeColor="text1" w:themeTint="F2"/>
      <w:sz w:val="18"/>
      <w:szCs w:val="18"/>
      <w:lang w:val="he-IL"/>
    </w:rPr>
  </w:style>
  <w:style w:type="paragraph" w:customStyle="1" w:styleId="33">
    <w:name w:val="שורת רווח לפני כותרת 3 בטקסט רץ"/>
    <w:basedOn w:val="Normal"/>
    <w:link w:val="3Char"/>
    <w:qFormat/>
    <w:rsid w:val="001F3363"/>
    <w:pPr>
      <w:spacing w:after="180" w:line="260" w:lineRule="exact"/>
      <w:outlineLvl w:val="2"/>
    </w:pPr>
    <w:rPr>
      <w:rFonts w:ascii="Tahoma" w:hAnsi="Tahoma" w:cs="Tahoma"/>
      <w:color w:val="0D0D0D" w:themeColor="text1" w:themeTint="F2"/>
      <w:sz w:val="18"/>
      <w:szCs w:val="18"/>
    </w:rPr>
  </w:style>
  <w:style w:type="character" w:customStyle="1" w:styleId="3Char">
    <w:name w:val="שורת רווח לפני כותרת 3 בטקסט רץ Char"/>
    <w:basedOn w:val="DefaultParagraphFont"/>
    <w:link w:val="33"/>
    <w:rsid w:val="001F3363"/>
    <w:rPr>
      <w:rFonts w:ascii="Tahoma" w:hAnsi="Tahoma" w:cs="Tahoma"/>
      <w:color w:val="0D0D0D" w:themeColor="text1" w:themeTint="F2"/>
      <w:sz w:val="18"/>
      <w:szCs w:val="18"/>
    </w:rPr>
  </w:style>
  <w:style w:type="paragraph" w:customStyle="1" w:styleId="73111">
    <w:name w:val="73א מרווח של 1 בטקס רץ"/>
    <w:basedOn w:val="Normal"/>
    <w:link w:val="73112"/>
    <w:qFormat/>
    <w:rsid w:val="001F3363"/>
    <w:pPr>
      <w:spacing w:after="180" w:line="260" w:lineRule="exact"/>
    </w:pPr>
    <w:rPr>
      <w:rFonts w:ascii="Tahoma" w:hAnsi="Tahoma" w:cs="Tahoma"/>
      <w:color w:val="0D0D0D" w:themeColor="text1" w:themeTint="F2"/>
      <w:spacing w:val="20"/>
      <w:sz w:val="18"/>
      <w:szCs w:val="18"/>
    </w:rPr>
  </w:style>
  <w:style w:type="character" w:customStyle="1" w:styleId="73112">
    <w:name w:val="73א מרווח של 1 בטקס רץ תו"/>
    <w:basedOn w:val="DefaultParagraphFont"/>
    <w:link w:val="73111"/>
    <w:rsid w:val="001F3363"/>
    <w:rPr>
      <w:rFonts w:ascii="Tahoma" w:hAnsi="Tahoma" w:cs="Tahoma"/>
      <w:color w:val="0D0D0D" w:themeColor="text1" w:themeTint="F2"/>
      <w:spacing w:val="20"/>
      <w:sz w:val="18"/>
      <w:szCs w:val="18"/>
    </w:rPr>
  </w:style>
  <w:style w:type="paragraph" w:customStyle="1" w:styleId="a24">
    <w:name w:val="כותרת לבנה בתוך תבנית אדומה בתקציר"/>
    <w:basedOn w:val="Normal"/>
    <w:link w:val="Char5"/>
    <w:qFormat/>
    <w:rsid w:val="009D41AC"/>
    <w:pPr>
      <w:spacing w:before="120" w:line="240" w:lineRule="atLeast"/>
      <w:ind w:left="170" w:right="113"/>
      <w:jc w:val="left"/>
    </w:pPr>
    <w:rPr>
      <w:rFonts w:ascii="Tahoma" w:hAnsi="Tahoma" w:cs="Tahoma"/>
      <w:b/>
      <w:bCs/>
      <w:color w:val="FFFFFF" w:themeColor="background1"/>
      <w:sz w:val="22"/>
      <w:szCs w:val="22"/>
    </w:rPr>
  </w:style>
  <w:style w:type="paragraph" w:customStyle="1" w:styleId="7331">
    <w:name w:val="73א כותרת לבנה בתוך תבנית אדומה בתקציר"/>
    <w:basedOn w:val="a24"/>
    <w:link w:val="7332"/>
    <w:qFormat/>
    <w:rsid w:val="00524400"/>
    <w:pPr>
      <w:keepNext/>
      <w:keepLines/>
      <w:spacing w:before="0"/>
    </w:pPr>
  </w:style>
  <w:style w:type="character" w:customStyle="1" w:styleId="Char5">
    <w:name w:val="כותרת לבנה בתוך תבנית אדומה בתקציר Char"/>
    <w:basedOn w:val="DefaultParagraphFont"/>
    <w:link w:val="a24"/>
    <w:rsid w:val="009D41AC"/>
    <w:rPr>
      <w:rFonts w:ascii="Tahoma" w:hAnsi="Tahoma" w:cs="Tahoma"/>
      <w:b/>
      <w:bCs/>
      <w:color w:val="FFFFFF" w:themeColor="background1"/>
      <w:sz w:val="22"/>
      <w:szCs w:val="22"/>
    </w:rPr>
  </w:style>
  <w:style w:type="character" w:customStyle="1" w:styleId="7332">
    <w:name w:val="73א כותרת לבנה בתוך תבנית אדומה בתקציר תו"/>
    <w:basedOn w:val="Char5"/>
    <w:link w:val="7331"/>
    <w:rsid w:val="00524400"/>
    <w:rPr>
      <w:rFonts w:ascii="Tahoma" w:hAnsi="Tahoma" w:cs="Tahoma"/>
      <w:b/>
      <w:bCs/>
      <w:color w:val="FFFFFF" w:themeColor="background1"/>
      <w:sz w:val="22"/>
      <w:szCs w:val="22"/>
    </w:rPr>
  </w:style>
  <w:style w:type="paragraph" w:customStyle="1" w:styleId="73113">
    <w:name w:val="73א רשימה ממספר 1"/>
    <w:qFormat/>
    <w:rsid w:val="00662020"/>
    <w:pPr>
      <w:pBdr>
        <w:top w:val="single" w:sz="18" w:space="4" w:color="CEEAF5"/>
        <w:left w:val="single" w:sz="18" w:space="11" w:color="CEEAF5"/>
        <w:bottom w:val="single" w:sz="18" w:space="6" w:color="CEEAF5"/>
        <w:right w:val="single" w:sz="18" w:space="11" w:color="CEEAF5"/>
      </w:pBdr>
      <w:shd w:val="solid" w:color="CEEAF5" w:fill="auto"/>
      <w:spacing w:after="120"/>
      <w:ind w:left="397" w:hanging="397"/>
    </w:pPr>
    <w:rPr>
      <w:rFonts w:ascii="Tahoma" w:hAnsi="Tahoma" w:cs="Tahoma"/>
      <w:color w:val="0D0D0D" w:themeColor="text1" w:themeTint="F2"/>
      <w:sz w:val="18"/>
      <w:szCs w:val="18"/>
    </w:rPr>
  </w:style>
  <w:style w:type="table" w:styleId="GridTable5DarkAccent1">
    <w:name w:val="Grid Table 5 Dark Accent 1"/>
    <w:basedOn w:val="TableNormal"/>
    <w:uiPriority w:val="50"/>
    <w:rsid w:val="00E425C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1EEF9"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CADE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CADE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CADE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CADE4" w:themeFill="accent1"/>
      </w:tcPr>
    </w:tblStylePr>
    <w:tblStylePr w:type="band1Vert">
      <w:tblPr/>
      <w:tcPr>
        <w:shd w:val="clear" w:color="auto" w:fill="A4DDF4" w:themeFill="accent1" w:themeFillTint="66"/>
      </w:tcPr>
    </w:tblStylePr>
    <w:tblStylePr w:type="band1Horz">
      <w:tblPr/>
      <w:tcPr>
        <w:shd w:val="clear" w:color="auto" w:fill="A4DDF4" w:themeFill="accent1" w:themeFillTint="66"/>
      </w:tcPr>
    </w:tblStylePr>
  </w:style>
  <w:style w:type="paragraph" w:customStyle="1" w:styleId="7333">
    <w:name w:val="73א היפרלינק"/>
    <w:basedOn w:val="00"/>
    <w:link w:val="7334"/>
    <w:qFormat/>
    <w:rsid w:val="009578F0"/>
    <w:pPr>
      <w:bidi w:val="0"/>
    </w:pPr>
    <w:rPr>
      <w:color w:val="6090CC"/>
      <w:u w:val="single"/>
    </w:rPr>
  </w:style>
  <w:style w:type="character" w:customStyle="1" w:styleId="7334">
    <w:name w:val="73א היפרלינק תו"/>
    <w:basedOn w:val="000"/>
    <w:link w:val="7333"/>
    <w:rsid w:val="009578F0"/>
    <w:rPr>
      <w:rFonts w:ascii="Tahoma" w:hAnsi="Tahoma" w:cs="Tahoma"/>
      <w:color w:val="6090CC"/>
      <w:sz w:val="14"/>
      <w:szCs w:val="14"/>
      <w:u w:val="single"/>
    </w:rPr>
  </w:style>
  <w:style w:type="paragraph" w:customStyle="1" w:styleId="7335">
    <w:name w:val="73א קוביה כחולה עם מספר מוזח"/>
    <w:basedOn w:val="734"/>
    <w:link w:val="7337"/>
    <w:qFormat/>
    <w:rsid w:val="00FF6AD9"/>
    <w:pPr>
      <w:pBdr>
        <w:top w:val="single" w:sz="18" w:space="4" w:color="CEEAF6"/>
        <w:left w:val="single" w:sz="18" w:space="11" w:color="CEEAF6"/>
        <w:bottom w:val="single" w:sz="18" w:space="6" w:color="CEEAF6"/>
        <w:right w:val="single" w:sz="18" w:space="11" w:color="CEEAF6"/>
      </w:pBdr>
      <w:shd w:val="clear" w:color="auto" w:fill="CEEAF6"/>
    </w:pPr>
  </w:style>
  <w:style w:type="character" w:customStyle="1" w:styleId="7336">
    <w:name w:val="73א הזחה ראשונה מספר תו"/>
    <w:basedOn w:val="a2"/>
    <w:link w:val="734"/>
    <w:rsid w:val="0091353C"/>
    <w:rPr>
      <w:rFonts w:ascii="Tahoma" w:hAnsi="Tahoma" w:cs="Tahoma"/>
      <w:color w:val="0D0D0D" w:themeColor="text1" w:themeTint="F2"/>
      <w:sz w:val="18"/>
      <w:szCs w:val="18"/>
    </w:rPr>
  </w:style>
  <w:style w:type="character" w:customStyle="1" w:styleId="7337">
    <w:name w:val="73א קוביה כחולה עם מספר מוזח תו"/>
    <w:basedOn w:val="7336"/>
    <w:link w:val="7335"/>
    <w:rsid w:val="00FF6AD9"/>
    <w:rPr>
      <w:rFonts w:ascii="Tahoma" w:hAnsi="Tahoma" w:cs="Tahoma"/>
      <w:color w:val="0D0D0D" w:themeColor="text1" w:themeTint="F2"/>
      <w:sz w:val="18"/>
      <w:szCs w:val="18"/>
      <w:shd w:val="clear" w:color="auto" w:fill="CEEAF6"/>
    </w:rPr>
  </w:style>
  <w:style w:type="paragraph" w:customStyle="1" w:styleId="7338">
    <w:name w:val="73א כותרת טקסט רץ מודגשת"/>
    <w:basedOn w:val="Normal"/>
    <w:link w:val="7339"/>
    <w:qFormat/>
    <w:rsid w:val="001F3363"/>
    <w:pPr>
      <w:spacing w:after="180" w:line="260" w:lineRule="exact"/>
    </w:pPr>
    <w:rPr>
      <w:rFonts w:ascii="Tahoma" w:hAnsi="Tahoma" w:cs="Tahoma"/>
      <w:b/>
      <w:bCs/>
      <w:color w:val="0D0D0D" w:themeColor="text1" w:themeTint="F2"/>
      <w:sz w:val="18"/>
      <w:szCs w:val="18"/>
    </w:rPr>
  </w:style>
  <w:style w:type="character" w:customStyle="1" w:styleId="7339">
    <w:name w:val="73א כותרת טקסט רץ מודגשת תו"/>
    <w:basedOn w:val="DefaultParagraphFont"/>
    <w:link w:val="7338"/>
    <w:rsid w:val="001F3363"/>
    <w:rPr>
      <w:rFonts w:ascii="Tahoma" w:hAnsi="Tahoma" w:cs="Tahoma"/>
      <w:b/>
      <w:bCs/>
      <w:color w:val="0D0D0D" w:themeColor="text1" w:themeTint="F2"/>
      <w:sz w:val="18"/>
      <w:szCs w:val="18"/>
    </w:rPr>
  </w:style>
  <w:style w:type="paragraph" w:customStyle="1" w:styleId="7370">
    <w:name w:val="73א כותרת 7 בתוך טקסט"/>
    <w:basedOn w:val="7392"/>
    <w:link w:val="7371"/>
    <w:qFormat/>
    <w:rsid w:val="0078358A"/>
    <w:rPr>
      <w:bCs/>
    </w:rPr>
  </w:style>
  <w:style w:type="character" w:customStyle="1" w:styleId="7371">
    <w:name w:val="73א כותרת 7 בתוך טקסט תו"/>
    <w:basedOn w:val="7336"/>
    <w:link w:val="7370"/>
    <w:rsid w:val="0078358A"/>
    <w:rPr>
      <w:rFonts w:ascii="Tahoma" w:hAnsi="Tahoma" w:cs="Tahoma"/>
      <w:bCs/>
      <w:color w:val="0D0D0D" w:themeColor="text1" w:themeTint="F2"/>
      <w:sz w:val="18"/>
      <w:szCs w:val="18"/>
    </w:rPr>
  </w:style>
  <w:style w:type="paragraph" w:customStyle="1" w:styleId="P110">
    <w:name w:val="P11"/>
    <w:basedOn w:val="Normal"/>
    <w:rsid w:val="00454096"/>
    <w:pPr>
      <w:widowControl w:val="0"/>
      <w:tabs>
        <w:tab w:val="left" w:pos="1021"/>
        <w:tab w:val="left" w:pos="1474"/>
        <w:tab w:val="left" w:pos="1928"/>
        <w:tab w:val="left" w:pos="2381"/>
        <w:tab w:val="left" w:pos="2835"/>
        <w:tab w:val="right" w:leader="dot" w:pos="6259"/>
      </w:tabs>
      <w:suppressAutoHyphens/>
      <w:autoSpaceDE w:val="0"/>
      <w:autoSpaceDN w:val="0"/>
      <w:spacing w:before="60" w:line="240" w:lineRule="auto"/>
      <w:ind w:left="2835" w:right="624"/>
    </w:pPr>
    <w:rPr>
      <w:rFonts w:eastAsia="Times New Roman" w:cs="Times New Roman"/>
      <w:noProof/>
      <w:szCs w:val="26"/>
      <w:lang w:eastAsia="he-IL"/>
    </w:rPr>
  </w:style>
  <w:style w:type="paragraph" w:customStyle="1" w:styleId="a25">
    <w:name w:val="מלל מוצלל"/>
    <w:basedOn w:val="Normal"/>
    <w:rsid w:val="00901D1D"/>
    <w:pPr>
      <w:pBdr>
        <w:top w:val="single" w:sz="4" w:space="8" w:color="FFFFFF"/>
        <w:left w:val="single" w:sz="4" w:space="12" w:color="FFFFFF"/>
        <w:bottom w:val="single" w:sz="4" w:space="8" w:color="FFFFFF"/>
        <w:right w:val="single" w:sz="4" w:space="12" w:color="FFFFFF"/>
      </w:pBdr>
      <w:shd w:val="pct10" w:color="auto" w:fill="FFFFFF"/>
      <w:spacing w:line="288" w:lineRule="auto"/>
      <w:ind w:left="305" w:right="284"/>
    </w:pPr>
    <w:rPr>
      <w:rFonts w:eastAsia="Times New Roman" w:cs="Times New Roman"/>
      <w:sz w:val="24"/>
      <w:lang w:eastAsia="he-IL"/>
    </w:rPr>
  </w:style>
  <w:style w:type="paragraph" w:styleId="HTMLPreformatted">
    <w:name w:val="HTML Preformatted"/>
    <w:basedOn w:val="Normal"/>
    <w:link w:val="HTML"/>
    <w:uiPriority w:val="99"/>
    <w:semiHidden/>
    <w:unhideWhenUsed/>
    <w:rsid w:val="00901D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jc w:val="left"/>
    </w:pPr>
    <w:rPr>
      <w:rFonts w:ascii="Courier New" w:eastAsia="Times New Roman" w:hAnsi="Courier New" w:cs="Courier New"/>
      <w:szCs w:val="20"/>
    </w:rPr>
  </w:style>
  <w:style w:type="character" w:customStyle="1" w:styleId="HTML">
    <w:name w:val="HTML מעוצב מראש תו"/>
    <w:basedOn w:val="DefaultParagraphFont"/>
    <w:link w:val="HTMLPreformatted"/>
    <w:uiPriority w:val="99"/>
    <w:semiHidden/>
    <w:rsid w:val="00901D1D"/>
    <w:rPr>
      <w:rFonts w:ascii="Courier New" w:eastAsia="Times New Roman" w:hAnsi="Courier New" w:cs="Courier New"/>
      <w:szCs w:val="20"/>
    </w:rPr>
  </w:style>
  <w:style w:type="paragraph" w:customStyle="1" w:styleId="Default0">
    <w:name w:val="Default"/>
    <w:rsid w:val="00901D1D"/>
    <w:pPr>
      <w:autoSpaceDE w:val="0"/>
      <w:autoSpaceDN w:val="0"/>
      <w:adjustRightInd w:val="0"/>
      <w:spacing w:after="0" w:line="240" w:lineRule="auto"/>
      <w:jc w:val="left"/>
    </w:pPr>
    <w:rPr>
      <w:rFonts w:ascii="Gotham Narrow Light" w:hAnsi="Gotham Narrow Light" w:cs="Gotham Narrow Light"/>
      <w:color w:val="000000"/>
      <w:sz w:val="24"/>
    </w:rPr>
  </w:style>
  <w:style w:type="paragraph" w:customStyle="1" w:styleId="Pa14">
    <w:name w:val="Pa14"/>
    <w:basedOn w:val="Default0"/>
    <w:next w:val="Default0"/>
    <w:uiPriority w:val="99"/>
    <w:rsid w:val="00901D1D"/>
    <w:pPr>
      <w:spacing w:line="180" w:lineRule="atLeast"/>
    </w:pPr>
    <w:rPr>
      <w:rFonts w:cs="David"/>
      <w:color w:val="auto"/>
    </w:rPr>
  </w:style>
  <w:style w:type="table" w:styleId="GridTable5DarkAccent5">
    <w:name w:val="Grid Table 5 Dark Accent 5"/>
    <w:basedOn w:val="TableNormal"/>
    <w:uiPriority w:val="50"/>
    <w:rsid w:val="00901D1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EBDA"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E885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E885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E885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E8853" w:themeFill="accent5"/>
      </w:tcPr>
    </w:tblStylePr>
    <w:tblStylePr w:type="band1Vert">
      <w:tblPr/>
      <w:tcPr>
        <w:shd w:val="clear" w:color="auto" w:fill="A9D7B6" w:themeFill="accent5" w:themeFillTint="66"/>
      </w:tcPr>
    </w:tblStylePr>
    <w:tblStylePr w:type="band1Horz">
      <w:tblPr/>
      <w:tcPr>
        <w:shd w:val="clear" w:color="auto" w:fill="A9D7B6" w:themeFill="accent5" w:themeFillTint="66"/>
      </w:tcPr>
    </w:tblStylePr>
  </w:style>
  <w:style w:type="character" w:customStyle="1" w:styleId="a26">
    <w:name w:val="נבנצאל תו"/>
    <w:basedOn w:val="DefaultParagraphFont"/>
    <w:link w:val="a27"/>
    <w:uiPriority w:val="99"/>
    <w:locked/>
    <w:rsid w:val="00905FB1"/>
    <w:rPr>
      <w:szCs w:val="20"/>
    </w:rPr>
  </w:style>
  <w:style w:type="paragraph" w:customStyle="1" w:styleId="a27">
    <w:name w:val="נבנצאל"/>
    <w:basedOn w:val="Normal"/>
    <w:next w:val="Normal"/>
    <w:link w:val="a26"/>
    <w:uiPriority w:val="99"/>
    <w:rsid w:val="00905FB1"/>
    <w:pPr>
      <w:ind w:left="-567"/>
    </w:pPr>
    <w:rPr>
      <w:szCs w:val="20"/>
    </w:rPr>
  </w:style>
  <w:style w:type="paragraph" w:styleId="DocumentMap">
    <w:name w:val="Document Map"/>
    <w:basedOn w:val="Normal"/>
    <w:link w:val="a28"/>
    <w:uiPriority w:val="99"/>
    <w:semiHidden/>
    <w:unhideWhenUsed/>
    <w:rsid w:val="0030451F"/>
    <w:pPr>
      <w:spacing w:line="240" w:lineRule="auto"/>
    </w:pPr>
    <w:rPr>
      <w:rFonts w:ascii="Tahoma" w:hAnsi="Tahoma" w:cs="Tahoma"/>
      <w:sz w:val="16"/>
      <w:szCs w:val="16"/>
    </w:rPr>
  </w:style>
  <w:style w:type="character" w:customStyle="1" w:styleId="a28">
    <w:name w:val="מפת מסמך תו"/>
    <w:basedOn w:val="DefaultParagraphFont"/>
    <w:link w:val="DocumentMap"/>
    <w:uiPriority w:val="99"/>
    <w:semiHidden/>
    <w:rsid w:val="0030451F"/>
    <w:rPr>
      <w:rFonts w:ascii="Tahoma" w:hAnsi="Tahoma" w:cs="Tahoma"/>
      <w:sz w:val="16"/>
      <w:szCs w:val="16"/>
    </w:rPr>
  </w:style>
  <w:style w:type="paragraph" w:customStyle="1" w:styleId="122">
    <w:name w:val="סגנון1"/>
    <w:basedOn w:val="Caption"/>
    <w:qFormat/>
    <w:rsid w:val="0030451F"/>
    <w:pPr>
      <w:jc w:val="center"/>
    </w:pPr>
    <w:rPr>
      <w:b/>
      <w:bCs/>
      <w:iCs w:val="0"/>
      <w:color w:val="000000" w:themeColor="text1"/>
      <w:sz w:val="24"/>
      <w:szCs w:val="24"/>
    </w:rPr>
  </w:style>
  <w:style w:type="paragraph" w:customStyle="1" w:styleId="28">
    <w:name w:val="סגנון2"/>
    <w:basedOn w:val="Caption"/>
    <w:autoRedefine/>
    <w:qFormat/>
    <w:rsid w:val="0030451F"/>
    <w:pPr>
      <w:jc w:val="center"/>
    </w:pPr>
    <w:rPr>
      <w:b/>
      <w:bCs/>
      <w:iCs w:val="0"/>
      <w:color w:val="000000" w:themeColor="text1"/>
      <w:sz w:val="24"/>
      <w:szCs w:val="24"/>
    </w:rPr>
  </w:style>
  <w:style w:type="paragraph" w:customStyle="1" w:styleId="34">
    <w:name w:val="סגנון3"/>
    <w:basedOn w:val="Caption"/>
    <w:autoRedefine/>
    <w:qFormat/>
    <w:rsid w:val="0030451F"/>
    <w:pPr>
      <w:jc w:val="center"/>
    </w:pPr>
    <w:rPr>
      <w:b/>
      <w:bCs/>
      <w:iCs w:val="0"/>
      <w:color w:val="000000" w:themeColor="text1"/>
      <w:sz w:val="24"/>
      <w:szCs w:val="24"/>
    </w:rPr>
  </w:style>
  <w:style w:type="paragraph" w:customStyle="1" w:styleId="40">
    <w:name w:val="סגנון4"/>
    <w:basedOn w:val="Caption"/>
    <w:autoRedefine/>
    <w:qFormat/>
    <w:rsid w:val="0030451F"/>
    <w:pPr>
      <w:jc w:val="center"/>
    </w:pPr>
    <w:rPr>
      <w:b/>
      <w:bCs/>
      <w:iCs w:val="0"/>
      <w:color w:val="000000" w:themeColor="text1"/>
      <w:sz w:val="24"/>
      <w:szCs w:val="24"/>
    </w:rPr>
  </w:style>
  <w:style w:type="paragraph" w:customStyle="1" w:styleId="a29">
    <w:name w:val="סגנון כיתוב + לא מודגש לא נטוי"/>
    <w:basedOn w:val="Caption"/>
    <w:rsid w:val="0030451F"/>
    <w:pPr>
      <w:spacing w:after="0"/>
    </w:pPr>
    <w:rPr>
      <w:i w:val="0"/>
      <w:color w:val="auto"/>
      <w:sz w:val="20"/>
      <w:szCs w:val="24"/>
    </w:rPr>
  </w:style>
  <w:style w:type="paragraph" w:customStyle="1" w:styleId="-8">
    <w:name w:val="רשויות מקומיות - כותרת 8 בתוך טקסט"/>
    <w:basedOn w:val="Normal"/>
    <w:link w:val="-8Char"/>
    <w:qFormat/>
    <w:rsid w:val="001F3363"/>
    <w:pPr>
      <w:spacing w:after="180" w:line="260" w:lineRule="exact"/>
    </w:pPr>
    <w:rPr>
      <w:rFonts w:ascii="Tahoma" w:hAnsi="Tahoma" w:cs="Tahoma"/>
      <w:color w:val="00305F"/>
      <w:spacing w:val="20"/>
      <w:sz w:val="18"/>
      <w:szCs w:val="18"/>
    </w:rPr>
  </w:style>
  <w:style w:type="character" w:customStyle="1" w:styleId="-8Char">
    <w:name w:val="רשויות מקומיות - כותרת 8 בתוך טקסט Char"/>
    <w:basedOn w:val="DefaultParagraphFont"/>
    <w:link w:val="-8"/>
    <w:rsid w:val="001F3363"/>
    <w:rPr>
      <w:rFonts w:ascii="Tahoma" w:hAnsi="Tahoma" w:cs="Tahoma"/>
      <w:color w:val="00305F"/>
      <w:spacing w:val="20"/>
      <w:sz w:val="18"/>
      <w:szCs w:val="18"/>
    </w:rPr>
  </w:style>
  <w:style w:type="paragraph" w:customStyle="1" w:styleId="7350">
    <w:name w:val="73א כותרת 5 בתוך טקסט מודגש"/>
    <w:basedOn w:val="Normal"/>
    <w:link w:val="7351"/>
    <w:qFormat/>
    <w:rsid w:val="001F3363"/>
    <w:pPr>
      <w:spacing w:after="180" w:line="260" w:lineRule="exact"/>
    </w:pPr>
    <w:rPr>
      <w:rFonts w:ascii="Tahoma" w:hAnsi="Tahoma" w:cs="Tahoma"/>
      <w:bCs/>
      <w:color w:val="00305F"/>
      <w:sz w:val="18"/>
      <w:szCs w:val="18"/>
    </w:rPr>
  </w:style>
  <w:style w:type="character" w:customStyle="1" w:styleId="7351">
    <w:name w:val="73א כותרת 5 בתוך טקסט מודגש תו"/>
    <w:basedOn w:val="DefaultParagraphFont"/>
    <w:link w:val="7350"/>
    <w:rsid w:val="001F3363"/>
    <w:rPr>
      <w:rFonts w:ascii="Tahoma" w:hAnsi="Tahoma" w:cs="Tahoma"/>
      <w:bCs/>
      <w:color w:val="00305F"/>
      <w:sz w:val="18"/>
      <w:szCs w:val="18"/>
    </w:rPr>
  </w:style>
  <w:style w:type="paragraph" w:customStyle="1" w:styleId="7381">
    <w:name w:val="73א כותרת 8 בתוך טקסט"/>
    <w:basedOn w:val="Normal"/>
    <w:link w:val="7382"/>
    <w:qFormat/>
    <w:rsid w:val="0078358A"/>
    <w:pPr>
      <w:spacing w:after="180" w:line="260" w:lineRule="exact"/>
    </w:pPr>
    <w:rPr>
      <w:rFonts w:ascii="Tahoma" w:hAnsi="Tahoma" w:cs="Tahoma"/>
      <w:color w:val="0D0D0D" w:themeColor="text1" w:themeTint="F2"/>
      <w:spacing w:val="20"/>
      <w:sz w:val="19"/>
      <w:szCs w:val="18"/>
    </w:rPr>
  </w:style>
  <w:style w:type="character" w:customStyle="1" w:styleId="7382">
    <w:name w:val="73א כותרת 8 בתוך טקסט תו"/>
    <w:basedOn w:val="DefaultParagraphFont"/>
    <w:link w:val="7381"/>
    <w:rsid w:val="0078358A"/>
    <w:rPr>
      <w:rFonts w:ascii="Tahoma" w:hAnsi="Tahoma" w:cs="Tahoma"/>
      <w:color w:val="0D0D0D" w:themeColor="text1" w:themeTint="F2"/>
      <w:spacing w:val="20"/>
      <w:sz w:val="19"/>
      <w:szCs w:val="18"/>
    </w:rPr>
  </w:style>
  <w:style w:type="paragraph" w:styleId="NormalWeb">
    <w:name w:val="Normal (Web)"/>
    <w:basedOn w:val="Normal"/>
    <w:uiPriority w:val="99"/>
    <w:unhideWhenUsed/>
    <w:rsid w:val="007A3AB1"/>
    <w:pPr>
      <w:bidi w:val="0"/>
      <w:spacing w:before="100" w:beforeAutospacing="1" w:after="100" w:afterAutospacing="1" w:line="240" w:lineRule="auto"/>
      <w:jc w:val="left"/>
    </w:pPr>
    <w:rPr>
      <w:rFonts w:eastAsia="Times New Roman" w:cs="Times New Roman"/>
      <w:color w:val="000000" w:themeColor="text1"/>
      <w:sz w:val="24"/>
      <w:szCs w:val="18"/>
    </w:rPr>
  </w:style>
  <w:style w:type="paragraph" w:customStyle="1" w:styleId="7340">
    <w:name w:val="73א מקרא+הערות לתרשים/לוח/תמונה כוכבית"/>
    <w:basedOn w:val="737"/>
    <w:qFormat/>
    <w:rsid w:val="002F430E"/>
    <w:pPr>
      <w:framePr w:wrap="around" w:vAnchor="text" w:hAnchor="text" w:y="1"/>
    </w:pPr>
  </w:style>
  <w:style w:type="paragraph" w:customStyle="1" w:styleId="a30">
    <w:name w:val="הערות לתרשימים"/>
    <w:basedOn w:val="737"/>
    <w:next w:val="00"/>
    <w:qFormat/>
    <w:rsid w:val="007A3AB1"/>
    <w:pPr>
      <w:framePr w:wrap="around" w:vAnchor="text" w:hAnchor="text" w:y="1"/>
      <w:spacing w:after="0"/>
    </w:pPr>
  </w:style>
  <w:style w:type="paragraph" w:customStyle="1" w:styleId="90">
    <w:name w:val="טקסט רץ 9 מודגש חדש"/>
    <w:basedOn w:val="Normal"/>
    <w:qFormat/>
    <w:rsid w:val="001F3363"/>
    <w:pPr>
      <w:spacing w:after="180" w:line="260" w:lineRule="exact"/>
    </w:pPr>
    <w:rPr>
      <w:rFonts w:ascii="Tahoma" w:hAnsi="Tahoma" w:cs="Tahoma"/>
      <w:b/>
      <w:bCs/>
      <w:color w:val="0D0D0D" w:themeColor="text1" w:themeTint="F2"/>
      <w:sz w:val="18"/>
      <w:szCs w:val="18"/>
    </w:rPr>
  </w:style>
  <w:style w:type="character" w:customStyle="1" w:styleId="7372">
    <w:name w:val="73א כותרת 7 הדגשת קטע בטקסט רץ תו"/>
    <w:basedOn w:val="DefaultParagraphFont"/>
    <w:link w:val="7373"/>
    <w:rsid w:val="001F3363"/>
    <w:rPr>
      <w:rFonts w:ascii="Tahoma" w:hAnsi="Tahoma" w:cs="Tahoma"/>
      <w:bCs/>
      <w:color w:val="0D0D0D" w:themeColor="text1" w:themeTint="F2"/>
      <w:sz w:val="18"/>
      <w:szCs w:val="18"/>
    </w:rPr>
  </w:style>
  <w:style w:type="paragraph" w:customStyle="1" w:styleId="7373">
    <w:name w:val="73א כותרת 7 הדגשת קטע בטקסט רץ"/>
    <w:basedOn w:val="7392"/>
    <w:link w:val="7372"/>
    <w:qFormat/>
    <w:rsid w:val="001F3363"/>
    <w:rPr>
      <w:bCs/>
    </w:rPr>
  </w:style>
  <w:style w:type="paragraph" w:customStyle="1" w:styleId="-0">
    <w:name w:val="מבקר המדינה - עמוד שער(לבן)"/>
    <w:basedOn w:val="Normal"/>
    <w:qFormat/>
    <w:rsid w:val="003570AC"/>
    <w:pPr>
      <w:ind w:left="2268"/>
    </w:pPr>
    <w:rPr>
      <w:rFonts w:ascii="Tahoma" w:hAnsi="Tahoma" w:cs="Tahoma"/>
      <w:sz w:val="18"/>
      <w:szCs w:val="18"/>
    </w:rPr>
  </w:style>
  <w:style w:type="paragraph" w:customStyle="1" w:styleId="-1">
    <w:name w:val="עמוד שער פנימי - שם החטיבה"/>
    <w:basedOn w:val="Normal"/>
    <w:qFormat/>
    <w:rsid w:val="003570AC"/>
    <w:pPr>
      <w:ind w:left="2268"/>
      <w:jc w:val="left"/>
    </w:pPr>
    <w:rPr>
      <w:rFonts w:ascii="Tahoma" w:hAnsi="Tahoma" w:eastAsiaTheme="minorEastAsia" w:cs="Tahoma"/>
      <w:color w:val="FFFFFF" w:themeColor="background1"/>
      <w:sz w:val="28"/>
      <w:szCs w:val="28"/>
    </w:rPr>
  </w:style>
  <w:style w:type="paragraph" w:customStyle="1" w:styleId="-2">
    <w:name w:val="עמוד שער פנימי - שם הכתבה"/>
    <w:basedOn w:val="Normal"/>
    <w:qFormat/>
    <w:rsid w:val="003570AC"/>
    <w:pPr>
      <w:spacing w:before="360" w:line="600" w:lineRule="exact"/>
      <w:ind w:left="2268"/>
      <w:jc w:val="left"/>
    </w:pPr>
    <w:rPr>
      <w:rFonts w:ascii="Tahoma" w:hAnsi="Tahoma" w:cs="Tahoma"/>
      <w:b/>
      <w:bCs/>
      <w:sz w:val="40"/>
      <w:szCs w:val="40"/>
    </w:rPr>
  </w:style>
  <w:style w:type="paragraph" w:customStyle="1" w:styleId="a31">
    <w:name w:val="מספרים גדולים בנתוני מפתח"/>
    <w:basedOn w:val="Normal"/>
    <w:qFormat/>
    <w:rsid w:val="002D4D38"/>
    <w:pPr>
      <w:spacing w:before="120" w:line="240" w:lineRule="auto"/>
      <w:jc w:val="center"/>
    </w:pPr>
    <w:rPr>
      <w:rFonts w:ascii="Tahoma" w:hAnsi="Tahoma" w:cs="Tahoma"/>
      <w:b/>
      <w:bCs/>
      <w:spacing w:val="-28"/>
      <w:sz w:val="36"/>
      <w:szCs w:val="36"/>
    </w:rPr>
  </w:style>
  <w:style w:type="paragraph" w:styleId="ListNumber3">
    <w:name w:val="List Number 3"/>
    <w:basedOn w:val="Normal"/>
    <w:unhideWhenUsed/>
    <w:rsid w:val="00920813"/>
    <w:pPr>
      <w:overflowPunct w:val="0"/>
      <w:autoSpaceDE w:val="0"/>
      <w:autoSpaceDN w:val="0"/>
      <w:adjustRightInd w:val="0"/>
      <w:spacing w:after="120" w:line="360" w:lineRule="auto"/>
      <w:ind w:left="849" w:hanging="283"/>
      <w:textAlignment w:val="baseline"/>
    </w:pPr>
    <w:rPr>
      <w:rFonts w:ascii="David" w:eastAsia="Times New Roman" w:hAnsi="David"/>
      <w:sz w:val="24"/>
    </w:rPr>
  </w:style>
  <w:style w:type="table" w:styleId="ListTable5DarkAccent1">
    <w:name w:val="List Table 5 Dark Accent 1"/>
    <w:basedOn w:val="TableNormal"/>
    <w:uiPriority w:val="50"/>
    <w:rsid w:val="00920813"/>
    <w:pPr>
      <w:spacing w:after="0" w:line="240" w:lineRule="auto"/>
    </w:pPr>
    <w:rPr>
      <w:color w:val="FFFFFF" w:themeColor="background1"/>
    </w:rPr>
    <w:tblPr>
      <w:tblStyleRowBandSize w:val="1"/>
      <w:tblStyleColBandSize w:val="1"/>
      <w:tblBorders>
        <w:top w:val="single" w:sz="24" w:space="0" w:color="1CADE4" w:themeColor="accent1"/>
        <w:left w:val="single" w:sz="24" w:space="0" w:color="1CADE4" w:themeColor="accent1"/>
        <w:bottom w:val="single" w:sz="24" w:space="0" w:color="1CADE4" w:themeColor="accent1"/>
        <w:right w:val="single" w:sz="24" w:space="0" w:color="1CADE4" w:themeColor="accent1"/>
      </w:tblBorders>
    </w:tblPr>
    <w:tcPr>
      <w:shd w:val="clear" w:color="auto" w:fill="1CADE4"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7ColorfulAccent4">
    <w:name w:val="List Table 7 Colorful Accent 4"/>
    <w:basedOn w:val="TableNormal"/>
    <w:uiPriority w:val="52"/>
    <w:rsid w:val="00920813"/>
    <w:pPr>
      <w:spacing w:after="0" w:line="240" w:lineRule="auto"/>
    </w:pPr>
    <w:rPr>
      <w:color w:val="318B7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2BA97"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2BA97"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2BA97"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2BA97" w:themeColor="accent4"/>
        </w:tcBorders>
        <w:shd w:val="clear" w:color="auto" w:fill="FFFFFF" w:themeFill="background1"/>
      </w:tcPr>
    </w:tblStylePr>
    <w:tblStylePr w:type="band1Vert">
      <w:tblPr/>
      <w:tcPr>
        <w:shd w:val="clear" w:color="auto" w:fill="D8F1EA" w:themeFill="accent4" w:themeFillTint="33"/>
      </w:tcPr>
    </w:tblStylePr>
    <w:tblStylePr w:type="band1Horz">
      <w:tblPr/>
      <w:tcPr>
        <w:shd w:val="clear" w:color="auto" w:fill="D8F1EA"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7392">
    <w:name w:val="73א טקסט רץ 9"/>
    <w:basedOn w:val="a22"/>
    <w:link w:val="7393"/>
    <w:qFormat/>
    <w:rsid w:val="00222C5D"/>
    <w:rPr>
      <w:color w:val="0D0D0D" w:themeColor="text1" w:themeTint="F2"/>
      <w:sz w:val="18"/>
    </w:rPr>
  </w:style>
  <w:style w:type="character" w:customStyle="1" w:styleId="7393">
    <w:name w:val="73א טקסט רץ 9 תו"/>
    <w:basedOn w:val="Char4"/>
    <w:link w:val="7392"/>
    <w:rsid w:val="00222C5D"/>
    <w:rPr>
      <w:rFonts w:ascii="Tahoma" w:hAnsi="Tahoma" w:cs="Tahoma"/>
      <w:color w:val="0D0D0D" w:themeColor="text1" w:themeTint="F2"/>
      <w:sz w:val="18"/>
      <w:szCs w:val="18"/>
    </w:rPr>
  </w:style>
  <w:style w:type="character" w:styleId="SubtleReference">
    <w:name w:val="Subtle Reference"/>
    <w:basedOn w:val="DefaultParagraphFont"/>
    <w:uiPriority w:val="31"/>
    <w:rsid w:val="003B23BE"/>
    <w:rPr>
      <w:smallCaps/>
      <w:color w:val="5A5A5A" w:themeColor="text1" w:themeTint="A5"/>
    </w:rPr>
  </w:style>
  <w:style w:type="paragraph" w:customStyle="1" w:styleId="RESHET">
    <w:name w:val="RESHET"/>
    <w:basedOn w:val="Normal"/>
    <w:rsid w:val="001A4FC5"/>
    <w:pPr>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20" w:line="240" w:lineRule="exact"/>
      <w:ind w:left="227" w:right="2495"/>
    </w:pPr>
    <w:rPr>
      <w:rFonts w:ascii="Tahoma" w:eastAsia="Times New Roman" w:hAnsi="Tahoma" w:cs="Tahoma"/>
      <w:sz w:val="17"/>
      <w:szCs w:val="18"/>
      <w:lang w:eastAsia="he-IL"/>
    </w:rPr>
  </w:style>
  <w:style w:type="paragraph" w:customStyle="1" w:styleId="tab-name">
    <w:name w:val="tab-name"/>
    <w:basedOn w:val="Normal"/>
    <w:qFormat/>
    <w:rsid w:val="001A4FC5"/>
    <w:pPr>
      <w:keepNext/>
      <w:spacing w:before="120" w:after="120" w:line="320" w:lineRule="exact"/>
      <w:ind w:right="2268"/>
      <w:jc w:val="left"/>
    </w:pPr>
    <w:rPr>
      <w:rFonts w:ascii="Tahoma" w:hAnsi="Tahoma" w:eastAsiaTheme="minorEastAsia" w:cs="Tahoma"/>
      <w:color w:val="1481AB" w:themeColor="accent1" w:themeShade="BF"/>
      <w:sz w:val="18"/>
      <w:szCs w:val="18"/>
    </w:rPr>
  </w:style>
  <w:style w:type="paragraph" w:customStyle="1" w:styleId="running-text">
    <w:name w:val="running-text"/>
    <w:qFormat/>
    <w:rsid w:val="001A4FC5"/>
    <w:pPr>
      <w:spacing w:after="120" w:line="240" w:lineRule="exact"/>
      <w:ind w:right="2268"/>
    </w:pPr>
    <w:rPr>
      <w:rFonts w:ascii="Tahoma" w:hAnsi="Tahoma" w:eastAsiaTheme="minorEastAsia" w:cs="Tahoma"/>
      <w:sz w:val="17"/>
      <w:szCs w:val="18"/>
    </w:rPr>
  </w:style>
  <w:style w:type="paragraph" w:customStyle="1" w:styleId="text-source">
    <w:name w:val="text-source"/>
    <w:basedOn w:val="Normal"/>
    <w:next w:val="Normal"/>
    <w:qFormat/>
    <w:rsid w:val="001A4FC5"/>
    <w:pPr>
      <w:shd w:val="clear" w:color="auto" w:fill="FFFFFF"/>
      <w:spacing w:before="120" w:after="240" w:line="200" w:lineRule="exact"/>
      <w:ind w:right="2268"/>
      <w:jc w:val="left"/>
    </w:pPr>
    <w:rPr>
      <w:rFonts w:ascii="Tahoma" w:eastAsia="Times New Roman" w:hAnsi="Tahoma" w:cs="Tahoma"/>
      <w:color w:val="222222"/>
      <w:sz w:val="14"/>
      <w:szCs w:val="14"/>
    </w:rPr>
  </w:style>
  <w:style w:type="character" w:customStyle="1" w:styleId="Heading20">
    <w:name w:val="Heading #2_"/>
    <w:basedOn w:val="DefaultParagraphFont"/>
    <w:link w:val="Heading21"/>
    <w:rsid w:val="001A4FC5"/>
    <w:rPr>
      <w:rFonts w:ascii="David" w:eastAsia="David" w:hAnsi="David"/>
      <w:b/>
      <w:bCs/>
      <w:szCs w:val="20"/>
      <w:shd w:val="clear" w:color="auto" w:fill="FFFFFF"/>
    </w:rPr>
  </w:style>
  <w:style w:type="character" w:customStyle="1" w:styleId="Heading2NotBold">
    <w:name w:val="Heading #2 + Not Bold"/>
    <w:basedOn w:val="Heading20"/>
    <w:rsid w:val="001A4FC5"/>
    <w:rPr>
      <w:rFonts w:ascii="David" w:eastAsia="David" w:hAnsi="David"/>
      <w:b/>
      <w:bCs/>
      <w:color w:val="000000"/>
      <w:spacing w:val="0"/>
      <w:w w:val="100"/>
      <w:position w:val="0"/>
      <w:szCs w:val="20"/>
      <w:shd w:val="clear" w:color="auto" w:fill="FFFFFF"/>
      <w:lang w:val="he-IL" w:eastAsia="he-IL" w:bidi="he-IL"/>
    </w:rPr>
  </w:style>
  <w:style w:type="paragraph" w:customStyle="1" w:styleId="Heading21">
    <w:name w:val="Heading #2"/>
    <w:basedOn w:val="Normal"/>
    <w:link w:val="Heading20"/>
    <w:rsid w:val="001A4FC5"/>
    <w:pPr>
      <w:widowControl w:val="0"/>
      <w:shd w:val="clear" w:color="auto" w:fill="FFFFFF"/>
      <w:spacing w:before="360" w:after="180" w:line="0" w:lineRule="atLeast"/>
      <w:jc w:val="left"/>
      <w:outlineLvl w:val="1"/>
    </w:pPr>
    <w:rPr>
      <w:rFonts w:ascii="David" w:eastAsia="David" w:hAnsi="David"/>
      <w:b/>
      <w:bCs/>
      <w:szCs w:val="20"/>
    </w:rPr>
  </w:style>
  <w:style w:type="paragraph" w:customStyle="1" w:styleId="6-">
    <w:name w:val="כותרת 6 -דוח קורונה"/>
    <w:basedOn w:val="Normal"/>
    <w:qFormat/>
    <w:rsid w:val="001F3363"/>
    <w:pPr>
      <w:keepNext/>
      <w:keepLines/>
      <w:spacing w:before="240" w:after="180" w:line="240" w:lineRule="atLeast"/>
      <w:jc w:val="left"/>
    </w:pPr>
    <w:rPr>
      <w:rFonts w:ascii="Tahoma" w:hAnsi="Tahoma" w:cs="Tahoma"/>
      <w:color w:val="00305F"/>
      <w:sz w:val="18"/>
      <w:szCs w:val="20"/>
    </w:rPr>
  </w:style>
  <w:style w:type="paragraph" w:styleId="TOC2">
    <w:name w:val="toc 2"/>
    <w:basedOn w:val="Normal"/>
    <w:next w:val="Normal"/>
    <w:autoRedefine/>
    <w:uiPriority w:val="39"/>
    <w:unhideWhenUsed/>
    <w:qFormat/>
    <w:rsid w:val="00C9003B"/>
    <w:pPr>
      <w:tabs>
        <w:tab w:val="right" w:leader="dot" w:pos="8211"/>
      </w:tabs>
      <w:spacing w:after="100"/>
      <w:ind w:left="200"/>
    </w:pPr>
  </w:style>
  <w:style w:type="paragraph" w:styleId="TOC3">
    <w:name w:val="toc 3"/>
    <w:basedOn w:val="Normal"/>
    <w:next w:val="Normal"/>
    <w:autoRedefine/>
    <w:uiPriority w:val="39"/>
    <w:unhideWhenUsed/>
    <w:qFormat/>
    <w:rsid w:val="00C9003B"/>
    <w:pPr>
      <w:spacing w:after="100"/>
      <w:ind w:left="400"/>
    </w:pPr>
  </w:style>
  <w:style w:type="paragraph" w:styleId="TOC1">
    <w:name w:val="toc 1"/>
    <w:basedOn w:val="Normal"/>
    <w:next w:val="Normal"/>
    <w:autoRedefine/>
    <w:uiPriority w:val="39"/>
    <w:unhideWhenUsed/>
    <w:qFormat/>
    <w:rsid w:val="00C9003B"/>
    <w:pPr>
      <w:spacing w:after="100" w:line="259" w:lineRule="auto"/>
      <w:jc w:val="left"/>
    </w:pPr>
    <w:rPr>
      <w:rFonts w:asciiTheme="minorHAnsi" w:eastAsiaTheme="minorEastAsia" w:hAnsiTheme="minorHAnsi" w:cs="Times New Roman"/>
      <w:sz w:val="22"/>
      <w:szCs w:val="22"/>
      <w:rtl/>
      <w:cs/>
    </w:rPr>
  </w:style>
  <w:style w:type="paragraph" w:styleId="TOC4">
    <w:name w:val="toc 4"/>
    <w:basedOn w:val="Normal"/>
    <w:next w:val="Normal"/>
    <w:autoRedefine/>
    <w:uiPriority w:val="39"/>
    <w:unhideWhenUsed/>
    <w:rsid w:val="00C9003B"/>
    <w:pPr>
      <w:spacing w:after="100"/>
      <w:ind w:left="600"/>
    </w:pPr>
  </w:style>
  <w:style w:type="paragraph" w:styleId="TOC6">
    <w:name w:val="toc 6"/>
    <w:basedOn w:val="Normal"/>
    <w:next w:val="Normal"/>
    <w:autoRedefine/>
    <w:uiPriority w:val="39"/>
    <w:unhideWhenUsed/>
    <w:rsid w:val="00C9003B"/>
    <w:pPr>
      <w:spacing w:after="100"/>
      <w:ind w:left="1000"/>
    </w:pPr>
  </w:style>
  <w:style w:type="paragraph" w:styleId="TOC5">
    <w:name w:val="toc 5"/>
    <w:basedOn w:val="Normal"/>
    <w:next w:val="Normal"/>
    <w:autoRedefine/>
    <w:uiPriority w:val="39"/>
    <w:unhideWhenUsed/>
    <w:rsid w:val="00C9003B"/>
    <w:pPr>
      <w:spacing w:after="100"/>
      <w:ind w:left="800"/>
    </w:pPr>
  </w:style>
  <w:style w:type="paragraph" w:customStyle="1" w:styleId="ruller41">
    <w:name w:val="ruller41"/>
    <w:basedOn w:val="Normal"/>
    <w:rsid w:val="00C9003B"/>
    <w:pPr>
      <w:bidi w:val="0"/>
      <w:spacing w:before="100" w:beforeAutospacing="1" w:after="100" w:afterAutospacing="1" w:line="240" w:lineRule="auto"/>
      <w:jc w:val="left"/>
    </w:pPr>
    <w:rPr>
      <w:rFonts w:eastAsia="Times New Roman" w:cs="Times New Roman"/>
      <w:sz w:val="24"/>
    </w:rPr>
  </w:style>
  <w:style w:type="character" w:customStyle="1" w:styleId="736100">
    <w:name w:val="73א כותרת 6_10 תו"/>
    <w:basedOn w:val="DefaultParagraphFont"/>
    <w:link w:val="73610"/>
    <w:rsid w:val="0078358A"/>
    <w:rPr>
      <w:rFonts w:ascii="Tahoma" w:hAnsi="Tahoma" w:cs="Tahoma"/>
      <w:b/>
      <w:bCs/>
      <w:color w:val="00305F"/>
      <w:szCs w:val="20"/>
    </w:rPr>
  </w:style>
  <w:style w:type="paragraph" w:customStyle="1" w:styleId="msonormal">
    <w:name w:val="msonormal"/>
    <w:basedOn w:val="Normal"/>
    <w:uiPriority w:val="99"/>
    <w:rsid w:val="007324C6"/>
    <w:pPr>
      <w:bidi w:val="0"/>
      <w:spacing w:before="100" w:beforeAutospacing="1" w:after="100" w:afterAutospacing="1" w:line="240" w:lineRule="auto"/>
      <w:jc w:val="left"/>
    </w:pPr>
    <w:rPr>
      <w:rFonts w:eastAsia="Times New Roman" w:cs="Times New Roman"/>
      <w:sz w:val="24"/>
    </w:rPr>
  </w:style>
  <w:style w:type="paragraph" w:styleId="TOC7">
    <w:name w:val="toc 7"/>
    <w:basedOn w:val="Normal"/>
    <w:next w:val="Normal"/>
    <w:autoRedefine/>
    <w:uiPriority w:val="39"/>
    <w:unhideWhenUsed/>
    <w:rsid w:val="007324C6"/>
    <w:pPr>
      <w:spacing w:after="100" w:line="259" w:lineRule="auto"/>
      <w:ind w:left="1320"/>
      <w:jc w:val="left"/>
    </w:pPr>
    <w:rPr>
      <w:rFonts w:asciiTheme="minorHAnsi" w:hAnsiTheme="minorHAnsi" w:cstheme="minorBidi"/>
      <w:sz w:val="22"/>
      <w:szCs w:val="22"/>
    </w:rPr>
  </w:style>
  <w:style w:type="paragraph" w:customStyle="1" w:styleId="ruller4">
    <w:name w:val="ruller4"/>
    <w:basedOn w:val="Normal"/>
    <w:rsid w:val="007324C6"/>
    <w:pPr>
      <w:bidi w:val="0"/>
      <w:spacing w:before="100" w:beforeAutospacing="1" w:after="100" w:afterAutospacing="1" w:line="240" w:lineRule="auto"/>
      <w:jc w:val="left"/>
    </w:pPr>
    <w:rPr>
      <w:rFonts w:eastAsia="Times New Roman" w:cs="Times New Roman"/>
      <w:sz w:val="24"/>
    </w:rPr>
  </w:style>
  <w:style w:type="table" w:styleId="GridTable1LightAccent5">
    <w:name w:val="Grid Table 1 Light Accent 5"/>
    <w:basedOn w:val="TableNormal"/>
    <w:uiPriority w:val="46"/>
    <w:rsid w:val="005D0F8C"/>
    <w:pPr>
      <w:bidi/>
      <w:spacing w:after="0" w:line="240" w:lineRule="auto"/>
      <w:ind w:left="720" w:hanging="720"/>
    </w:pPr>
    <w:tblPr>
      <w:tblStyleRowBandSize w:val="1"/>
      <w:tblStyleColBandSize w:val="1"/>
      <w:tblBorders>
        <w:top w:val="single" w:sz="4" w:space="0" w:color="A9D7B6" w:themeColor="accent5" w:themeTint="66"/>
        <w:left w:val="single" w:sz="4" w:space="0" w:color="A9D7B6" w:themeColor="accent5" w:themeTint="66"/>
        <w:bottom w:val="single" w:sz="4" w:space="0" w:color="A9D7B6" w:themeColor="accent5" w:themeTint="66"/>
        <w:right w:val="single" w:sz="4" w:space="0" w:color="A9D7B6" w:themeColor="accent5" w:themeTint="66"/>
        <w:insideH w:val="single" w:sz="4" w:space="0" w:color="A9D7B6" w:themeColor="accent5" w:themeTint="66"/>
        <w:insideV w:val="single" w:sz="4" w:space="0" w:color="A9D7B6" w:themeColor="accent5" w:themeTint="66"/>
      </w:tblBorders>
    </w:tblPr>
    <w:tblStylePr w:type="firstRow">
      <w:rPr>
        <w:b/>
        <w:bCs/>
      </w:rPr>
      <w:tblPr/>
      <w:tcPr>
        <w:tcBorders>
          <w:bottom w:val="single" w:sz="12" w:space="0" w:color="7EC492" w:themeColor="accent5" w:themeTint="99"/>
        </w:tcBorders>
      </w:tcPr>
    </w:tblStylePr>
    <w:tblStylePr w:type="lastRow">
      <w:rPr>
        <w:b/>
        <w:bCs/>
      </w:rPr>
      <w:tblPr/>
      <w:tcPr>
        <w:tcBorders>
          <w:top w:val="double" w:sz="2" w:space="0" w:color="7EC492" w:themeColor="accent5" w:themeTint="99"/>
        </w:tcBorders>
      </w:tcPr>
    </w:tblStylePr>
    <w:tblStylePr w:type="firstCol">
      <w:rPr>
        <w:b/>
        <w:bCs/>
      </w:rPr>
    </w:tblStylePr>
    <w:tblStylePr w:type="lastCol">
      <w:rPr>
        <w:b/>
        <w:bCs/>
      </w:rPr>
    </w:tblStylePr>
  </w:style>
  <w:style w:type="table" w:styleId="GridTable6ColorfulAccent5">
    <w:name w:val="Grid Table 6 Colorful Accent 5"/>
    <w:basedOn w:val="TableNormal"/>
    <w:uiPriority w:val="51"/>
    <w:rsid w:val="005D0F8C"/>
    <w:pPr>
      <w:bidi/>
      <w:spacing w:after="0" w:line="240" w:lineRule="auto"/>
      <w:ind w:left="720" w:hanging="720"/>
    </w:pPr>
    <w:rPr>
      <w:color w:val="2E653E" w:themeColor="accent5" w:themeShade="BF"/>
    </w:rPr>
    <w:tblPr>
      <w:tblStyleRowBandSize w:val="1"/>
      <w:tblStyleColBandSize w:val="1"/>
      <w:tblBorders>
        <w:top w:val="single" w:sz="4" w:space="0" w:color="7EC492" w:themeColor="accent5" w:themeTint="99"/>
        <w:left w:val="single" w:sz="4" w:space="0" w:color="7EC492" w:themeColor="accent5" w:themeTint="99"/>
        <w:bottom w:val="single" w:sz="4" w:space="0" w:color="7EC492" w:themeColor="accent5" w:themeTint="99"/>
        <w:right w:val="single" w:sz="4" w:space="0" w:color="7EC492" w:themeColor="accent5" w:themeTint="99"/>
        <w:insideH w:val="single" w:sz="4" w:space="0" w:color="7EC492" w:themeColor="accent5" w:themeTint="99"/>
        <w:insideV w:val="single" w:sz="4" w:space="0" w:color="7EC492" w:themeColor="accent5" w:themeTint="99"/>
      </w:tblBorders>
    </w:tblPr>
    <w:tblStylePr w:type="firstRow">
      <w:rPr>
        <w:b/>
        <w:bCs/>
      </w:rPr>
      <w:tblPr/>
      <w:tcPr>
        <w:tcBorders>
          <w:bottom w:val="single" w:sz="12" w:space="0" w:color="7EC492" w:themeColor="accent5" w:themeTint="99"/>
        </w:tcBorders>
      </w:tcPr>
    </w:tblStylePr>
    <w:tblStylePr w:type="lastRow">
      <w:rPr>
        <w:b/>
        <w:bCs/>
      </w:rPr>
      <w:tblPr/>
      <w:tcPr>
        <w:tcBorders>
          <w:top w:val="double" w:sz="4" w:space="0" w:color="7EC492" w:themeColor="accent5" w:themeTint="99"/>
        </w:tcBorders>
      </w:tcPr>
    </w:tblStylePr>
    <w:tblStylePr w:type="firstCol">
      <w:rPr>
        <w:b/>
        <w:bCs/>
      </w:rPr>
    </w:tblStylePr>
    <w:tblStylePr w:type="lastCol">
      <w:rPr>
        <w:b/>
        <w:bCs/>
      </w:rPr>
    </w:tblStylePr>
    <w:tblStylePr w:type="band1Vert">
      <w:tblPr/>
      <w:tcPr>
        <w:shd w:val="clear" w:color="auto" w:fill="D3EBDA" w:themeFill="accent5" w:themeFillTint="33"/>
      </w:tcPr>
    </w:tblStylePr>
    <w:tblStylePr w:type="band1Horz">
      <w:tblPr/>
      <w:tcPr>
        <w:shd w:val="clear" w:color="auto" w:fill="D3EBDA" w:themeFill="accent5" w:themeFillTint="33"/>
      </w:tcPr>
    </w:tblStylePr>
  </w:style>
  <w:style w:type="table" w:styleId="GridTable4Accent5">
    <w:name w:val="Grid Table 4 Accent 5"/>
    <w:basedOn w:val="TableNormal"/>
    <w:uiPriority w:val="49"/>
    <w:rsid w:val="005D0F8C"/>
    <w:pPr>
      <w:bidi/>
      <w:spacing w:after="0" w:line="240" w:lineRule="auto"/>
      <w:ind w:left="720" w:hanging="720"/>
    </w:pPr>
    <w:tblPr>
      <w:tblStyleRowBandSize w:val="1"/>
      <w:tblStyleColBandSize w:val="1"/>
      <w:tblBorders>
        <w:top w:val="single" w:sz="4" w:space="0" w:color="7EC492" w:themeColor="accent5" w:themeTint="99"/>
        <w:left w:val="single" w:sz="4" w:space="0" w:color="7EC492" w:themeColor="accent5" w:themeTint="99"/>
        <w:bottom w:val="single" w:sz="4" w:space="0" w:color="7EC492" w:themeColor="accent5" w:themeTint="99"/>
        <w:right w:val="single" w:sz="4" w:space="0" w:color="7EC492" w:themeColor="accent5" w:themeTint="99"/>
        <w:insideH w:val="single" w:sz="4" w:space="0" w:color="7EC492" w:themeColor="accent5" w:themeTint="99"/>
        <w:insideV w:val="single" w:sz="4" w:space="0" w:color="7EC492" w:themeColor="accent5" w:themeTint="99"/>
      </w:tblBorders>
    </w:tblPr>
    <w:tblStylePr w:type="firstRow">
      <w:rPr>
        <w:b/>
        <w:bCs/>
        <w:color w:val="FFFFFF" w:themeColor="background1"/>
      </w:rPr>
      <w:tblPr/>
      <w:tcPr>
        <w:tcBorders>
          <w:top w:val="single" w:sz="4" w:space="0" w:color="3E8853" w:themeColor="accent5"/>
          <w:left w:val="single" w:sz="4" w:space="0" w:color="3E8853" w:themeColor="accent5"/>
          <w:bottom w:val="single" w:sz="4" w:space="0" w:color="3E8853" w:themeColor="accent5"/>
          <w:right w:val="single" w:sz="4" w:space="0" w:color="3E8853" w:themeColor="accent5"/>
          <w:insideH w:val="nil"/>
          <w:insideV w:val="nil"/>
        </w:tcBorders>
        <w:shd w:val="clear" w:color="auto" w:fill="3E8853" w:themeFill="accent5"/>
      </w:tcPr>
    </w:tblStylePr>
    <w:tblStylePr w:type="lastRow">
      <w:rPr>
        <w:b/>
        <w:bCs/>
      </w:rPr>
      <w:tblPr/>
      <w:tcPr>
        <w:tcBorders>
          <w:top w:val="double" w:sz="4" w:space="0" w:color="3E8853" w:themeColor="accent5"/>
        </w:tcBorders>
      </w:tcPr>
    </w:tblStylePr>
    <w:tblStylePr w:type="firstCol">
      <w:rPr>
        <w:b/>
        <w:bCs/>
      </w:rPr>
    </w:tblStylePr>
    <w:tblStylePr w:type="lastCol">
      <w:rPr>
        <w:b/>
        <w:bCs/>
      </w:rPr>
    </w:tblStylePr>
    <w:tblStylePr w:type="band1Vert">
      <w:tblPr/>
      <w:tcPr>
        <w:shd w:val="clear" w:color="auto" w:fill="D3EBDA" w:themeFill="accent5" w:themeFillTint="33"/>
      </w:tcPr>
    </w:tblStylePr>
    <w:tblStylePr w:type="band1Horz">
      <w:tblPr/>
      <w:tcPr>
        <w:shd w:val="clear" w:color="auto" w:fill="D3EBDA" w:themeFill="accent5" w:themeFillTint="33"/>
      </w:tcPr>
    </w:tblStylePr>
  </w:style>
  <w:style w:type="paragraph" w:customStyle="1" w:styleId="50">
    <w:name w:val="סגנון5"/>
    <w:basedOn w:val="738"/>
    <w:qFormat/>
    <w:rsid w:val="005D0F8C"/>
    <w:pPr>
      <w:pBdr>
        <w:top w:val="single" w:sz="18" w:space="4" w:color="CFEBF6"/>
        <w:left w:val="single" w:sz="18" w:space="11" w:color="CFEBF6"/>
        <w:bottom w:val="single" w:sz="18" w:space="6" w:color="CFEBF6"/>
        <w:right w:val="single" w:sz="18" w:space="11" w:color="CFEBF6"/>
      </w:pBdr>
      <w:shd w:val="solid" w:color="DBE4FA" w:fill="auto"/>
    </w:pPr>
  </w:style>
  <w:style w:type="paragraph" w:customStyle="1" w:styleId="60">
    <w:name w:val="סגנון6"/>
    <w:basedOn w:val="7315"/>
    <w:qFormat/>
    <w:rsid w:val="005D0F8C"/>
    <w:pPr>
      <w:framePr w:wrap="around"/>
      <w:pBdr>
        <w:top w:val="single" w:sz="18" w:space="4" w:color="CFEBF6"/>
        <w:left w:val="single" w:sz="18" w:space="11" w:color="CFEBF6"/>
        <w:bottom w:val="single" w:sz="18" w:space="6" w:color="CFEBF6"/>
        <w:right w:val="single" w:sz="18" w:space="11" w:color="CFEBF6"/>
      </w:pBdr>
      <w:shd w:val="solid" w:color="DBE4FA" w:fill="auto"/>
      <w:spacing w:after="240"/>
      <w:ind w:left="1417"/>
    </w:pPr>
    <w:rPr>
      <w:rFonts w:eastAsiaTheme="minorHAnsi"/>
    </w:rPr>
  </w:style>
  <w:style w:type="table" w:customStyle="1" w:styleId="Table3">
    <w:name w:val="Table3"/>
    <w:basedOn w:val="TableNormal"/>
    <w:rsid w:val="00B91AD9"/>
    <w:pPr>
      <w:bidi/>
      <w:jc w:val="left"/>
    </w:pPr>
    <w:rPr>
      <w:rFonts w:ascii="Calibri" w:eastAsia="Calibri" w:hAnsi="Calibri" w:cs="Calibri"/>
      <w:sz w:val="22"/>
      <w:szCs w:val="22"/>
    </w:rPr>
    <w:tblPr>
      <w:tblStyleRowBandSize w:val="1"/>
      <w:tblStyleColBandSize w:val="1"/>
      <w:tblCellMar>
        <w:left w:w="115" w:type="dxa"/>
        <w:right w:w="115" w:type="dxa"/>
      </w:tblCellMar>
    </w:tblPr>
  </w:style>
  <w:style w:type="paragraph" w:styleId="TOC8">
    <w:name w:val="toc 8"/>
    <w:basedOn w:val="Normal"/>
    <w:next w:val="Normal"/>
    <w:autoRedefine/>
    <w:uiPriority w:val="39"/>
    <w:unhideWhenUsed/>
    <w:rsid w:val="00B91AD9"/>
    <w:pPr>
      <w:spacing w:after="100" w:line="259" w:lineRule="auto"/>
      <w:ind w:left="1540"/>
      <w:jc w:val="left"/>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B91AD9"/>
    <w:pPr>
      <w:spacing w:after="100" w:line="259" w:lineRule="auto"/>
      <w:ind w:left="1760"/>
      <w:jc w:val="left"/>
    </w:pPr>
    <w:rPr>
      <w:rFonts w:asciiTheme="minorHAnsi" w:eastAsiaTheme="minorEastAsia" w:hAnsiTheme="minorHAnsi" w:cstheme="minorBidi"/>
      <w:sz w:val="22"/>
      <w:szCs w:val="22"/>
    </w:rPr>
  </w:style>
  <w:style w:type="character" w:styleId="PageNumber">
    <w:name w:val="page number"/>
    <w:basedOn w:val="DefaultParagraphFont"/>
    <w:uiPriority w:val="99"/>
    <w:semiHidden/>
    <w:unhideWhenUsed/>
    <w:rsid w:val="005B2BF5"/>
  </w:style>
  <w:style w:type="table" w:customStyle="1" w:styleId="123">
    <w:name w:val="טבלת רשת1"/>
    <w:basedOn w:val="TableNormal"/>
    <w:next w:val="TableGrid"/>
    <w:uiPriority w:val="59"/>
    <w:rsid w:val="005B2BF5"/>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basedOn w:val="Normal"/>
    <w:uiPriority w:val="99"/>
    <w:semiHidden/>
    <w:unhideWhenUsed/>
    <w:rsid w:val="005B2BF5"/>
    <w:pPr>
      <w:tabs>
        <w:tab w:val="num" w:pos="360"/>
      </w:tabs>
      <w:spacing w:line="360" w:lineRule="auto"/>
      <w:ind w:left="360" w:hanging="360"/>
      <w:contextualSpacing/>
    </w:pPr>
    <w:rPr>
      <w:sz w:val="24"/>
    </w:rPr>
  </w:style>
  <w:style w:type="character" w:customStyle="1" w:styleId="Bodytext2105pt">
    <w:name w:val="Body text (2) + 10.5 pt"/>
    <w:basedOn w:val="DefaultParagraphFont"/>
    <w:rsid w:val="005B2BF5"/>
    <w:rPr>
      <w:rFonts w:ascii="David" w:eastAsia="David" w:hAnsi="David" w:cs="David"/>
      <w:b w:val="0"/>
      <w:bCs w:val="0"/>
      <w:i w:val="0"/>
      <w:iCs w:val="0"/>
      <w:smallCaps w:val="0"/>
      <w:strike w:val="0"/>
      <w:color w:val="000000"/>
      <w:spacing w:val="0"/>
      <w:w w:val="100"/>
      <w:position w:val="0"/>
      <w:sz w:val="21"/>
      <w:szCs w:val="21"/>
      <w:u w:val="none"/>
      <w:lang w:val="he-IL" w:eastAsia="he-IL" w:bidi="he-IL"/>
    </w:rPr>
  </w:style>
  <w:style w:type="character" w:customStyle="1" w:styleId="Bodytext6Bold">
    <w:name w:val="Body text (6) + Bold"/>
    <w:basedOn w:val="Bodytext6"/>
    <w:rsid w:val="005B2BF5"/>
    <w:rPr>
      <w:rFonts w:ascii="Lucida Sans Unicode" w:eastAsia="Lucida Sans Unicode" w:hAnsi="Lucida Sans Unicode" w:cs="Lucida Sans Unicode"/>
      <w:b/>
      <w:bCs/>
      <w:i w:val="0"/>
      <w:iCs w:val="0"/>
      <w:smallCaps w:val="0"/>
      <w:strike w:val="0"/>
      <w:color w:val="000000"/>
      <w:spacing w:val="0"/>
      <w:w w:val="100"/>
      <w:position w:val="0"/>
      <w:sz w:val="19"/>
      <w:szCs w:val="19"/>
      <w:u w:val="none"/>
      <w:shd w:val="clear" w:color="auto" w:fill="FFFFFF"/>
      <w:lang w:val="he-IL" w:eastAsia="he-IL" w:bidi="he-IL"/>
    </w:rPr>
  </w:style>
  <w:style w:type="character" w:customStyle="1" w:styleId="Bodytext69pt1">
    <w:name w:val="Body text (6) + 9 pt1"/>
    <w:basedOn w:val="Bodytext6"/>
    <w:rsid w:val="005B2BF5"/>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shd w:val="clear" w:color="auto" w:fill="FFFFFF"/>
      <w:lang w:val="he-IL" w:eastAsia="he-IL" w:bidi="he-IL"/>
    </w:rPr>
  </w:style>
  <w:style w:type="character" w:customStyle="1" w:styleId="Heading10">
    <w:name w:val="Heading #1_"/>
    <w:basedOn w:val="DefaultParagraphFont"/>
    <w:link w:val="Heading11"/>
    <w:rsid w:val="005B2BF5"/>
    <w:rPr>
      <w:rFonts w:ascii="David" w:eastAsia="David" w:hAnsi="David"/>
      <w:b/>
      <w:bCs/>
      <w:sz w:val="54"/>
      <w:szCs w:val="54"/>
      <w:shd w:val="clear" w:color="auto" w:fill="FFFFFF"/>
    </w:rPr>
  </w:style>
  <w:style w:type="character" w:customStyle="1" w:styleId="Heading1Italic">
    <w:name w:val="Heading #1 + Italic"/>
    <w:basedOn w:val="Heading10"/>
    <w:rsid w:val="005B2BF5"/>
    <w:rPr>
      <w:rFonts w:ascii="David" w:eastAsia="David" w:hAnsi="David"/>
      <w:b/>
      <w:bCs/>
      <w:i/>
      <w:iCs/>
      <w:color w:val="000000"/>
      <w:spacing w:val="0"/>
      <w:w w:val="100"/>
      <w:position w:val="0"/>
      <w:sz w:val="54"/>
      <w:szCs w:val="54"/>
      <w:shd w:val="clear" w:color="auto" w:fill="FFFFFF"/>
      <w:lang w:val="he-IL" w:eastAsia="he-IL" w:bidi="he-IL"/>
    </w:rPr>
  </w:style>
  <w:style w:type="paragraph" w:customStyle="1" w:styleId="Heading11">
    <w:name w:val="Heading #1"/>
    <w:basedOn w:val="Normal"/>
    <w:link w:val="Heading10"/>
    <w:rsid w:val="005B2BF5"/>
    <w:pPr>
      <w:widowControl w:val="0"/>
      <w:shd w:val="clear" w:color="auto" w:fill="FFFFFF"/>
      <w:spacing w:before="4260" w:after="360" w:line="0" w:lineRule="atLeast"/>
      <w:jc w:val="left"/>
      <w:outlineLvl w:val="0"/>
    </w:pPr>
    <w:rPr>
      <w:rFonts w:ascii="David" w:eastAsia="David" w:hAnsi="David"/>
      <w:b/>
      <w:bCs/>
      <w:sz w:val="54"/>
      <w:szCs w:val="54"/>
    </w:rPr>
  </w:style>
  <w:style w:type="character" w:customStyle="1" w:styleId="Bodytext28pt">
    <w:name w:val="Body text (2) + 8 pt"/>
    <w:basedOn w:val="Bodytext2"/>
    <w:rsid w:val="005B2BF5"/>
    <w:rPr>
      <w:rFonts w:ascii="Lucida Sans Unicode" w:eastAsia="Lucida Sans Unicode" w:hAnsi="Lucida Sans Unicode" w:cs="Lucida Sans Unicode"/>
      <w:color w:val="000000"/>
      <w:spacing w:val="0"/>
      <w:w w:val="100"/>
      <w:position w:val="0"/>
      <w:sz w:val="16"/>
      <w:szCs w:val="16"/>
      <w:shd w:val="clear" w:color="auto" w:fill="FFFFFF"/>
      <w:lang w:val="he-IL" w:eastAsia="he-IL" w:bidi="he-IL"/>
    </w:rPr>
  </w:style>
  <w:style w:type="paragraph" w:customStyle="1" w:styleId="Bodytext21">
    <w:name w:val="Body text (2)1"/>
    <w:basedOn w:val="Normal"/>
    <w:rsid w:val="005B2BF5"/>
    <w:pPr>
      <w:widowControl w:val="0"/>
      <w:shd w:val="clear" w:color="auto" w:fill="FFFFFF"/>
      <w:spacing w:line="371" w:lineRule="exact"/>
      <w:ind w:hanging="740"/>
    </w:pPr>
    <w:rPr>
      <w:rFonts w:ascii="David" w:eastAsia="David" w:hAnsi="David"/>
      <w:sz w:val="22"/>
      <w:szCs w:val="22"/>
    </w:rPr>
  </w:style>
  <w:style w:type="paragraph" w:customStyle="1" w:styleId="a32">
    <w:name w:val="כותרת ראשית לדוח"/>
    <w:qFormat/>
    <w:rsid w:val="000F5023"/>
    <w:pPr>
      <w:spacing w:before="360" w:line="600" w:lineRule="exact"/>
      <w:ind w:left="2268"/>
      <w:jc w:val="left"/>
    </w:pPr>
    <w:rPr>
      <w:rFonts w:ascii="Tahoma" w:hAnsi="Tahoma" w:cs="Tahoma"/>
      <w:b/>
      <w:bCs/>
      <w:sz w:val="44"/>
      <w:szCs w:val="44"/>
    </w:rPr>
  </w:style>
  <w:style w:type="paragraph" w:customStyle="1" w:styleId="a33">
    <w:name w:val="תאריך הדוח"/>
    <w:qFormat/>
    <w:rsid w:val="000F5023"/>
    <w:pPr>
      <w:ind w:left="2268"/>
      <w:jc w:val="left"/>
    </w:pPr>
    <w:rPr>
      <w:rFonts w:ascii="Tahoma" w:hAnsi="Tahoma" w:cs="Tahoma"/>
      <w:sz w:val="18"/>
      <w:szCs w:val="18"/>
    </w:rPr>
  </w:style>
  <w:style w:type="paragraph" w:customStyle="1" w:styleId="70">
    <w:name w:val="סגנון7"/>
    <w:basedOn w:val="7335"/>
    <w:qFormat/>
    <w:rsid w:val="00F1103C"/>
    <w:pPr>
      <w:numPr>
        <w:numId w:val="9"/>
      </w:numPr>
      <w:ind w:left="850" w:right="284" w:hanging="425"/>
    </w:pPr>
    <w:rPr>
      <w:noProof/>
      <w:lang w:val="he-IL"/>
    </w:rPr>
  </w:style>
  <w:style w:type="paragraph" w:customStyle="1" w:styleId="712">
    <w:name w:val="71ג קוביה כחולה עם מספרים מוזחים"/>
    <w:basedOn w:val="Normal"/>
    <w:qFormat/>
    <w:rsid w:val="00524400"/>
    <w:pPr>
      <w:pBdr>
        <w:top w:val="single" w:sz="4" w:space="4" w:color="CEEAF5"/>
        <w:left w:val="single" w:sz="4" w:space="11" w:color="CEEAF5"/>
        <w:bottom w:val="single" w:sz="4" w:space="6" w:color="CEEAF5"/>
        <w:right w:val="single" w:sz="4" w:space="11" w:color="CEEAF5"/>
      </w:pBdr>
      <w:shd w:val="clear" w:color="auto" w:fill="CEEAF5"/>
      <w:spacing w:after="180" w:line="260" w:lineRule="exact"/>
      <w:ind w:left="709" w:right="227" w:hanging="454"/>
    </w:pPr>
    <w:rPr>
      <w:rFonts w:ascii="Tahoma" w:hAnsi="Tahoma" w:cs="Tahoma"/>
      <w:color w:val="0D0D0D" w:themeColor="text1" w:themeTint="F2"/>
      <w:sz w:val="18"/>
      <w:szCs w:val="18"/>
    </w:rPr>
  </w:style>
  <w:style w:type="paragraph" w:customStyle="1" w:styleId="713">
    <w:name w:val="71ג הערות שוליים"/>
    <w:basedOn w:val="FootnoteText"/>
    <w:link w:val="71Char"/>
    <w:qFormat/>
    <w:rsid w:val="002507E8"/>
    <w:pPr>
      <w:keepNext/>
      <w:keepLines/>
      <w:spacing w:after="60" w:line="220" w:lineRule="exact"/>
      <w:ind w:left="397" w:hanging="397"/>
    </w:pPr>
    <w:rPr>
      <w:rFonts w:ascii="Tahoma" w:hAnsi="Tahoma" w:cs="Tahoma"/>
      <w:color w:val="0D0D0D" w:themeColor="text1" w:themeTint="F2"/>
      <w:sz w:val="14"/>
      <w:szCs w:val="14"/>
    </w:rPr>
  </w:style>
  <w:style w:type="character" w:customStyle="1" w:styleId="71Char">
    <w:name w:val="71ג הערות שוליים Char"/>
    <w:basedOn w:val="3"/>
    <w:link w:val="713"/>
    <w:rsid w:val="002507E8"/>
    <w:rPr>
      <w:rFonts w:ascii="Tahoma" w:hAnsi="Tahoma" w:cs="Tahoma"/>
      <w:color w:val="0D0D0D" w:themeColor="text1" w:themeTint="F2"/>
      <w:sz w:val="14"/>
      <w:szCs w:val="14"/>
    </w:rPr>
  </w:style>
  <w:style w:type="paragraph" w:customStyle="1" w:styleId="714">
    <w:name w:val="71ג הזחה מספר בסוגריים"/>
    <w:basedOn w:val="ListParagraph"/>
    <w:qFormat/>
    <w:rsid w:val="0091353C"/>
    <w:pPr>
      <w:spacing w:after="180" w:line="260" w:lineRule="exact"/>
      <w:ind w:left="1276" w:hanging="255"/>
      <w:contextualSpacing w:val="0"/>
    </w:pPr>
    <w:rPr>
      <w:rFonts w:ascii="Tahoma" w:hAnsi="Tahoma" w:cs="Tahoma"/>
      <w:sz w:val="18"/>
      <w:szCs w:val="18"/>
    </w:rPr>
  </w:style>
  <w:style w:type="paragraph" w:customStyle="1" w:styleId="7120">
    <w:name w:val="71ג אותות בתוך קוביה 2"/>
    <w:basedOn w:val="Normal"/>
    <w:qFormat/>
    <w:rsid w:val="008E566F"/>
    <w:pPr>
      <w:keepLines/>
      <w:pBdr>
        <w:top w:val="single" w:sz="18" w:space="4" w:color="CEEAF5"/>
        <w:left w:val="single" w:sz="18" w:space="11" w:color="CEEAF5"/>
        <w:bottom w:val="single" w:sz="18" w:space="6" w:color="CEEAF5"/>
        <w:right w:val="single" w:sz="18" w:space="11" w:color="CEEAF5"/>
      </w:pBdr>
      <w:shd w:val="solid" w:color="CEEAF5" w:fill="auto"/>
      <w:tabs>
        <w:tab w:val="left" w:pos="624"/>
      </w:tabs>
      <w:spacing w:after="180" w:line="260" w:lineRule="exact"/>
      <w:ind w:right="227"/>
    </w:pPr>
    <w:rPr>
      <w:rFonts w:ascii="Tahoma" w:eastAsia="Times New Roman" w:hAnsi="Tahoma" w:cs="Tahoma"/>
      <w:color w:val="0D0D0D" w:themeColor="text1" w:themeTint="F2"/>
      <w:sz w:val="18"/>
      <w:szCs w:val="18"/>
      <w:lang w:eastAsia="he-IL"/>
    </w:rPr>
  </w:style>
  <w:style w:type="paragraph" w:customStyle="1" w:styleId="73120">
    <w:name w:val="73 הביקורת הקודמת_12"/>
    <w:basedOn w:val="73512"/>
    <w:qFormat/>
    <w:rsid w:val="00943B48"/>
    <w:rPr>
      <w:rFonts w:eastAsia="Times New Roman"/>
      <w:b w:val="0"/>
      <w:color w:val="0073C2"/>
      <w:spacing w:val="20"/>
    </w:rPr>
  </w:style>
  <w:style w:type="paragraph" w:customStyle="1" w:styleId="101">
    <w:name w:val="הביקורת מעקב_10"/>
    <w:basedOn w:val="73610"/>
    <w:qFormat/>
    <w:rsid w:val="00943B48"/>
    <w:rPr>
      <w:color w:val="0073C2"/>
      <w:spacing w:val="20"/>
    </w:rPr>
  </w:style>
  <w:style w:type="paragraph" w:customStyle="1" w:styleId="80">
    <w:name w:val="סגנון8"/>
    <w:basedOn w:val="7326"/>
    <w:qFormat/>
    <w:rsid w:val="00AB2F78"/>
  </w:style>
  <w:style w:type="paragraph" w:customStyle="1" w:styleId="a34">
    <w:name w:val="טקסט לבן על מלבן אדום"/>
    <w:qFormat/>
    <w:rsid w:val="00AB2F78"/>
    <w:pPr>
      <w:keepNext/>
      <w:keepLines/>
      <w:spacing w:line="240" w:lineRule="auto"/>
      <w:ind w:right="113"/>
      <w:suppressOverlap/>
      <w:jc w:val="left"/>
    </w:pPr>
    <w:rPr>
      <w:rFonts w:ascii="Tahoma" w:hAnsi="Tahoma" w:cs="Tahoma"/>
      <w:b/>
      <w:bCs/>
      <w:color w:val="FFFFFF" w:themeColor="background1"/>
      <w:sz w:val="22"/>
      <w:szCs w:val="22"/>
    </w:rPr>
  </w:style>
  <w:style w:type="paragraph" w:customStyle="1" w:styleId="0-">
    <w:name w:val="0-מידת תיקון הליקוי"/>
    <w:basedOn w:val="Normal"/>
    <w:link w:val="0-0"/>
    <w:qFormat/>
    <w:rsid w:val="002D5684"/>
    <w:pPr>
      <w:keepNext/>
      <w:keepLines/>
      <w:spacing w:before="180" w:after="180" w:line="260" w:lineRule="exact"/>
      <w:jc w:val="center"/>
    </w:pPr>
    <w:rPr>
      <w:rFonts w:ascii="Tahoma" w:hAnsi="Tahoma" w:cs="Tahoma"/>
      <w:b/>
      <w:bCs/>
      <w:color w:val="0D0D0D" w:themeColor="text1" w:themeTint="F2"/>
      <w:sz w:val="18"/>
      <w:szCs w:val="18"/>
    </w:rPr>
  </w:style>
  <w:style w:type="character" w:customStyle="1" w:styleId="0-0">
    <w:name w:val="0-מידת תיקון הליקוי תו"/>
    <w:basedOn w:val="DefaultParagraphFont"/>
    <w:link w:val="0-"/>
    <w:rsid w:val="002D5684"/>
    <w:rPr>
      <w:rFonts w:ascii="Tahoma" w:hAnsi="Tahoma" w:cs="Tahoma"/>
      <w:b/>
      <w:bCs/>
      <w:color w:val="0D0D0D" w:themeColor="text1" w:themeTint="F2"/>
      <w:sz w:val="18"/>
      <w:szCs w:val="18"/>
    </w:rPr>
  </w:style>
  <w:style w:type="character" w:styleId="FootnoteReference2">
    <w:name w:val="footnote reference"/>
    <w:aliases w:val="Footnote Reference_0,Footnote Reference_0_0,Footnote Reference_0_0_0,Footnote Reference_0_0_0_0,Footnote Reference_1,Footnote Reference_2,Footnote Reference_3,Footnote Reference_3_0,Footnote Reference_4,Footnote text,fr"/>
    <w:basedOn w:val="DefaultParagraphFont"/>
    <w:uiPriority w:val="99"/>
    <w:unhideWhenUsed/>
    <w:rsid w:val="00F20E3F"/>
    <w:rPr>
      <w:vertAlign w:val="superscript"/>
    </w:rPr>
  </w:style>
  <w:style w:type="paragraph" w:customStyle="1" w:styleId="KOT5">
    <w:name w:val="KOT5"/>
    <w:basedOn w:val="Normal"/>
    <w:rsid w:val="00F20E3F"/>
    <w:pPr>
      <w:keepNext/>
      <w:spacing w:before="120" w:after="120" w:line="320" w:lineRule="exact"/>
      <w:ind w:right="2268"/>
      <w:jc w:val="left"/>
      <w:outlineLvl w:val="2"/>
    </w:pPr>
    <w:rPr>
      <w:rFonts w:ascii="Tahoma" w:hAnsi="Tahoma" w:eastAsiaTheme="majorEastAsia" w:cs="Tahoma"/>
      <w:color w:val="387026"/>
      <w:sz w:val="26"/>
      <w:szCs w:val="26"/>
    </w:rPr>
  </w:style>
  <w:style w:type="paragraph" w:customStyle="1" w:styleId="KOT4">
    <w:name w:val="KOT4"/>
    <w:basedOn w:val="Normal"/>
    <w:rsid w:val="00F20E3F"/>
    <w:pPr>
      <w:keepNext/>
      <w:spacing w:before="120" w:after="120" w:line="360" w:lineRule="exact"/>
      <w:ind w:right="2268"/>
      <w:jc w:val="left"/>
      <w:outlineLvl w:val="1"/>
    </w:pPr>
    <w:rPr>
      <w:rFonts w:ascii="Tahoma" w:eastAsia="Times New Roman" w:hAnsi="Tahoma" w:cs="Tahoma"/>
      <w:color w:val="009692"/>
      <w:sz w:val="32"/>
      <w:szCs w:val="32"/>
    </w:rPr>
  </w:style>
  <w:style w:type="paragraph" w:customStyle="1" w:styleId="KOT2">
    <w:name w:val="KOT2"/>
    <w:basedOn w:val="Normal"/>
    <w:rsid w:val="00F20E3F"/>
    <w:pPr>
      <w:keepNext/>
      <w:pageBreakBefore/>
      <w:spacing w:before="360" w:after="240" w:line="480" w:lineRule="exact"/>
      <w:ind w:right="2268"/>
      <w:jc w:val="left"/>
      <w:outlineLvl w:val="0"/>
    </w:pPr>
    <w:rPr>
      <w:rFonts w:ascii="Arial Bold" w:hAnsi="Arial Bold" w:eastAsiaTheme="majorEastAsia" w:cs="Tahoma"/>
      <w:color w:val="1481AB" w:themeColor="accent1" w:themeShade="BF"/>
      <w:sz w:val="36"/>
      <w:szCs w:val="36"/>
    </w:rPr>
  </w:style>
  <w:style w:type="paragraph" w:customStyle="1" w:styleId="KOT6">
    <w:name w:val="KOT6"/>
    <w:basedOn w:val="KOT5"/>
    <w:locked/>
    <w:rsid w:val="00F20E3F"/>
    <w:pPr>
      <w:outlineLvl w:val="3"/>
    </w:pPr>
    <w:rPr>
      <w:sz w:val="21"/>
      <w:szCs w:val="21"/>
    </w:rPr>
  </w:style>
  <w:style w:type="character" w:customStyle="1" w:styleId="124">
    <w:name w:val="אזכור לא מזוהה1"/>
    <w:basedOn w:val="DefaultParagraphFont"/>
    <w:uiPriority w:val="99"/>
    <w:semiHidden/>
    <w:unhideWhenUsed/>
    <w:rsid w:val="00F20E3F"/>
    <w:rPr>
      <w:color w:val="605E5C"/>
      <w:shd w:val="clear" w:color="auto" w:fill="E1DFDD"/>
    </w:rPr>
  </w:style>
  <w:style w:type="character" w:styleId="EndnoteReference">
    <w:name w:val="endnote reference"/>
    <w:basedOn w:val="DefaultParagraphFont"/>
    <w:uiPriority w:val="99"/>
    <w:semiHidden/>
    <w:unhideWhenUsed/>
    <w:rsid w:val="00F20E3F"/>
    <w:rPr>
      <w:vertAlign w:val="superscript"/>
    </w:rPr>
  </w:style>
  <w:style w:type="paragraph" w:customStyle="1" w:styleId="ParagraphStyle">
    <w:name w:val="Paragraph Style"/>
    <w:rsid w:val="00F20E3F"/>
    <w:pPr>
      <w:autoSpaceDE w:val="0"/>
      <w:autoSpaceDN w:val="0"/>
      <w:adjustRightInd w:val="0"/>
      <w:spacing w:after="0" w:line="240" w:lineRule="auto"/>
      <w:jc w:val="left"/>
    </w:pPr>
    <w:rPr>
      <w:rFonts w:ascii="Tahoma" w:eastAsia="Times New Roman" w:hAnsi="Tahoma" w:cs="Tahoma"/>
      <w:sz w:val="24"/>
      <w:lang w:val="de-DE" w:eastAsia="de-DE" w:bidi="ar-SA"/>
    </w:rPr>
  </w:style>
  <w:style w:type="character" w:styleId="CommentReference">
    <w:name w:val="annotation reference"/>
    <w:basedOn w:val="DefaultParagraphFont"/>
    <w:uiPriority w:val="99"/>
    <w:semiHidden/>
    <w:unhideWhenUsed/>
    <w:rsid w:val="00F20E3F"/>
    <w:rPr>
      <w:sz w:val="16"/>
      <w:szCs w:val="16"/>
    </w:rPr>
  </w:style>
  <w:style w:type="character" w:customStyle="1" w:styleId="29">
    <w:name w:val="אזכור לא מזוהה2"/>
    <w:basedOn w:val="DefaultParagraphFont"/>
    <w:uiPriority w:val="99"/>
    <w:semiHidden/>
    <w:unhideWhenUsed/>
    <w:rsid w:val="00F20E3F"/>
    <w:rPr>
      <w:color w:val="605E5C"/>
      <w:shd w:val="clear" w:color="auto" w:fill="E1DFDD"/>
    </w:rPr>
  </w:style>
  <w:style w:type="character" w:customStyle="1" w:styleId="35">
    <w:name w:val="אזכור לא מזוהה3"/>
    <w:basedOn w:val="DefaultParagraphFont"/>
    <w:uiPriority w:val="99"/>
    <w:semiHidden/>
    <w:unhideWhenUsed/>
    <w:rsid w:val="00F20E3F"/>
    <w:rPr>
      <w:color w:val="605E5C"/>
      <w:shd w:val="clear" w:color="auto" w:fill="E1DFDD"/>
    </w:rPr>
  </w:style>
  <w:style w:type="table" w:styleId="GridTableLight">
    <w:name w:val="Grid Table Light"/>
    <w:basedOn w:val="TableNormal"/>
    <w:uiPriority w:val="40"/>
    <w:rsid w:val="00F20E3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4">
    <w:name w:val="Plain Table 4"/>
    <w:basedOn w:val="TableNormal"/>
    <w:uiPriority w:val="44"/>
    <w:rsid w:val="00F20E3F"/>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1LightAccent2">
    <w:name w:val="Grid Table 1 Light Accent 2"/>
    <w:basedOn w:val="TableNormal"/>
    <w:uiPriority w:val="46"/>
    <w:rsid w:val="00F20E3F"/>
    <w:pPr>
      <w:spacing w:after="0" w:line="240" w:lineRule="auto"/>
    </w:pPr>
    <w:tblPr>
      <w:tblStyleRowBandSize w:val="1"/>
      <w:tblStyleColBandSize w:val="1"/>
      <w:tblBorders>
        <w:top w:val="single" w:sz="4" w:space="0" w:color="A3CEED" w:themeColor="accent2" w:themeTint="66"/>
        <w:left w:val="single" w:sz="4" w:space="0" w:color="A3CEED" w:themeColor="accent2" w:themeTint="66"/>
        <w:bottom w:val="single" w:sz="4" w:space="0" w:color="A3CEED" w:themeColor="accent2" w:themeTint="66"/>
        <w:right w:val="single" w:sz="4" w:space="0" w:color="A3CEED" w:themeColor="accent2" w:themeTint="66"/>
        <w:insideH w:val="single" w:sz="4" w:space="0" w:color="A3CEED" w:themeColor="accent2" w:themeTint="66"/>
        <w:insideV w:val="single" w:sz="4" w:space="0" w:color="A3CEED" w:themeColor="accent2" w:themeTint="66"/>
      </w:tblBorders>
    </w:tblPr>
    <w:tblStylePr w:type="firstRow">
      <w:rPr>
        <w:b/>
        <w:bCs/>
      </w:rPr>
      <w:tblPr/>
      <w:tcPr>
        <w:tcBorders>
          <w:bottom w:val="single" w:sz="12" w:space="0" w:color="74B5E4" w:themeColor="accent2" w:themeTint="99"/>
        </w:tcBorders>
      </w:tcPr>
    </w:tblStylePr>
    <w:tblStylePr w:type="lastRow">
      <w:rPr>
        <w:b/>
        <w:bCs/>
      </w:rPr>
      <w:tblPr/>
      <w:tcPr>
        <w:tcBorders>
          <w:top w:val="double" w:sz="2" w:space="0" w:color="74B5E4"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F20E3F"/>
    <w:pPr>
      <w:spacing w:after="0" w:line="240" w:lineRule="auto"/>
    </w:pPr>
    <w:tblPr>
      <w:tblStyleRowBandSize w:val="1"/>
      <w:tblStyleColBandSize w:val="1"/>
      <w:tblBorders>
        <w:top w:val="single" w:sz="4" w:space="0" w:color="A8EBEF" w:themeColor="accent3" w:themeTint="66"/>
        <w:left w:val="single" w:sz="4" w:space="0" w:color="A8EBEF" w:themeColor="accent3" w:themeTint="66"/>
        <w:bottom w:val="single" w:sz="4" w:space="0" w:color="A8EBEF" w:themeColor="accent3" w:themeTint="66"/>
        <w:right w:val="single" w:sz="4" w:space="0" w:color="A8EBEF" w:themeColor="accent3" w:themeTint="66"/>
        <w:insideH w:val="single" w:sz="4" w:space="0" w:color="A8EBEF" w:themeColor="accent3" w:themeTint="66"/>
        <w:insideV w:val="single" w:sz="4" w:space="0" w:color="A8EBEF" w:themeColor="accent3" w:themeTint="66"/>
      </w:tblBorders>
    </w:tblPr>
    <w:tblStylePr w:type="firstRow">
      <w:rPr>
        <w:b/>
        <w:bCs/>
      </w:rPr>
      <w:tblPr/>
      <w:tcPr>
        <w:tcBorders>
          <w:bottom w:val="single" w:sz="12" w:space="0" w:color="7CE1E7" w:themeColor="accent3" w:themeTint="99"/>
        </w:tcBorders>
      </w:tcPr>
    </w:tblStylePr>
    <w:tblStylePr w:type="lastRow">
      <w:rPr>
        <w:b/>
        <w:bCs/>
      </w:rPr>
      <w:tblPr/>
      <w:tcPr>
        <w:tcBorders>
          <w:top w:val="double" w:sz="2" w:space="0" w:color="7CE1E7" w:themeColor="accent3" w:themeTint="99"/>
        </w:tcBorders>
      </w:tcPr>
    </w:tblStylePr>
    <w:tblStylePr w:type="firstCol">
      <w:rPr>
        <w:b/>
        <w:bCs/>
      </w:rPr>
    </w:tblStylePr>
    <w:tblStylePr w:type="lastCol">
      <w:rPr>
        <w:b/>
        <w:bCs/>
      </w:rPr>
    </w:tblStylePr>
  </w:style>
  <w:style w:type="character" w:customStyle="1" w:styleId="Hyperlink1">
    <w:name w:val="Hyperlink1"/>
    <w:basedOn w:val="DefaultParagraphFont"/>
    <w:uiPriority w:val="99"/>
    <w:unhideWhenUsed/>
    <w:rsid w:val="00F20E3F"/>
    <w:rPr>
      <w:color w:val="0000FF"/>
      <w:u w:val="single"/>
    </w:rPr>
  </w:style>
  <w:style w:type="paragraph" w:customStyle="1" w:styleId="description-txt">
    <w:name w:val="description-txt"/>
    <w:basedOn w:val="Normal"/>
    <w:rsid w:val="00F20E3F"/>
    <w:pPr>
      <w:bidi w:val="0"/>
      <w:spacing w:before="100" w:beforeAutospacing="1" w:after="100" w:afterAutospacing="1" w:line="240" w:lineRule="auto"/>
      <w:jc w:val="left"/>
    </w:pPr>
    <w:rPr>
      <w:rFonts w:eastAsia="Times New Roman" w:cs="Times New Roman"/>
      <w:sz w:val="24"/>
    </w:rPr>
  </w:style>
  <w:style w:type="table" w:customStyle="1" w:styleId="217">
    <w:name w:val="לוח שנה 2"/>
    <w:basedOn w:val="TableNormal"/>
    <w:uiPriority w:val="99"/>
    <w:qFormat/>
    <w:rsid w:val="00F20E3F"/>
    <w:pPr>
      <w:bidi/>
      <w:spacing w:after="0" w:line="240" w:lineRule="auto"/>
      <w:jc w:val="center"/>
    </w:pPr>
    <w:rPr>
      <w:rFonts w:asciiTheme="minorHAnsi" w:eastAsiaTheme="minorEastAsia" w:hAnsiTheme="minorHAnsi" w:cstheme="minorBidi"/>
      <w:sz w:val="28"/>
      <w:szCs w:val="28"/>
      <w:rtl/>
      <w:cs/>
    </w:rPr>
    <w:tblPr>
      <w:tblBorders>
        <w:insideV w:val="single" w:sz="4" w:space="0" w:color="76CDEE" w:themeColor="accent1" w:themeTint="99"/>
      </w:tblBorders>
    </w:tblPr>
    <w:tblStylePr w:type="firstRow">
      <w:rPr>
        <w:rFonts w:asciiTheme="majorHAnsi" w:hAnsiTheme="majorHAnsi" w:cstheme="majorBidi"/>
        <w:b w:val="0"/>
        <w:bCs w:val="0"/>
        <w:i w:val="0"/>
        <w:iCs w:val="0"/>
        <w:caps/>
        <w:smallCaps w:val="0"/>
        <w:color w:val="1CADE4" w:themeColor="accent1"/>
        <w:spacing w:val="20"/>
        <w:sz w:val="32"/>
        <w:szCs w:val="32"/>
      </w:rPr>
      <w:tblPr/>
      <w:tcPr>
        <w:tcBorders>
          <w:top w:val="nil"/>
          <w:left w:val="nil"/>
          <w:bottom w:val="nil"/>
          <w:right w:val="nil"/>
          <w:insideH w:val="nil"/>
          <w:insideV w:val="nil"/>
          <w:tl2br w:val="nil"/>
          <w:tr2bl w:val="nil"/>
        </w:tcBorders>
      </w:tcPr>
    </w:tblStylePr>
  </w:style>
  <w:style w:type="character" w:customStyle="1" w:styleId="42">
    <w:name w:val="אזכור לא מזוהה4"/>
    <w:basedOn w:val="DefaultParagraphFont"/>
    <w:uiPriority w:val="99"/>
    <w:semiHidden/>
    <w:unhideWhenUsed/>
    <w:rsid w:val="00F20E3F"/>
    <w:rPr>
      <w:color w:val="605E5C"/>
      <w:shd w:val="clear" w:color="auto" w:fill="E1DFDD"/>
    </w:rPr>
  </w:style>
  <w:style w:type="character" w:customStyle="1" w:styleId="52">
    <w:name w:val="אזכור לא מזוהה5"/>
    <w:basedOn w:val="DefaultParagraphFont"/>
    <w:uiPriority w:val="99"/>
    <w:semiHidden/>
    <w:unhideWhenUsed/>
    <w:rsid w:val="00F20E3F"/>
    <w:rPr>
      <w:color w:val="605E5C"/>
      <w:shd w:val="clear" w:color="auto" w:fill="E1DFDD"/>
    </w:rPr>
  </w:style>
  <w:style w:type="character" w:customStyle="1" w:styleId="62">
    <w:name w:val="אזכור לא מזוהה6"/>
    <w:basedOn w:val="DefaultParagraphFont"/>
    <w:uiPriority w:val="99"/>
    <w:semiHidden/>
    <w:unhideWhenUsed/>
    <w:rsid w:val="00F20E3F"/>
    <w:rPr>
      <w:color w:val="605E5C"/>
      <w:shd w:val="clear" w:color="auto" w:fill="E1DFDD"/>
    </w:rPr>
  </w:style>
  <w:style w:type="character" w:customStyle="1" w:styleId="72">
    <w:name w:val="אזכור לא מזוהה7"/>
    <w:basedOn w:val="DefaultParagraphFont"/>
    <w:uiPriority w:val="99"/>
    <w:semiHidden/>
    <w:unhideWhenUsed/>
    <w:rsid w:val="00F20E3F"/>
    <w:rPr>
      <w:color w:val="605E5C"/>
      <w:shd w:val="clear" w:color="auto" w:fill="E1DFDD"/>
    </w:rPr>
  </w:style>
  <w:style w:type="character" w:customStyle="1" w:styleId="54">
    <w:name w:val="כותרת 5 תו4"/>
    <w:basedOn w:val="DefaultParagraphFont"/>
    <w:uiPriority w:val="1"/>
    <w:rsid w:val="00F20E3F"/>
    <w:rPr>
      <w:rFonts w:eastAsiaTheme="majorEastAsia"/>
      <w:bCs/>
      <w:spacing w:val="40"/>
    </w:rPr>
  </w:style>
  <w:style w:type="paragraph" w:customStyle="1" w:styleId="71R">
    <w:name w:val="71ג טבלה טקסט R"/>
    <w:basedOn w:val="Normal"/>
    <w:uiPriority w:val="99"/>
    <w:qFormat/>
    <w:rsid w:val="00885246"/>
    <w:pPr>
      <w:keepLines/>
      <w:spacing w:before="120" w:after="120" w:line="240" w:lineRule="exact"/>
      <w:jc w:val="left"/>
    </w:pPr>
    <w:rPr>
      <w:rFonts w:ascii="Tahoma" w:hAnsi="Tahoma" w:eastAsiaTheme="minorEastAsia" w:cs="Tahoma"/>
      <w:sz w:val="16"/>
      <w:szCs w:val="16"/>
    </w:rPr>
  </w:style>
  <w:style w:type="paragraph" w:customStyle="1" w:styleId="71B">
    <w:name w:val="71ג טבלה טקסט B"/>
    <w:basedOn w:val="Normal"/>
    <w:rsid w:val="00F20E3F"/>
    <w:pPr>
      <w:spacing w:before="120" w:after="120" w:line="240" w:lineRule="exact"/>
      <w:jc w:val="left"/>
    </w:pPr>
    <w:rPr>
      <w:rFonts w:ascii="Tahoma" w:hAnsi="Tahoma" w:eastAsiaTheme="minorEastAsia" w:cs="Tahoma"/>
      <w:b/>
      <w:bCs/>
      <w:sz w:val="16"/>
      <w:szCs w:val="16"/>
    </w:rPr>
  </w:style>
  <w:style w:type="paragraph" w:customStyle="1" w:styleId="719">
    <w:name w:val="71ג טקסט רץ 9"/>
    <w:basedOn w:val="Normal"/>
    <w:link w:val="719Char"/>
    <w:qFormat/>
    <w:rsid w:val="004549E1"/>
    <w:pPr>
      <w:spacing w:after="180" w:line="260" w:lineRule="exact"/>
      <w:outlineLvl w:val="3"/>
    </w:pPr>
    <w:rPr>
      <w:rFonts w:ascii="Tahoma" w:hAnsi="Tahoma" w:cs="Tahoma"/>
      <w:color w:val="0D0D0D" w:themeColor="text1" w:themeTint="F2"/>
      <w:sz w:val="18"/>
      <w:szCs w:val="18"/>
    </w:rPr>
  </w:style>
  <w:style w:type="character" w:customStyle="1" w:styleId="719Char">
    <w:name w:val="71ג טקסט רץ 9 Char"/>
    <w:basedOn w:val="DefaultParagraphFont"/>
    <w:link w:val="719"/>
    <w:rsid w:val="004549E1"/>
    <w:rPr>
      <w:rFonts w:ascii="Tahoma" w:hAnsi="Tahoma" w:cs="Tahoma"/>
      <w:color w:val="0D0D0D" w:themeColor="text1" w:themeTint="F2"/>
      <w:sz w:val="18"/>
      <w:szCs w:val="18"/>
    </w:rPr>
  </w:style>
  <w:style w:type="character" w:customStyle="1" w:styleId="82">
    <w:name w:val="אזכור לא מזוהה8"/>
    <w:basedOn w:val="DefaultParagraphFont"/>
    <w:uiPriority w:val="99"/>
    <w:semiHidden/>
    <w:unhideWhenUsed/>
    <w:rsid w:val="00F20E3F"/>
    <w:rPr>
      <w:color w:val="605E5C"/>
      <w:shd w:val="clear" w:color="auto" w:fill="E1DFDD"/>
    </w:rPr>
  </w:style>
  <w:style w:type="character" w:customStyle="1" w:styleId="93">
    <w:name w:val="אזכור לא מזוהה9"/>
    <w:basedOn w:val="DefaultParagraphFont"/>
    <w:uiPriority w:val="99"/>
    <w:semiHidden/>
    <w:unhideWhenUsed/>
    <w:rsid w:val="00F20E3F"/>
    <w:rPr>
      <w:color w:val="605E5C"/>
      <w:shd w:val="clear" w:color="auto" w:fill="E1DFDD"/>
    </w:rPr>
  </w:style>
  <w:style w:type="character" w:customStyle="1" w:styleId="102">
    <w:name w:val="אזכור לא מזוהה10"/>
    <w:basedOn w:val="DefaultParagraphFont"/>
    <w:uiPriority w:val="99"/>
    <w:semiHidden/>
    <w:unhideWhenUsed/>
    <w:rsid w:val="00F20E3F"/>
    <w:rPr>
      <w:color w:val="605E5C"/>
      <w:shd w:val="clear" w:color="auto" w:fill="E1DFDD"/>
    </w:rPr>
  </w:style>
  <w:style w:type="paragraph" w:customStyle="1" w:styleId="715">
    <w:name w:val="71ג הזחה שנייה ללא מספר"/>
    <w:basedOn w:val="Normal"/>
    <w:link w:val="71Char0"/>
    <w:rsid w:val="00F20E3F"/>
    <w:pPr>
      <w:spacing w:after="180" w:line="260" w:lineRule="exact"/>
      <w:ind w:left="794"/>
    </w:pPr>
    <w:rPr>
      <w:rFonts w:ascii="Tahoma" w:hAnsi="Tahoma" w:cs="Tahoma"/>
      <w:color w:val="0D0D0D" w:themeColor="text1" w:themeTint="F2"/>
      <w:sz w:val="18"/>
      <w:szCs w:val="18"/>
    </w:rPr>
  </w:style>
  <w:style w:type="character" w:customStyle="1" w:styleId="71Char0">
    <w:name w:val="71ג הזחה שנייה ללא מספר Char"/>
    <w:basedOn w:val="DefaultParagraphFont"/>
    <w:link w:val="715"/>
    <w:rsid w:val="00F20E3F"/>
    <w:rPr>
      <w:rFonts w:ascii="Tahoma" w:hAnsi="Tahoma" w:cs="Tahoma"/>
      <w:color w:val="0D0D0D" w:themeColor="text1" w:themeTint="F2"/>
      <w:sz w:val="18"/>
      <w:szCs w:val="18"/>
    </w:rPr>
  </w:style>
  <w:style w:type="paragraph" w:customStyle="1" w:styleId="716">
    <w:name w:val="71ג קוביה רצה"/>
    <w:basedOn w:val="Normal"/>
    <w:qFormat/>
    <w:rsid w:val="00F20E3F"/>
    <w:pPr>
      <w:keepLines/>
      <w:pBdr>
        <w:top w:val="single" w:sz="18" w:space="4" w:color="CEEAF5"/>
        <w:left w:val="single" w:sz="18" w:space="11" w:color="CEEAF5"/>
        <w:bottom w:val="single" w:sz="18" w:space="6" w:color="CEEAF5"/>
        <w:right w:val="single" w:sz="18" w:space="11" w:color="CEEAF5"/>
      </w:pBdr>
      <w:shd w:val="solid" w:color="CEEAF5" w:fill="auto"/>
      <w:tabs>
        <w:tab w:val="left" w:pos="624"/>
      </w:tabs>
      <w:spacing w:after="180" w:line="260" w:lineRule="exact"/>
      <w:ind w:left="284" w:right="227"/>
    </w:pPr>
    <w:rPr>
      <w:rFonts w:ascii="Tahoma" w:eastAsia="Times New Roman" w:hAnsi="Tahoma" w:cs="Tahoma"/>
      <w:color w:val="0D0D0D" w:themeColor="text1" w:themeTint="F2"/>
      <w:sz w:val="18"/>
      <w:szCs w:val="18"/>
      <w:lang w:eastAsia="he-IL"/>
    </w:rPr>
  </w:style>
  <w:style w:type="paragraph" w:customStyle="1" w:styleId="717">
    <w:name w:val="71ג קוביה כחולה הזחה שנייה"/>
    <w:basedOn w:val="Normal"/>
    <w:qFormat/>
    <w:rsid w:val="00F20E3F"/>
    <w:pPr>
      <w:keepLines/>
      <w:pBdr>
        <w:top w:val="single" w:sz="18" w:space="4" w:color="CEEAF5"/>
        <w:left w:val="single" w:sz="18" w:space="11" w:color="CEEAF5"/>
        <w:bottom w:val="single" w:sz="18" w:space="6" w:color="CEEAF5"/>
        <w:right w:val="single" w:sz="18" w:space="11" w:color="CEEAF5"/>
      </w:pBdr>
      <w:shd w:val="solid" w:color="CEEAF5" w:fill="auto"/>
      <w:tabs>
        <w:tab w:val="left" w:pos="624"/>
      </w:tabs>
      <w:spacing w:after="180" w:line="260" w:lineRule="exact"/>
      <w:ind w:left="1077" w:right="284"/>
    </w:pPr>
    <w:rPr>
      <w:rFonts w:ascii="Tahoma" w:eastAsia="Times New Roman" w:hAnsi="Tahoma" w:cs="Tahoma"/>
      <w:color w:val="0D0D0D" w:themeColor="text1" w:themeTint="F2"/>
      <w:sz w:val="18"/>
      <w:szCs w:val="18"/>
      <w:lang w:eastAsia="he-IL"/>
    </w:rPr>
  </w:style>
  <w:style w:type="paragraph" w:customStyle="1" w:styleId="718">
    <w:name w:val="71ג קוביה כחולה בתוך הזחה ראשונה"/>
    <w:basedOn w:val="Normal"/>
    <w:qFormat/>
    <w:rsid w:val="00F20E3F"/>
    <w:pPr>
      <w:keepLines/>
      <w:pBdr>
        <w:top w:val="single" w:sz="18" w:space="4" w:color="CEEAF5"/>
        <w:left w:val="single" w:sz="18" w:space="11" w:color="CEEAF5"/>
        <w:bottom w:val="single" w:sz="18" w:space="6" w:color="CEEAF5"/>
        <w:right w:val="single" w:sz="18" w:space="11" w:color="CEEAF5"/>
      </w:pBdr>
      <w:shd w:val="solid" w:color="CEEAF5" w:fill="auto"/>
      <w:tabs>
        <w:tab w:val="left" w:pos="624"/>
      </w:tabs>
      <w:spacing w:after="180" w:line="260" w:lineRule="exact"/>
      <w:ind w:left="680" w:right="284"/>
    </w:pPr>
    <w:rPr>
      <w:rFonts w:ascii="Tahoma" w:eastAsia="Times New Roman" w:hAnsi="Tahoma" w:cs="Tahoma"/>
      <w:color w:val="0D0D0D" w:themeColor="text1" w:themeTint="F2"/>
      <w:sz w:val="18"/>
      <w:szCs w:val="18"/>
      <w:lang w:eastAsia="he-IL"/>
    </w:rPr>
  </w:style>
  <w:style w:type="paragraph" w:customStyle="1" w:styleId="7110">
    <w:name w:val="71ג הזחה שלישית"/>
    <w:basedOn w:val="715"/>
    <w:rsid w:val="00F20E3F"/>
  </w:style>
  <w:style w:type="character" w:styleId="Emphasis">
    <w:name w:val="Emphasis"/>
    <w:basedOn w:val="DefaultParagraphFont"/>
    <w:uiPriority w:val="20"/>
    <w:qFormat/>
    <w:rsid w:val="00F20E3F"/>
    <w:rPr>
      <w:i/>
      <w:iCs/>
    </w:rPr>
  </w:style>
  <w:style w:type="paragraph" w:customStyle="1" w:styleId="7111">
    <w:name w:val="71ג הזחה ראשונה ללא מספר"/>
    <w:basedOn w:val="715"/>
    <w:uiPriority w:val="99"/>
    <w:qFormat/>
    <w:rsid w:val="00F20E3F"/>
    <w:pPr>
      <w:ind w:left="397"/>
    </w:pPr>
  </w:style>
  <w:style w:type="paragraph" w:customStyle="1" w:styleId="7150">
    <w:name w:val="71ג כותרת 5 עם אותיות כניסה ראשונה"/>
    <w:basedOn w:val="Normal"/>
    <w:qFormat/>
    <w:rsid w:val="00F20E3F"/>
    <w:pPr>
      <w:numPr>
        <w:numId w:val="12"/>
      </w:numPr>
      <w:spacing w:before="240" w:after="180" w:line="240" w:lineRule="atLeast"/>
      <w:outlineLvl w:val="4"/>
    </w:pPr>
    <w:rPr>
      <w:rFonts w:ascii="Tahoma" w:hAnsi="Tahoma" w:cs="Tahoma"/>
      <w:b/>
      <w:bCs/>
      <w:color w:val="00305F"/>
      <w:sz w:val="24"/>
    </w:rPr>
  </w:style>
  <w:style w:type="paragraph" w:customStyle="1" w:styleId="7160">
    <w:name w:val="71ג כותרת 6 עם כניסת אתיות"/>
    <w:basedOn w:val="Normal"/>
    <w:qFormat/>
    <w:rsid w:val="00F20E3F"/>
    <w:pPr>
      <w:numPr>
        <w:ilvl w:val="1"/>
        <w:numId w:val="12"/>
      </w:numPr>
      <w:spacing w:before="240" w:after="180" w:line="240" w:lineRule="atLeast"/>
      <w:ind w:left="794" w:hanging="397"/>
      <w:jc w:val="left"/>
    </w:pPr>
    <w:rPr>
      <w:rFonts w:ascii="Tahoma" w:hAnsi="Tahoma" w:cs="Tahoma"/>
      <w:color w:val="00305F"/>
      <w:sz w:val="24"/>
    </w:rPr>
  </w:style>
  <w:style w:type="paragraph" w:customStyle="1" w:styleId="7112">
    <w:name w:val="71ג הזחה אותיות"/>
    <w:basedOn w:val="ListParagraph"/>
    <w:rsid w:val="00F20E3F"/>
    <w:pPr>
      <w:spacing w:after="180" w:line="260" w:lineRule="exact"/>
      <w:ind w:left="663" w:hanging="340"/>
      <w:contextualSpacing w:val="0"/>
    </w:pPr>
    <w:rPr>
      <w:rFonts w:ascii="Tahoma" w:hAnsi="Tahoma" w:cs="Tahoma"/>
      <w:color w:val="0D0D0D" w:themeColor="text1" w:themeTint="F2"/>
      <w:sz w:val="18"/>
      <w:szCs w:val="18"/>
    </w:rPr>
  </w:style>
  <w:style w:type="paragraph" w:customStyle="1" w:styleId="7113">
    <w:name w:val="71ג לוחות/תרשימים/תמונות/אינפוגרפיקה/מפות"/>
    <w:basedOn w:val="Normal"/>
    <w:uiPriority w:val="99"/>
    <w:qFormat/>
    <w:rsid w:val="00F20E3F"/>
    <w:pPr>
      <w:keepNext/>
      <w:spacing w:before="240" w:after="240" w:line="260" w:lineRule="exact"/>
      <w:jc w:val="center"/>
    </w:pPr>
    <w:rPr>
      <w:rFonts w:ascii="Tahoma" w:hAnsi="Tahoma" w:eastAsiaTheme="minorEastAsia" w:cs="Tahoma"/>
      <w:b/>
      <w:bCs/>
      <w:color w:val="0D0D0D" w:themeColor="text1" w:themeTint="F2"/>
      <w:szCs w:val="20"/>
    </w:rPr>
  </w:style>
  <w:style w:type="character" w:customStyle="1" w:styleId="74">
    <w:name w:val="כותרת 7 תו4"/>
    <w:basedOn w:val="DefaultParagraphFont"/>
    <w:uiPriority w:val="1"/>
    <w:rsid w:val="00F20E3F"/>
    <w:rPr>
      <w:rFonts w:eastAsiaTheme="majorEastAsia"/>
      <w:bCs/>
      <w:spacing w:val="40"/>
    </w:rPr>
  </w:style>
  <w:style w:type="character" w:customStyle="1" w:styleId="71Char1">
    <w:name w:val="71ג הזחה ראשונה מספר Char"/>
    <w:basedOn w:val="DefaultParagraphFont"/>
    <w:link w:val="7114"/>
    <w:locked/>
    <w:rsid w:val="00F20E3F"/>
    <w:rPr>
      <w:rFonts w:ascii="Tahoma" w:hAnsi="Tahoma" w:cs="Tahoma"/>
      <w:color w:val="0D0D0D" w:themeColor="text1" w:themeTint="F2"/>
      <w:sz w:val="18"/>
      <w:szCs w:val="18"/>
    </w:rPr>
  </w:style>
  <w:style w:type="paragraph" w:customStyle="1" w:styleId="7114">
    <w:name w:val="71ג הזחה ראשונה מספר"/>
    <w:basedOn w:val="ListParagraph"/>
    <w:link w:val="71Char1"/>
    <w:qFormat/>
    <w:rsid w:val="00F20E3F"/>
    <w:pPr>
      <w:spacing w:after="180" w:line="260" w:lineRule="exact"/>
      <w:ind w:left="397" w:hanging="397"/>
      <w:contextualSpacing w:val="0"/>
    </w:pPr>
    <w:rPr>
      <w:rFonts w:ascii="Tahoma" w:hAnsi="Tahoma" w:cs="Tahoma"/>
      <w:color w:val="0D0D0D" w:themeColor="text1" w:themeTint="F2"/>
      <w:sz w:val="18"/>
      <w:szCs w:val="18"/>
    </w:rPr>
  </w:style>
  <w:style w:type="paragraph" w:customStyle="1" w:styleId="7115">
    <w:name w:val="71ג אותיות בתוך קוביה 1"/>
    <w:basedOn w:val="Normal"/>
    <w:qFormat/>
    <w:rsid w:val="00F20E3F"/>
    <w:pPr>
      <w:keepLines/>
      <w:pBdr>
        <w:top w:val="single" w:sz="18" w:space="4" w:color="CEEAF5"/>
        <w:left w:val="single" w:sz="18" w:space="11" w:color="CEEAF5"/>
        <w:bottom w:val="single" w:sz="18" w:space="6" w:color="CEEAF5"/>
        <w:right w:val="single" w:sz="18" w:space="11" w:color="CEEAF5"/>
      </w:pBdr>
      <w:shd w:val="solid" w:color="CEEAF5" w:fill="auto"/>
      <w:tabs>
        <w:tab w:val="left" w:pos="624"/>
      </w:tabs>
      <w:spacing w:after="180" w:line="260" w:lineRule="exact"/>
      <w:ind w:left="765" w:right="227" w:hanging="340"/>
    </w:pPr>
    <w:rPr>
      <w:rFonts w:ascii="Tahoma" w:eastAsia="Times New Roman" w:hAnsi="Tahoma" w:cs="Tahoma"/>
      <w:color w:val="0D0D0D" w:themeColor="text1" w:themeTint="F2"/>
      <w:sz w:val="18"/>
      <w:szCs w:val="18"/>
      <w:lang w:eastAsia="he-IL"/>
    </w:rPr>
  </w:style>
  <w:style w:type="paragraph" w:customStyle="1" w:styleId="7116">
    <w:name w:val="71ג מקרא+הערות לתרשים/לוח/תמונה"/>
    <w:basedOn w:val="713"/>
    <w:link w:val="71Char2"/>
    <w:qFormat/>
    <w:rsid w:val="00F20E3F"/>
    <w:pPr>
      <w:keepNext w:val="0"/>
      <w:keepLines w:val="0"/>
      <w:spacing w:before="120" w:after="240" w:line="240" w:lineRule="exact"/>
      <w:ind w:left="0" w:firstLine="0"/>
    </w:pPr>
    <w:rPr>
      <w:sz w:val="16"/>
      <w:szCs w:val="16"/>
    </w:rPr>
  </w:style>
  <w:style w:type="character" w:customStyle="1" w:styleId="71Char2">
    <w:name w:val="71ג מקרא+הערות לתרשים/לוח/תמונה Char"/>
    <w:basedOn w:val="71Char"/>
    <w:link w:val="7116"/>
    <w:rsid w:val="00F20E3F"/>
    <w:rPr>
      <w:rFonts w:ascii="Tahoma" w:hAnsi="Tahoma" w:cs="Tahoma"/>
      <w:color w:val="0D0D0D" w:themeColor="text1" w:themeTint="F2"/>
      <w:sz w:val="16"/>
      <w:szCs w:val="16"/>
    </w:rPr>
  </w:style>
  <w:style w:type="character" w:customStyle="1" w:styleId="whyltd">
    <w:name w:val="whyltd"/>
    <w:basedOn w:val="DefaultParagraphFont"/>
    <w:rsid w:val="00F20E3F"/>
  </w:style>
  <w:style w:type="paragraph" w:customStyle="1" w:styleId="7151">
    <w:name w:val="71ג כותרת 5 בתוך טקסט מודגש"/>
    <w:basedOn w:val="719"/>
    <w:link w:val="715Char"/>
    <w:qFormat/>
    <w:rsid w:val="00F20E3F"/>
    <w:rPr>
      <w:bCs/>
      <w:color w:val="00305F"/>
    </w:rPr>
  </w:style>
  <w:style w:type="character" w:customStyle="1" w:styleId="715Char">
    <w:name w:val="71ג כותרת 5 בתוך טקסט מודגש Char"/>
    <w:basedOn w:val="719Char"/>
    <w:link w:val="7151"/>
    <w:rsid w:val="00F20E3F"/>
    <w:rPr>
      <w:rFonts w:ascii="Tahoma" w:hAnsi="Tahoma" w:cs="Tahoma"/>
      <w:bCs/>
      <w:color w:val="00305F"/>
      <w:sz w:val="18"/>
      <w:szCs w:val="18"/>
    </w:rPr>
  </w:style>
  <w:style w:type="character" w:customStyle="1" w:styleId="1110">
    <w:name w:val="אזכור לא מזוהה11"/>
    <w:basedOn w:val="DefaultParagraphFont"/>
    <w:uiPriority w:val="99"/>
    <w:semiHidden/>
    <w:unhideWhenUsed/>
    <w:rsid w:val="00F20E3F"/>
    <w:rPr>
      <w:color w:val="605E5C"/>
      <w:shd w:val="clear" w:color="auto" w:fill="E1DFDD"/>
    </w:rPr>
  </w:style>
  <w:style w:type="numbering" w:customStyle="1" w:styleId="125">
    <w:name w:val="ללא רשימה1"/>
    <w:next w:val="NoList"/>
    <w:uiPriority w:val="99"/>
    <w:semiHidden/>
    <w:unhideWhenUsed/>
    <w:rsid w:val="00F20E3F"/>
  </w:style>
  <w:style w:type="paragraph" w:customStyle="1" w:styleId="7117">
    <w:name w:val="71ג הזחה שנייה מספר"/>
    <w:basedOn w:val="ListParagraph"/>
    <w:uiPriority w:val="99"/>
    <w:qFormat/>
    <w:rsid w:val="00F20E3F"/>
    <w:pPr>
      <w:spacing w:after="180" w:line="260" w:lineRule="exact"/>
      <w:ind w:left="794" w:hanging="397"/>
      <w:contextualSpacing w:val="0"/>
    </w:pPr>
    <w:rPr>
      <w:rFonts w:ascii="Tahoma" w:hAnsi="Tahoma" w:cs="Tahoma"/>
      <w:sz w:val="18"/>
      <w:szCs w:val="18"/>
    </w:rPr>
  </w:style>
  <w:style w:type="table" w:customStyle="1" w:styleId="412">
    <w:name w:val="טבלה רגילה 41"/>
    <w:basedOn w:val="TableNormal"/>
    <w:next w:val="PlainTable4"/>
    <w:uiPriority w:val="44"/>
    <w:rsid w:val="00F20E3F"/>
    <w:pPr>
      <w:spacing w:after="0" w:line="240" w:lineRule="auto"/>
    </w:pPr>
    <w:rPr>
      <w:rFonts w:eastAsia="Calibri"/>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1-21">
    <w:name w:val="טבלת רשת 1 בהירה - הדגשה 21"/>
    <w:basedOn w:val="TableNormal"/>
    <w:next w:val="GridTable1LightAccent2"/>
    <w:uiPriority w:val="46"/>
    <w:rsid w:val="00F20E3F"/>
    <w:pPr>
      <w:spacing w:after="0" w:line="240" w:lineRule="auto"/>
    </w:pPr>
    <w:rPr>
      <w:rFonts w:eastAsia="Calibri"/>
    </w:rPr>
    <w:tblPr>
      <w:tblStyleRowBandSize w:val="1"/>
      <w:tblStyleColBandSize w:val="1"/>
      <w:tblBorders>
        <w:top w:val="single" w:sz="4" w:space="0" w:color="A3CEED" w:themeColor="accent2" w:themeTint="66"/>
        <w:left w:val="single" w:sz="4" w:space="0" w:color="A3CEED" w:themeColor="accent2" w:themeTint="66"/>
        <w:bottom w:val="single" w:sz="4" w:space="0" w:color="A3CEED" w:themeColor="accent2" w:themeTint="66"/>
        <w:right w:val="single" w:sz="4" w:space="0" w:color="A3CEED" w:themeColor="accent2" w:themeTint="66"/>
        <w:insideH w:val="single" w:sz="4" w:space="0" w:color="A3CEED" w:themeColor="accent2" w:themeTint="66"/>
        <w:insideV w:val="single" w:sz="4" w:space="0" w:color="A3CEED" w:themeColor="accent2" w:themeTint="66"/>
      </w:tblBorders>
    </w:tblPr>
    <w:tblStylePr w:type="firstRow">
      <w:rPr>
        <w:b/>
        <w:bCs/>
      </w:rPr>
      <w:tblPr/>
      <w:tcPr>
        <w:tcBorders>
          <w:bottom w:val="single" w:sz="12" w:space="0" w:color="74B5E4" w:themeColor="accent2" w:themeTint="99"/>
        </w:tcBorders>
      </w:tcPr>
    </w:tblStylePr>
    <w:tblStylePr w:type="lastRow">
      <w:rPr>
        <w:b/>
        <w:bCs/>
      </w:rPr>
      <w:tblPr/>
      <w:tcPr>
        <w:tcBorders>
          <w:top w:val="double" w:sz="2" w:space="0" w:color="74B5E4" w:themeColor="accent2" w:themeTint="99"/>
        </w:tcBorders>
      </w:tcPr>
    </w:tblStylePr>
    <w:tblStylePr w:type="firstCol">
      <w:rPr>
        <w:b/>
        <w:bCs/>
      </w:rPr>
    </w:tblStylePr>
    <w:tblStylePr w:type="lastCol">
      <w:rPr>
        <w:b/>
        <w:bCs/>
      </w:rPr>
    </w:tblStylePr>
  </w:style>
  <w:style w:type="table" w:customStyle="1" w:styleId="1111">
    <w:name w:val="רשת טבלה11"/>
    <w:basedOn w:val="TableNormal"/>
    <w:uiPriority w:val="59"/>
    <w:rsid w:val="00F20E3F"/>
    <w:pPr>
      <w:spacing w:after="120" w:line="360" w:lineRule="auto"/>
      <w:jc w:val="left"/>
    </w:pPr>
    <w:rPr>
      <w:rFonts w:ascii="Calibri" w:eastAsia="Times New Roman" w:hAnsi="Calibri" w:cs="Arial"/>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9">
    <w:name w:val="לוח שנה 21"/>
    <w:basedOn w:val="TableNormal"/>
    <w:uiPriority w:val="99"/>
    <w:qFormat/>
    <w:rsid w:val="00F20E3F"/>
    <w:pPr>
      <w:spacing w:after="0" w:line="240" w:lineRule="auto"/>
      <w:jc w:val="center"/>
    </w:pPr>
    <w:rPr>
      <w:rFonts w:ascii="Calibri" w:eastAsia="Times New Roman" w:hAnsi="Calibri" w:cs="Arial"/>
      <w:sz w:val="28"/>
      <w:szCs w:val="28"/>
    </w:rPr>
    <w:tblPr>
      <w:tblBorders>
        <w:insideV w:val="single" w:sz="4" w:space="0" w:color="76CDEE" w:themeColor="accent1" w:themeTint="99"/>
      </w:tblBorders>
    </w:tblPr>
    <w:tblStylePr w:type="firstRow">
      <w:rPr>
        <w:rFonts w:ascii="Cambria" w:hAnsi="Cambria" w:cs="Times New Roman" w:hint="default"/>
        <w:b w:val="0"/>
        <w:bCs w:val="0"/>
        <w:i w:val="0"/>
        <w:iCs w:val="0"/>
        <w:caps/>
        <w:smallCaps w:val="0"/>
        <w:color w:val="1CADE4" w:themeColor="accent1"/>
        <w:spacing w:val="20"/>
        <w:sz w:val="32"/>
        <w:szCs w:val="32"/>
      </w:rPr>
      <w:tblPr/>
      <w:tcPr>
        <w:tcBorders>
          <w:top w:val="nil"/>
          <w:left w:val="nil"/>
          <w:bottom w:val="nil"/>
          <w:right w:val="nil"/>
          <w:insideH w:val="nil"/>
          <w:insideV w:val="nil"/>
          <w:tl2br w:val="nil"/>
          <w:tr2bl w:val="nil"/>
        </w:tcBorders>
      </w:tcPr>
    </w:tblStylePr>
  </w:style>
  <w:style w:type="character" w:customStyle="1" w:styleId="Bodytext210pt">
    <w:name w:val="Body text (2) + 10 pt"/>
    <w:basedOn w:val="DefaultParagraphFont"/>
    <w:rsid w:val="00F20E3F"/>
    <w:rPr>
      <w:rFonts w:ascii="David" w:eastAsia="David" w:hAnsi="David" w:cs="David" w:hint="default"/>
      <w:b w:val="0"/>
      <w:bCs w:val="0"/>
      <w:i w:val="0"/>
      <w:iCs w:val="0"/>
      <w:smallCaps w:val="0"/>
      <w:strike w:val="0"/>
      <w:dstrike w:val="0"/>
      <w:color w:val="000000"/>
      <w:spacing w:val="0"/>
      <w:w w:val="100"/>
      <w:position w:val="0"/>
      <w:sz w:val="20"/>
      <w:szCs w:val="20"/>
      <w:u w:val="none"/>
      <w:effect w:val="none"/>
      <w:lang w:val="he-IL" w:eastAsia="he-IL" w:bidi="he-IL"/>
    </w:rPr>
  </w:style>
  <w:style w:type="character" w:customStyle="1" w:styleId="Footnote">
    <w:name w:val="Footnote_"/>
    <w:basedOn w:val="DefaultParagraphFont"/>
    <w:link w:val="Footnote0"/>
    <w:rsid w:val="00F20E3F"/>
    <w:rPr>
      <w:rFonts w:ascii="David" w:eastAsia="David" w:hAnsi="David"/>
      <w:sz w:val="19"/>
      <w:szCs w:val="19"/>
      <w:shd w:val="clear" w:color="auto" w:fill="FFFFFF"/>
    </w:rPr>
  </w:style>
  <w:style w:type="paragraph" w:customStyle="1" w:styleId="Footnote0">
    <w:name w:val="Footnote"/>
    <w:basedOn w:val="Normal"/>
    <w:link w:val="Footnote"/>
    <w:rsid w:val="00F20E3F"/>
    <w:pPr>
      <w:widowControl w:val="0"/>
      <w:shd w:val="clear" w:color="auto" w:fill="FFFFFF"/>
      <w:spacing w:line="312" w:lineRule="exact"/>
    </w:pPr>
    <w:rPr>
      <w:rFonts w:ascii="David" w:eastAsia="David" w:hAnsi="David"/>
      <w:sz w:val="19"/>
      <w:szCs w:val="19"/>
    </w:rPr>
  </w:style>
  <w:style w:type="character" w:customStyle="1" w:styleId="1100">
    <w:name w:val="אזכור לא מזוהה11_0"/>
    <w:basedOn w:val="DefaultParagraphFont"/>
    <w:uiPriority w:val="99"/>
    <w:semiHidden/>
    <w:unhideWhenUsed/>
    <w:rsid w:val="00F20E3F"/>
    <w:rPr>
      <w:color w:val="605E5C"/>
      <w:shd w:val="clear" w:color="auto" w:fill="E1DFDD"/>
    </w:rPr>
  </w:style>
  <w:style w:type="character" w:customStyle="1" w:styleId="UnresolvedMention">
    <w:name w:val="Unresolved Mention"/>
    <w:basedOn w:val="DefaultParagraphFont"/>
    <w:uiPriority w:val="99"/>
    <w:semiHidden/>
    <w:unhideWhenUsed/>
    <w:rsid w:val="00F20E3F"/>
    <w:rPr>
      <w:color w:val="605E5C"/>
      <w:shd w:val="clear" w:color="auto" w:fill="E1DFDD"/>
    </w:rPr>
  </w:style>
  <w:style w:type="paragraph" w:customStyle="1" w:styleId="7341">
    <w:name w:val="73א הערות שוליים"/>
    <w:basedOn w:val="FootnoteText"/>
    <w:link w:val="7342"/>
    <w:qFormat/>
    <w:rsid w:val="00D8707F"/>
    <w:pPr>
      <w:keepNext/>
      <w:keepLines/>
      <w:spacing w:after="60" w:line="220" w:lineRule="exact"/>
      <w:ind w:left="397" w:hanging="397"/>
    </w:pPr>
    <w:rPr>
      <w:rFonts w:ascii="Tahoma" w:hAnsi="Tahoma" w:cs="Tahoma"/>
      <w:color w:val="0D0D0D" w:themeColor="text1" w:themeTint="F2"/>
      <w:sz w:val="14"/>
      <w:szCs w:val="14"/>
    </w:rPr>
  </w:style>
  <w:style w:type="character" w:customStyle="1" w:styleId="7342">
    <w:name w:val="73א הערות שוליים תו"/>
    <w:basedOn w:val="DefaultParagraphFont"/>
    <w:link w:val="7341"/>
    <w:rsid w:val="00D8707F"/>
    <w:rPr>
      <w:rFonts w:ascii="Tahoma" w:hAnsi="Tahoma" w:cs="Tahoma"/>
      <w:color w:val="0D0D0D" w:themeColor="text1" w:themeTint="F2"/>
      <w:sz w:val="14"/>
      <w:szCs w:val="1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&#65279;<?xml version="1.0" encoding="utf-8" standalone="yes"?><Relationships xmlns="http://schemas.openxmlformats.org/package/2006/relationships"><Relationship Id="rId1" Type="http://schemas.openxmlformats.org/officeDocument/2006/relationships/footnotes" Target="footnotes.xml" /><Relationship Id="rId10" Type="http://schemas.openxmlformats.org/officeDocument/2006/relationships/image" Target="media/image2.jpeg" /><Relationship Id="rId11" Type="http://schemas.openxmlformats.org/officeDocument/2006/relationships/header" Target="header1.xml" /><Relationship Id="rId12" Type="http://schemas.openxmlformats.org/officeDocument/2006/relationships/header" Target="header2.xml" /><Relationship Id="rId13" Type="http://schemas.openxmlformats.org/officeDocument/2006/relationships/footer" Target="footer1.xml" /><Relationship Id="rId14" Type="http://schemas.openxmlformats.org/officeDocument/2006/relationships/footer" Target="footer2.xml" /><Relationship Id="rId15" Type="http://schemas.openxmlformats.org/officeDocument/2006/relationships/header" Target="header3.xml" /><Relationship Id="rId16" Type="http://schemas.openxmlformats.org/officeDocument/2006/relationships/footer" Target="footer3.xml" /><Relationship Id="rId17" Type="http://schemas.openxmlformats.org/officeDocument/2006/relationships/header" Target="header4.xml" /><Relationship Id="rId18" Type="http://schemas.openxmlformats.org/officeDocument/2006/relationships/image" Target="media/image5.jpeg" /><Relationship Id="rId19" Type="http://schemas.openxmlformats.org/officeDocument/2006/relationships/image" Target="media/image6.jpeg" /><Relationship Id="rId2" Type="http://schemas.openxmlformats.org/officeDocument/2006/relationships/settings" Target="settings.xml" /><Relationship Id="rId20" Type="http://schemas.openxmlformats.org/officeDocument/2006/relationships/image" Target="media/image7.jpeg" /><Relationship Id="rId21" Type="http://schemas.openxmlformats.org/officeDocument/2006/relationships/image" Target="media/image8.jpeg" /><Relationship Id="rId22" Type="http://schemas.openxmlformats.org/officeDocument/2006/relationships/image" Target="media/image9.jpeg" /><Relationship Id="rId23" Type="http://schemas.openxmlformats.org/officeDocument/2006/relationships/image" Target="media/image10.emf" /><Relationship Id="rId24" Type="http://schemas.openxmlformats.org/officeDocument/2006/relationships/image" Target="media/image11.emf" /><Relationship Id="rId25" Type="http://schemas.openxmlformats.org/officeDocument/2006/relationships/image" Target="media/image12.jpeg" /><Relationship Id="rId26" Type="http://schemas.openxmlformats.org/officeDocument/2006/relationships/image" Target="media/image13.jpeg" /><Relationship Id="rId27" Type="http://schemas.openxmlformats.org/officeDocument/2006/relationships/image" Target="media/image14.emf" /><Relationship Id="rId28" Type="http://schemas.openxmlformats.org/officeDocument/2006/relationships/image" Target="media/image15.png" /><Relationship Id="rId29" Type="http://schemas.openxmlformats.org/officeDocument/2006/relationships/header" Target="header5.xml" /><Relationship Id="rId3" Type="http://schemas.openxmlformats.org/officeDocument/2006/relationships/webSettings" Target="webSettings.xml" /><Relationship Id="rId30" Type="http://schemas.openxmlformats.org/officeDocument/2006/relationships/footer" Target="footer4.xml" /><Relationship Id="rId31" Type="http://schemas.openxmlformats.org/officeDocument/2006/relationships/image" Target="media/image16.jpeg" /><Relationship Id="rId32" Type="http://schemas.openxmlformats.org/officeDocument/2006/relationships/image" Target="media/image17.jpeg" /><Relationship Id="rId33" Type="http://schemas.openxmlformats.org/officeDocument/2006/relationships/image" Target="media/image18.jpeg" /><Relationship Id="rId34" Type="http://schemas.openxmlformats.org/officeDocument/2006/relationships/image" Target="media/image19.emf" /><Relationship Id="rId35" Type="http://schemas.openxmlformats.org/officeDocument/2006/relationships/image" Target="media/image20.jpeg" /><Relationship Id="rId36" Type="http://schemas.openxmlformats.org/officeDocument/2006/relationships/image" Target="media/image21.emf" /><Relationship Id="rId37" Type="http://schemas.openxmlformats.org/officeDocument/2006/relationships/image" Target="media/image22.emf" /><Relationship Id="rId38" Type="http://schemas.openxmlformats.org/officeDocument/2006/relationships/image" Target="media/image23.emf" /><Relationship Id="rId39" Type="http://schemas.openxmlformats.org/officeDocument/2006/relationships/image" Target="media/image24.emf" /><Relationship Id="rId4" Type="http://schemas.openxmlformats.org/officeDocument/2006/relationships/fontTable" Target="fontTable.xml" /><Relationship Id="rId40" Type="http://schemas.openxmlformats.org/officeDocument/2006/relationships/image" Target="media/image25.emf" /><Relationship Id="rId41" Type="http://schemas.openxmlformats.org/officeDocument/2006/relationships/image" Target="media/image26.emf" /><Relationship Id="rId42" Type="http://schemas.openxmlformats.org/officeDocument/2006/relationships/image" Target="media/image27.jpeg" /><Relationship Id="rId43" Type="http://schemas.openxmlformats.org/officeDocument/2006/relationships/image" Target="media/image28.jpeg" /><Relationship Id="rId44" Type="http://schemas.openxmlformats.org/officeDocument/2006/relationships/image" Target="media/image29.emf" /><Relationship Id="rId45" Type="http://schemas.openxmlformats.org/officeDocument/2006/relationships/image" Target="media/image30.emf" /><Relationship Id="rId46" Type="http://schemas.openxmlformats.org/officeDocument/2006/relationships/image" Target="media/image31.emf" /><Relationship Id="rId47" Type="http://schemas.openxmlformats.org/officeDocument/2006/relationships/image" Target="media/image32.emf" /><Relationship Id="rId48" Type="http://schemas.openxmlformats.org/officeDocument/2006/relationships/image" Target="media/image33.emf" /><Relationship Id="rId49" Type="http://schemas.openxmlformats.org/officeDocument/2006/relationships/image" Target="media/image34.jpeg" /><Relationship Id="rId5" Type="http://schemas.openxmlformats.org/officeDocument/2006/relationships/customXml" Target="../customXml/item1.xml" /><Relationship Id="rId50" Type="http://schemas.openxmlformats.org/officeDocument/2006/relationships/image" Target="media/image35.jpeg" /><Relationship Id="rId51" Type="http://schemas.openxmlformats.org/officeDocument/2006/relationships/image" Target="media/image36.jpeg" /><Relationship Id="rId52" Type="http://schemas.openxmlformats.org/officeDocument/2006/relationships/image" Target="media/image37.jpeg" /><Relationship Id="rId53" Type="http://schemas.openxmlformats.org/officeDocument/2006/relationships/image" Target="media/image38.jpeg" /><Relationship Id="rId54" Type="http://schemas.openxmlformats.org/officeDocument/2006/relationships/image" Target="media/image39.jpeg" /><Relationship Id="rId55" Type="http://schemas.openxmlformats.org/officeDocument/2006/relationships/image" Target="media/image40.jpeg" /><Relationship Id="rId56" Type="http://schemas.openxmlformats.org/officeDocument/2006/relationships/image" Target="media/image41.emf" /><Relationship Id="rId57" Type="http://schemas.openxmlformats.org/officeDocument/2006/relationships/image" Target="media/image42.emf" /><Relationship Id="rId58" Type="http://schemas.openxmlformats.org/officeDocument/2006/relationships/image" Target="media/image43.jpeg" /><Relationship Id="rId59" Type="http://schemas.openxmlformats.org/officeDocument/2006/relationships/image" Target="media/image44.tif" /><Relationship Id="rId6" Type="http://schemas.openxmlformats.org/officeDocument/2006/relationships/customXml" Target="../customXml/item2.xml" /><Relationship Id="rId60" Type="http://schemas.openxmlformats.org/officeDocument/2006/relationships/image" Target="media/image45.emf" /><Relationship Id="rId61" Type="http://schemas.openxmlformats.org/officeDocument/2006/relationships/image" Target="media/image46.tif" /><Relationship Id="rId62" Type="http://schemas.openxmlformats.org/officeDocument/2006/relationships/image" Target="media/image47.tif" /><Relationship Id="rId63" Type="http://schemas.openxmlformats.org/officeDocument/2006/relationships/header" Target="header6.xml" /><Relationship Id="rId64" Type="http://schemas.openxmlformats.org/officeDocument/2006/relationships/theme" Target="theme/theme1.xml" /><Relationship Id="rId65" Type="http://schemas.openxmlformats.org/officeDocument/2006/relationships/numbering" Target="numbering.xml" /><Relationship Id="rId66" Type="http://schemas.openxmlformats.org/officeDocument/2006/relationships/styles" Target="styles.xml" /><Relationship Id="rId7" Type="http://schemas.openxmlformats.org/officeDocument/2006/relationships/customXml" Target="../customXml/item3.xml" /><Relationship Id="rId8" Type="http://schemas.openxmlformats.org/officeDocument/2006/relationships/customXml" Target="../customXml/item4.xml" /><Relationship Id="rId9" Type="http://schemas.openxmlformats.org/officeDocument/2006/relationships/image" Target="media/image1.jpeg" /></Relationships>
</file>

<file path=word/_rels/footnotes.xml.rels>&#65279;<?xml version="1.0" encoding="utf-8" standalone="yes"?><Relationships xmlns="http://schemas.openxmlformats.org/package/2006/relationships"><Relationship Id="rId1" Type="http://schemas.openxmlformats.org/officeDocument/2006/relationships/hyperlink" Target="http://documents.worldbank.org/curated/en/319971468329953865/Moving-toward-climate-budgeting-policy-note" TargetMode="External" /><Relationship Id="rId10" Type="http://schemas.openxmlformats.org/officeDocument/2006/relationships/hyperlink" Target="https://www.imf.org/en/News/Articles/2020/10/12/sp101220-managing-director-remarks-to-the-coalition-of-finance-ministers-for-climate-action" TargetMode="External" /><Relationship Id="rId11" Type="http://schemas.openxmlformats.org/officeDocument/2006/relationships/hyperlink" Target="https://www.boi.org.il/he/NewsAndPublications/PressReleases/Pages/10-6-2020.aspx" TargetMode="External" /><Relationship Id="rId12" Type="http://schemas.openxmlformats.org/officeDocument/2006/relationships/hyperlink" Target="https://doi.org/10.1787/0175ae95-en" TargetMode="External" /><Relationship Id="rId13" Type="http://schemas.openxmlformats.org/officeDocument/2006/relationships/hyperlink" Target="https://unfccc.int/process-and-meetings/the-paris-agreement/the-paris-agreement/key-aspects-of-the-paris-agreement" TargetMode="External" /><Relationship Id="rId14" Type="http://schemas.openxmlformats.org/officeDocument/2006/relationships/hyperlink" Target="https://www.oecd-ilibrary.org/economics/oecd-economic-surveys-israel-2020_d6a7d907-en" TargetMode="External" /><Relationship Id="rId15" Type="http://schemas.openxmlformats.org/officeDocument/2006/relationships/hyperlink" Target="https://www.gov.il/he/departments/publications/reports/green_book_external_costs_air_pollutants_greenhouse_gases" TargetMode="External" /><Relationship Id="rId16" Type="http://schemas.openxmlformats.org/officeDocument/2006/relationships/hyperlink" Target="https://www.gov.il/he/departments/guides/carbon_pricing_in_israel?chapterIndex=3" TargetMode="External" /><Relationship Id="rId17" Type="http://schemas.openxmlformats.org/officeDocument/2006/relationships/hyperlink" Target="https://www.gov.il/he/departments/policies/dec286_2021" TargetMode="External" /><Relationship Id="rId18" Type="http://schemas.openxmlformats.org/officeDocument/2006/relationships/hyperlink" Target="https://www.worldbank.org/en/news/press-release/2023/05/23/record-high-revenues-from-global-carbon-pricing-near-100-billion" TargetMode="External" /><Relationship Id="rId19" Type="http://schemas.openxmlformats.org/officeDocument/2006/relationships/hyperlink" Target="https://www.consilium.europa.eu/en/press/press-releases/2023/04/25/fit-for-55-council-adopts-key-pieces-of-legislation-delivering-on-2030-climate-targets/" TargetMode="External" /><Relationship Id="rId2" Type="http://schemas.openxmlformats.org/officeDocument/2006/relationships/hyperlink" Target="https://economy-finance.ec.europa.eu/publications/green-budgeting-towards-common-principles_en" TargetMode="External" /><Relationship Id="rId20" Type="http://schemas.openxmlformats.org/officeDocument/2006/relationships/hyperlink" Target="https://dx.doi.org/10.1787/3cb265e4-en" TargetMode="External" /><Relationship Id="rId21" Type="http://schemas.openxmlformats.org/officeDocument/2006/relationships/hyperlink" Target="https://www.oecd.org/ctp/tax-policy/few-countries-are-pricing-carbon-high-enough-to-meet-climate-targets.htm" TargetMode="External" /><Relationship Id="rId22" Type="http://schemas.openxmlformats.org/officeDocument/2006/relationships/hyperlink" Target="https://static1.squarespace.com/static/54ff9c5ce4b0a53decccfb4c/t/59b7f2409f8dce5316811916/1505227332748/CarbonPricing_FullReport.pdf" TargetMode="External" /><Relationship Id="rId23" Type="http://schemas.openxmlformats.org/officeDocument/2006/relationships/hyperlink" Target="https://www.oecd.org/tax/tax-policy/effective-carbon-rates-2021-0e8e24f5-en.htm" TargetMode="External" /><Relationship Id="rId24" Type="http://schemas.openxmlformats.org/officeDocument/2006/relationships/hyperlink" Target="https://carbonpricingdashboard.worldbank.org/" TargetMode="External" /><Relationship Id="rId25" Type="http://schemas.openxmlformats.org/officeDocument/2006/relationships/hyperlink" Target="https://www.whitehouse.gov/wp-content/uploads/2021/02/TechnicalSupportDocument_SocialCostofCarbonMethaneNitrousOxide.pdf" TargetMode="External" /><Relationship Id="rId26" Type="http://schemas.openxmlformats.org/officeDocument/2006/relationships/hyperlink" Target="https://carbonpricingdashboard.worldbank.org/what-carbon-pricing" TargetMode="External" /><Relationship Id="rId27" Type="http://schemas.openxmlformats.org/officeDocument/2006/relationships/hyperlink" Target="https://www.bcg.com/en-il/about/people/experts/ben-aylor" TargetMode="External" /><Relationship Id="rId28" Type="http://schemas.openxmlformats.org/officeDocument/2006/relationships/hyperlink" Target="https://www.bcg.com/en-il/about/people/experts/marc-gilbert" TargetMode="External" /><Relationship Id="rId29" Type="http://schemas.openxmlformats.org/officeDocument/2006/relationships/hyperlink" Target="https://www.bcg.com/en-il/publications/2020/how-an-eu-carbon-border-tax-could-jolt-world-trade" TargetMode="External" /><Relationship Id="rId3" Type="http://schemas.openxmlformats.org/officeDocument/2006/relationships/hyperlink" Target="http://www.financeministersforclimate.org" TargetMode="External" /><Relationship Id="rId30" Type="http://schemas.openxmlformats.org/officeDocument/2006/relationships/hyperlink" Target="https://www.europarl.europa.eu/legislative-train/theme-a-european-green-deal/file-carbon-border-adjustment-mechanism" TargetMode="External" /><Relationship Id="rId31" Type="http://schemas.openxmlformats.org/officeDocument/2006/relationships/hyperlink" Target="https://www.gov.uk/government/consultations/addressing-carbon-leakage-risk-to-support-decarbonisation" TargetMode="External" /><Relationship Id="rId32" Type="http://schemas.openxmlformats.org/officeDocument/2006/relationships/hyperlink" Target="https://www.gov.il/he/departments/news/press_09022022" TargetMode="External" /><Relationship Id="rId33" Type="http://schemas.openxmlformats.org/officeDocument/2006/relationships/hyperlink" Target="https://www.oecd-ilibrary.org/sites/5a3efe65-en/1/3/27/index.html?itemId=/content/publication/5a3efe65-en&amp;_csp_=2ffa7a733148fec42dccf926d7619e1c&amp;itemIGO=oecd&amp;itemContentType=book" TargetMode="External" /><Relationship Id="rId34" Type="http://schemas.openxmlformats.org/officeDocument/2006/relationships/hyperlink" Target="https://www.cbs.gov.il/he/publications/pages/2017/%D7%A1%D7%91%D7%99%D7%91%D7%94-%D7%A9%D7%A0%D7%AA%D7%95%D7%9F-%D7%A1%D7%98%D7%98%D7%99%D7%A1%D7%98%D7%99-%D7%9C%D7%99%D7%A9%D7%A8%D7%90%D7%9C-2017-%D7%9E%D7%A1%D7%A4%D7%A8-68.aspx" TargetMode="External" /><Relationship Id="rId35" Type="http://schemas.openxmlformats.org/officeDocument/2006/relationships/hyperlink" Target="https://innovationisrael.org.il/magazine/6194" TargetMode="External" /><Relationship Id="rId36" Type="http://schemas.openxmlformats.org/officeDocument/2006/relationships/hyperlink" Target="https://assets.bbhub.io/company/sites/60/2020/10/TCFD_Booklet_FNL_Digital_March-2020.pdf" TargetMode="External" /><Relationship Id="rId37" Type="http://schemas.openxmlformats.org/officeDocument/2006/relationships/hyperlink" Target="https://www.ifrs.org/news-and-events/news/2023/06/issb-issues-ifrs-s1-ifrs-s2/" TargetMode="External" /><Relationship Id="rId38" Type="http://schemas.openxmlformats.org/officeDocument/2006/relationships/hyperlink" Target="https://www.mckinsey.com/il/~/media/mckinsey/locations/europe%20and%20middle%20east/israel/overview/the%20climate%20crisis%20and%20the%20israeli%20economy/the-climate-crisis-and-the-israeli-economy.pdf" TargetMode="External" /><Relationship Id="rId39" Type="http://schemas.openxmlformats.org/officeDocument/2006/relationships/hyperlink" Target="https://www.ngfs.net/sites/default/files/medias/documents/ngfs_guide_scenario_analysis_final.pdf" TargetMode="External" /><Relationship Id="rId4" Type="http://schemas.openxmlformats.org/officeDocument/2006/relationships/hyperlink" Target="https://www.financeministersforclimate.org/sites/cape/files/inline-files/How%20to%20Scope%20the%20Fiscal%20Impacts%20of%20Long-Term%20Climate%20Strategies.pdf" TargetMode="External" /><Relationship Id="rId40" Type="http://schemas.openxmlformats.org/officeDocument/2006/relationships/hyperlink" Target="https://www.boi.org.il/roles/foreign-exchange-reserves/" TargetMode="External" /><Relationship Id="rId41" Type="http://schemas.openxmlformats.org/officeDocument/2006/relationships/hyperlink" Target="https://www.boi.org.il/publications/pressreleases/06-07-23/" TargetMode="External" /><Relationship Id="rId42" Type="http://schemas.openxmlformats.org/officeDocument/2006/relationships/hyperlink" Target="https://www.isa.gov.il/%D7%92%D7%95%D7%A4%D7%99%D7%9D%20%D7%9E%D7%A4%D7%95%D7%A7%D7%97%D7%99%D7%9D/Mutual_Funds/1403/3395/Documents/he_ESGFINAL.pdf" TargetMode="External" /><Relationship Id="rId43" Type="http://schemas.openxmlformats.org/officeDocument/2006/relationships/hyperlink" Target="https://www.new.isa.gov.il/nav-index/supervised-publications/Corporate-Reports" TargetMode="External" /><Relationship Id="rId44" Type="http://schemas.openxmlformats.org/officeDocument/2006/relationships/hyperlink" Target="https://www.gov.il/BlobFolder/dynamiccollectorresultitem/notice-2021-8901/he/orsa_letter_20220105-pdf.pdf" TargetMode="External" /><Relationship Id="rId5" Type="http://schemas.openxmlformats.org/officeDocument/2006/relationships/hyperlink" Target="https://www.financeministersforclimate.org/sites/cape/files/inline-files/Strategies%20for%20Mainstreaming%20Climate%20Action%20in%20Ministries%20of%20Finance.pdf" TargetMode="External" /><Relationship Id="rId6" Type="http://schemas.openxmlformats.org/officeDocument/2006/relationships/hyperlink" Target="https://www.financeministersforclimate.org/mainstream" TargetMode="External" /><Relationship Id="rId7" Type="http://schemas.openxmlformats.org/officeDocument/2006/relationships/hyperlink" Target="https://www.financeministersforclimate.org/sites/cape/files/inline-files/Climate-Related%20Risks%20for%20Ministries%20of%20Finance%20-%20An%20Overview%20%28CFMCA%29_1.pdf" TargetMode="External" /><Relationship Id="rId8" Type="http://schemas.openxmlformats.org/officeDocument/2006/relationships/hyperlink" Target="https://doi.org/10.1787/acf5d047-en" TargetMode="External" /><Relationship Id="rId9" Type="http://schemas.openxmlformats.org/officeDocument/2006/relationships/hyperlink" Target="https://www.oecd.org/environment/green-budgeting/OECD-Green-Budgeting-Framework-Highlights.pdf" TargetMode="External" /></Relationships>
</file>

<file path=word/_rels/header1.xml.rels>&#65279;<?xml version="1.0" encoding="utf-8" standalone="yes"?><Relationships xmlns="http://schemas.openxmlformats.org/package/2006/relationships"><Relationship Id="rId1" Type="http://schemas.openxmlformats.org/officeDocument/2006/relationships/image" Target="media/image3.jpeg" /></Relationships>
</file>

<file path=word/_rels/header2.xml.rels>&#65279;<?xml version="1.0" encoding="utf-8" standalone="yes"?><Relationships xmlns="http://schemas.openxmlformats.org/package/2006/relationships"><Relationship Id="rId1" Type="http://schemas.openxmlformats.org/officeDocument/2006/relationships/image" Target="media/image4.jpeg" /></Relationships>
</file>

<file path=word/_rels/header4.xml.rels>&#65279;<?xml version="1.0" encoding="utf-8" standalone="yes"?><Relationships xmlns="http://schemas.openxmlformats.org/package/2006/relationships"><Relationship Id="rId1" Type="http://schemas.openxmlformats.org/officeDocument/2006/relationships/image" Target="media/image3.jpeg" /></Relationships>
</file>

<file path=word/_rels/header5.xml.rels>&#65279;<?xml version="1.0" encoding="utf-8" standalone="yes"?><Relationships xmlns="http://schemas.openxmlformats.org/package/2006/relationships"><Relationship Id="rId1" Type="http://schemas.openxmlformats.org/officeDocument/2006/relationships/image" Target="media/image3.jpeg" /></Relationships>
</file>

<file path=word/_rels/header6.xml.rels>&#65279;<?xml version="1.0" encoding="utf-8" standalone="yes"?><Relationships xmlns="http://schemas.openxmlformats.org/package/2006/relationships"><Relationship Id="rId1" Type="http://schemas.openxmlformats.org/officeDocument/2006/relationships/image" Target="media/image4.jpeg" /></Relationships>
</file>

<file path=word/_rels/settings.xml.rels>&#65279;<?xml version="1.0" encoding="utf-8" standalone="yes"?><Relationships xmlns="http://schemas.openxmlformats.org/package/2006/relationships"><Relationship Id="rId1" Type="http://schemas.openxmlformats.org/officeDocument/2006/relationships/attachedTemplate" Target="file:///H:\Word%20Templates\&#1514;&#1489;&#1504;&#1497;&#1493;&#1514;%20&#1502;&#1489;&#1511;&#1512;%20&#1492;&#1502;&#1491;&#1497;&#1504;&#1492;\&#1514;&#1489;&#1504;&#1497;&#1514;%20&#1500;&#1499;&#1514;&#1497;&#1489;&#1514;%20&#1502;&#1496;&#1500;&#1514;%20&#1489;&#1497;&#1511;&#1493;&#1512;&#1514;%20&#1502;&#1506;&#1493;&#1491;&#1499;&#1504;&#1514;.dotm" TargetMode="External" /></Relationships>
</file>

<file path=word/theme/_rels/theme1.xml.rels>&#65279;<?xml version="1.0" encoding="utf-8" standalone="yes"?><Relationships xmlns="http://schemas.openxmlformats.org/package/2006/relationships"><Relationship Id="rId1" Type="http://schemas.openxmlformats.org/officeDocument/2006/relationships/image" Target="../media/image44.jpeg" /></Relationships>
</file>

<file path=word/theme/theme1.xml><?xml version="1.0" encoding="utf-8"?>
<a:theme xmlns:a="http://schemas.openxmlformats.org/drawingml/2006/main" name="אינטגרל">
  <a:themeElements>
    <a:clrScheme name="אינטגרל">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B9F25"/>
      </a:hlink>
      <a:folHlink>
        <a:srgbClr val="B26B02"/>
      </a:folHlink>
    </a:clrScheme>
    <a:fontScheme name="אינטגרל">
      <a:majorFont>
        <a:latin typeface="Tw Cen MT Condensed" panose="020B06060201040202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w Cen MT" panose="020B06020201040206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אינטגרל">
      <a:fillStyleLst>
        <a:solidFill>
          <a:schemeClr val="phClr"/>
        </a:solidFill>
        <a:gradFill rotWithShape="1">
          <a:gsLst>
            <a:gs pos="0">
              <a:schemeClr val="phClr">
                <a:tint val="83000"/>
                <a:satMod val="100000"/>
                <a:lumMod val="100000"/>
              </a:schemeClr>
            </a:gs>
            <a:gs pos="100000">
              <a:schemeClr val="phClr">
                <a:tint val="61000"/>
                <a:satMod val="150000"/>
                <a:lumMod val="100000"/>
              </a:schemeClr>
            </a:gs>
          </a:gsLst>
          <a:path path="circle">
            <a:fillToRect l="100000" t="100000" r="100000" b="100000"/>
          </a:path>
        </a:gradFill>
        <a:gradFill rotWithShape="1">
          <a:gsLst>
            <a:gs pos="0">
              <a:schemeClr val="phClr">
                <a:tint val="100000"/>
                <a:shade val="85000"/>
                <a:satMod val="100000"/>
                <a:lumMod val="100000"/>
              </a:schemeClr>
            </a:gs>
            <a:gs pos="100000">
              <a:schemeClr val="phClr">
                <a:tint val="90000"/>
                <a:shade val="100000"/>
                <a:satMod val="150000"/>
                <a:lumMod val="100000"/>
              </a:schemeClr>
            </a:gs>
          </a:gsLst>
          <a:path path="circle">
            <a:fillToRect l="100000" t="100000" r="100000" b="100000"/>
          </a:path>
        </a:gradFill>
      </a:fillStyleLst>
      <a:lnStyleLst>
        <a:ln w="9525" cap="flat" cmpd="sng" algn="ctr">
          <a:solidFill>
            <a:schemeClr val="phClr"/>
          </a:solidFill>
          <a:prstDash val="solid"/>
        </a:ln>
        <a:ln w="15875"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50800" dist="12700" dir="5400000" algn="ctr" rotWithShape="0">
              <a:srgbClr val="000000">
                <a:alpha val="50000"/>
              </a:srgbClr>
            </a:outerShdw>
          </a:effectLst>
        </a:effectStyle>
        <a:effectStyle>
          <a:effectLst>
            <a:outerShdw blurRad="76200" dist="25400" dir="5400000" algn="ctr" rotWithShape="0">
              <a:srgbClr val="000000">
                <a:alpha val="60000"/>
              </a:srgbClr>
            </a:outerShdw>
          </a:effectLst>
          <a:scene3d>
            <a:camera prst="orthographicFront">
              <a:rot lat="0" lon="0" rev="0"/>
            </a:camera>
            <a:lightRig rig="flat" dir="t">
              <a:rot lat="0" lon="0" rev="3600000"/>
            </a:lightRig>
          </a:scene3d>
          <a:sp3d contourW="12700" prstMaterial="flat">
            <a:bevelT w="38100" h="44450" prst="angle"/>
            <a:contourClr>
              <a:schemeClr val="phClr">
                <a:shade val="35000"/>
                <a:satMod val="160000"/>
              </a:schemeClr>
            </a:contourClr>
          </a:sp3d>
        </a:effectStyle>
      </a:effectStyleLst>
      <a:bgFillStyleLst>
        <a:solidFill>
          <a:schemeClr val="phClr"/>
        </a:solidFill>
        <a:solidFill>
          <a:schemeClr val="phClr">
            <a:tint val="95000"/>
            <a:shade val="85000"/>
            <a:satMod val="125000"/>
          </a:schemeClr>
        </a:solidFill>
        <a:blipFill rotWithShape="1">
          <a:blip xmlns:r="http://schemas.openxmlformats.org/officeDocument/2006/relationships" r:embed="rId1">
            <a:duotone>
              <a:schemeClr val="phClr">
                <a:tint val="95000"/>
                <a:shade val="74000"/>
                <a:satMod val="230000"/>
              </a:schemeClr>
              <a:schemeClr val="phClr">
                <a:tint val="92000"/>
                <a:shade val="69000"/>
                <a:satMod val="250000"/>
              </a:schemeClr>
            </a:duotone>
          </a:blip>
          <a:tile tx="0" ty="0" sx="40000" sy="40000" flip="none" algn="tl"/>
        </a:blipFill>
      </a:bgFillStyleLst>
    </a:fmtScheme>
  </a:themeElements>
  <a:objectDefaults/>
  <a:extraClrSchemeLst/>
  <a:extLst>
    <a:ext uri="{05A4C25C-085E-4340-85A3-A5531E510DB2}">
      <thm15:themeFamily xmlns:thm15="http://schemas.microsoft.com/office/thememl/2012/main" name="Integral" id="{3577F8C9-A904-41D8-97D2-FD898F53F20E}" vid="{682D6EBE-8D36-4FF2-9DB3-F3D8D7B6715D}"/>
    </a:ext>
  </a:ext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&#65279;<?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&#65279;<?xml version="1.0" encoding="utf-8" standalone="yes"?><Relationships xmlns="http://schemas.openxmlformats.org/package/2006/relationships"><Relationship Id="rId1" Type="http://schemas.openxmlformats.org/officeDocument/2006/relationships/customXmlProps" Target="itemProps3.xml" /></Relationships>
</file>

<file path=customXml/_rels/item4.xml.rels>&#65279;<?xml version="1.0" encoding="utf-8" standalone="yes"?><Relationships xmlns="http://schemas.openxmlformats.org/package/2006/relationships"><Relationship Id="rId1" Type="http://schemas.openxmlformats.org/officeDocument/2006/relationships/customXmlProps" Target="itemProps4.xml" /></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7603606-5E1C-4A20-A662-7530344C0C79}">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5F277293-69D4-4A2C-B42A-ACB408C53893}"/>
</file>

<file path=customXml/itemProps3.xml><?xml version="1.0" encoding="utf-8"?>
<ds:datastoreItem xmlns:ds="http://schemas.openxmlformats.org/officeDocument/2006/customXml" ds:itemID="{CF9CFEA8-9C19-4567-AE07-A888A48557E2}">
  <ds:schemaRefs>
    <ds:schemaRef ds:uri="http://schemas.openxmlformats.org/officeDocument/2006/bibliography"/>
  </ds:schemaRefs>
</ds:datastoreItem>
</file>

<file path=customXml/itemProps4.xml><?xml version="1.0" encoding="utf-8"?>
<ds:datastoreItem xmlns:ds="http://schemas.openxmlformats.org/officeDocument/2006/customXml" ds:itemID="{EF14C8F3-99B9-42DE-920E-5707BD78BD9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