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8.0 -->
  <w:background w:color="ffffff">
    <v:background id="_x0000_s1025" w:themeColor="background1" filled="t"/>
  </w:background>
  <w:body>
    <w:bookmarkStart w:id="0" w:name="_Hlk63775048"/>
    <w:bookmarkEnd w:id="0"/>
    <w:p w:rsidR="008B2E28" w:rsidP="001F3363" w14:paraId="1815C0C8" w14:textId="21250BD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77777777">
      <w:pPr>
        <w:rPr>
          <w:rtl/>
        </w:rPr>
      </w:pP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1D23A822">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3064351</wp:posOffset>
                </wp:positionH>
                <wp:positionV relativeFrom="paragraph">
                  <wp:posOffset>264795</wp:posOffset>
                </wp:positionV>
                <wp:extent cx="0" cy="3607594"/>
                <wp:effectExtent l="25400" t="0" r="25400" b="2476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3607594"/>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mso-height-percent:0;mso-height-relative:margin;mso-width-percent:0;mso-width-relative:margin;mso-wrap-distance-bottom:0;mso-wrap-distance-left:9pt;mso-wrap-distance-right:9pt;mso-wrap-distance-top:0;mso-wrap-style:square;position:absolute;visibility:visible;z-index:251667456" from="241.3pt,20.85pt" to="241.3pt,304.9pt" strokecolor="white" strokeweight="4pt"/>
            </w:pict>
          </mc:Fallback>
        </mc:AlternateContent>
      </w: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318135</wp:posOffset>
                </wp:positionH>
                <wp:positionV relativeFrom="paragraph">
                  <wp:posOffset>2073434</wp:posOffset>
                </wp:positionV>
                <wp:extent cx="2621280" cy="0"/>
                <wp:effectExtent l="12700" t="12700" r="7620"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621280"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0" style="flip:x;mso-height-percent:0;mso-height-relative:margin;mso-width-percent:0;mso-width-relative:margin;mso-wrap-distance-bottom:0;mso-wrap-distance-left:9pt;mso-wrap-distance-right:9pt;mso-wrap-distance-top:0;mso-wrap-style:square;position:absolute;visibility:visible;z-index:251669504" from="25.05pt,163.25pt" to="231.45pt,163.25pt" strokecolor="white" strokeweight="1.5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663360" behindDoc="0" locked="0" layoutInCell="1" allowOverlap="1">
                <wp:simplePos x="0" y="0"/>
                <wp:positionH relativeFrom="column">
                  <wp:posOffset>109855</wp:posOffset>
                </wp:positionH>
                <wp:positionV relativeFrom="paragraph">
                  <wp:posOffset>335915</wp:posOffset>
                </wp:positionV>
                <wp:extent cx="4362450" cy="4273550"/>
                <wp:effectExtent l="0" t="0" r="6350" b="6350"/>
                <wp:wrapSquare wrapText="bothSides"/>
                <wp:docPr id="13"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62450"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8A71D4" w:rsidRPr="0052031E" w:rsidP="008A71D4" w14:textId="5CF29985">
                            <w:pPr>
                              <w:pStyle w:val="a33"/>
                              <w:bidi/>
                              <w:rPr>
                                <w:rtl/>
                              </w:rPr>
                            </w:pPr>
                            <w:r w:rsidRPr="002C2C27">
                              <w:rPr>
                                <w:rtl/>
                              </w:rPr>
                              <w:t xml:space="preserve">מבקר המדינה | היבטים בהתמודדות עם יוקר המחיה </w:t>
                            </w:r>
                            <w:r w:rsidRPr="0052031E">
                              <w:rPr>
                                <w:rtl/>
                              </w:rPr>
                              <w:t>|</w:t>
                            </w:r>
                            <w:r>
                              <w:rPr>
                                <w:rFonts w:hint="cs"/>
                                <w:rtl/>
                              </w:rPr>
                              <w:t xml:space="preserve"> </w:t>
                            </w:r>
                            <w:r w:rsidR="00406429">
                              <w:rPr>
                                <w:rFonts w:hint="cs"/>
                                <w:rtl/>
                              </w:rPr>
                              <w:t>טבת</w:t>
                            </w:r>
                            <w:r w:rsidRPr="00AF3B73" w:rsidR="00AF3B73">
                              <w:rPr>
                                <w:rtl/>
                              </w:rPr>
                              <w:t xml:space="preserve"> </w:t>
                            </w:r>
                            <w:r w:rsidRPr="00AF3B73" w:rsidR="00AF3B73">
                              <w:rPr>
                                <w:rtl/>
                              </w:rPr>
                              <w:t>התשפ"ד</w:t>
                            </w:r>
                            <w:r w:rsidR="00AF3B73">
                              <w:rPr>
                                <w:rFonts w:hint="cs"/>
                                <w:rtl/>
                              </w:rPr>
                              <w:t xml:space="preserve"> </w:t>
                            </w:r>
                            <w:r w:rsidRPr="0052031E">
                              <w:rPr>
                                <w:rtl/>
                              </w:rPr>
                              <w:t>|</w:t>
                            </w:r>
                            <w:r>
                              <w:rPr>
                                <w:rFonts w:hint="cs"/>
                                <w:rtl/>
                              </w:rPr>
                              <w:t xml:space="preserve"> </w:t>
                            </w:r>
                            <w:r w:rsidR="00406429">
                              <w:rPr>
                                <w:rFonts w:hint="cs"/>
                                <w:rtl/>
                              </w:rPr>
                              <w:t>ינואר</w:t>
                            </w:r>
                            <w:r>
                              <w:rPr>
                                <w:rFonts w:hint="cs"/>
                                <w:rtl/>
                              </w:rPr>
                              <w:t xml:space="preserve"> </w:t>
                            </w:r>
                            <w:r w:rsidR="00406429">
                              <w:rPr>
                                <w:rFonts w:hint="cs"/>
                                <w:rtl/>
                              </w:rPr>
                              <w:t>2024</w:t>
                            </w:r>
                            <w:r>
                              <w:rPr>
                                <w:rFonts w:hint="cs"/>
                                <w:rtl/>
                              </w:rPr>
                              <w:t xml:space="preserve"> </w:t>
                            </w:r>
                          </w:p>
                          <w:p w:rsidR="00F73EE0" w:rsidP="0052031E" w14:textId="4F5A48BD">
                            <w:pPr>
                              <w:ind w:left="2268"/>
                              <w:rPr>
                                <w:rtl/>
                              </w:rPr>
                            </w:pPr>
                          </w:p>
                          <w:p w:rsidR="00E56721" w:rsidP="0052031E" w14:textId="77777777">
                            <w:pPr>
                              <w:ind w:left="2268"/>
                              <w:rPr>
                                <w:rtl/>
                              </w:rPr>
                            </w:pPr>
                          </w:p>
                          <w:p w:rsidR="00F73EE0" w:rsidP="0052031E" w14:textId="77777777">
                            <w:pPr>
                              <w:ind w:left="2268"/>
                              <w:rPr>
                                <w:rtl/>
                              </w:rPr>
                            </w:pPr>
                          </w:p>
                          <w:p w:rsidR="005D0F8C" w:rsidRPr="000A3ED4" w:rsidP="000F5023" w14:textId="1C73DD96">
                            <w:pPr>
                              <w:pStyle w:val="-1"/>
                              <w:rPr>
                                <w:rtl/>
                              </w:rPr>
                            </w:pPr>
                            <w:r w:rsidRPr="00972295">
                              <w:rPr>
                                <w:rtl/>
                              </w:rPr>
                              <w:t>משרד האוצר ובנק ישראל</w:t>
                            </w:r>
                          </w:p>
                          <w:p w:rsidR="00F73EE0" w:rsidRPr="000F5023" w:rsidP="0072357A" w14:textId="6C8F5829">
                            <w:pPr>
                              <w:pStyle w:val="a32"/>
                              <w:bidi/>
                              <w:spacing w:before="120"/>
                              <w:rPr>
                                <w:rtl/>
                              </w:rPr>
                            </w:pPr>
                            <w:r w:rsidRPr="00DB5014">
                              <w:rPr>
                                <w:rtl/>
                              </w:rPr>
                              <w:t>היערכות להתפרצות אינפלציה</w:t>
                            </w:r>
                            <w:r>
                              <w:t xml:space="preserve"> </w:t>
                            </w:r>
                          </w:p>
                          <w:p w:rsidR="00C30482" w:rsidRPr="000F5023" w:rsidP="000F5023" w14:textId="77777777">
                            <w:pPr>
                              <w:pStyle w:val="a32"/>
                              <w:bidi/>
                              <w:rPr>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alt="&quot;&quot;" style="width:343.5pt;height:336.5pt;margin-top:26.45pt;margin-left:8.65pt;mso-height-percent:0;mso-height-relative:margin;mso-width-percent:0;mso-width-relative:margin;mso-wrap-distance-bottom:3.6pt;mso-wrap-distance-left:9pt;mso-wrap-distance-right:9pt;mso-wrap-distance-top:3.6pt;position:absolute;v-text-anchor:top;z-index:251662336" fillcolor="#00305f" stroked="f" strokeweight="0.75pt">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8A71D4" w:rsidRPr="0052031E" w:rsidP="008A71D4" w14:paraId="4D13BD96" w14:textId="5CF29985">
                      <w:pPr>
                        <w:pStyle w:val="a33"/>
                        <w:bidi/>
                        <w:rPr>
                          <w:rtl/>
                        </w:rPr>
                      </w:pPr>
                      <w:r w:rsidRPr="002C2C27">
                        <w:rPr>
                          <w:rtl/>
                        </w:rPr>
                        <w:t xml:space="preserve">מבקר המדינה | היבטים בהתמודדות עם יוקר המחיה </w:t>
                      </w:r>
                      <w:r w:rsidRPr="0052031E">
                        <w:rPr>
                          <w:rtl/>
                        </w:rPr>
                        <w:t>|</w:t>
                      </w:r>
                      <w:r>
                        <w:rPr>
                          <w:rFonts w:hint="cs"/>
                          <w:rtl/>
                        </w:rPr>
                        <w:t xml:space="preserve"> </w:t>
                      </w:r>
                      <w:r w:rsidR="00406429">
                        <w:rPr>
                          <w:rFonts w:hint="cs"/>
                          <w:rtl/>
                        </w:rPr>
                        <w:t>טבת</w:t>
                      </w:r>
                      <w:r w:rsidRPr="00AF3B73" w:rsidR="00AF3B73">
                        <w:rPr>
                          <w:rtl/>
                        </w:rPr>
                        <w:t xml:space="preserve"> </w:t>
                      </w:r>
                      <w:r w:rsidRPr="00AF3B73" w:rsidR="00AF3B73">
                        <w:rPr>
                          <w:rtl/>
                        </w:rPr>
                        <w:t>התשפ"ד</w:t>
                      </w:r>
                      <w:r w:rsidR="00AF3B73">
                        <w:rPr>
                          <w:rFonts w:hint="cs"/>
                          <w:rtl/>
                        </w:rPr>
                        <w:t xml:space="preserve"> </w:t>
                      </w:r>
                      <w:r w:rsidRPr="0052031E">
                        <w:rPr>
                          <w:rtl/>
                        </w:rPr>
                        <w:t>|</w:t>
                      </w:r>
                      <w:r>
                        <w:rPr>
                          <w:rFonts w:hint="cs"/>
                          <w:rtl/>
                        </w:rPr>
                        <w:t xml:space="preserve"> </w:t>
                      </w:r>
                      <w:r w:rsidR="00406429">
                        <w:rPr>
                          <w:rFonts w:hint="cs"/>
                          <w:rtl/>
                        </w:rPr>
                        <w:t>ינואר</w:t>
                      </w:r>
                      <w:r>
                        <w:rPr>
                          <w:rFonts w:hint="cs"/>
                          <w:rtl/>
                        </w:rPr>
                        <w:t xml:space="preserve"> </w:t>
                      </w:r>
                      <w:r w:rsidR="00406429">
                        <w:rPr>
                          <w:rFonts w:hint="cs"/>
                          <w:rtl/>
                        </w:rPr>
                        <w:t>2024</w:t>
                      </w:r>
                      <w:r>
                        <w:rPr>
                          <w:rFonts w:hint="cs"/>
                          <w:rtl/>
                        </w:rPr>
                        <w:t xml:space="preserve"> </w:t>
                      </w:r>
                    </w:p>
                    <w:p w:rsidR="00F73EE0" w:rsidP="0052031E" w14:paraId="7A4F68DA" w14:textId="4F5A48BD">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1C73DD96">
                      <w:pPr>
                        <w:pStyle w:val="-1"/>
                        <w:rPr>
                          <w:rtl/>
                        </w:rPr>
                      </w:pPr>
                      <w:r w:rsidRPr="00972295">
                        <w:rPr>
                          <w:rtl/>
                        </w:rPr>
                        <w:t>משרד האוצר ובנק ישראל</w:t>
                      </w:r>
                    </w:p>
                    <w:p w:rsidR="00F73EE0" w:rsidRPr="000F5023" w:rsidP="0072357A" w14:paraId="5464BE8D" w14:textId="6C8F5829">
                      <w:pPr>
                        <w:pStyle w:val="a32"/>
                        <w:bidi/>
                        <w:spacing w:before="120"/>
                        <w:rPr>
                          <w:rtl/>
                        </w:rPr>
                      </w:pPr>
                      <w:r w:rsidRPr="00DB5014">
                        <w:rPr>
                          <w:rtl/>
                        </w:rPr>
                        <w:t>היערכות להתפרצות אינפלציה</w:t>
                      </w:r>
                      <w:r>
                        <w:t xml:space="preserve"> </w:t>
                      </w:r>
                    </w:p>
                    <w:p w:rsidR="00C30482" w:rsidRPr="000F5023" w:rsidP="000F5023" w14:paraId="5BE5E625" w14:textId="77777777">
                      <w:pPr>
                        <w:pStyle w:val="a32"/>
                        <w:bidi/>
                        <w:rPr>
                          <w:rtl/>
                        </w:rPr>
                      </w:pP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6EAA7A53">
      <w:pPr>
        <w:spacing w:line="240" w:lineRule="atLeast"/>
        <w:jc w:val="center"/>
        <w:rPr>
          <w:rFonts w:ascii="Tahoma" w:hAnsi="Tahoma" w:cs="Tahoma"/>
          <w:sz w:val="22"/>
          <w:szCs w:val="22"/>
          <w:rtl/>
        </w:rPr>
      </w:pPr>
    </w:p>
    <w:p w:rsidR="00E35DF9" w:rsidRPr="00406E80" w:rsidP="008D2388" w14:paraId="5F398D7B" w14:textId="40000E46">
      <w:pPr>
        <w:spacing w:line="240" w:lineRule="atLeast"/>
        <w:jc w:val="center"/>
        <w:rPr>
          <w:rFonts w:ascii="Tahoma" w:hAnsi="Tahoma" w:cs="Tahoma"/>
          <w:color w:val="C6D9F1"/>
          <w:sz w:val="22"/>
          <w:szCs w:val="22"/>
          <w:rtl/>
        </w:rPr>
      </w:pPr>
    </w:p>
    <w:p w:rsidR="008C0B8B" w:rsidP="008D2388" w14:paraId="1D311F15" w14:textId="47FC2C8F">
      <w:pPr>
        <w:spacing w:line="240" w:lineRule="atLeast"/>
        <w:jc w:val="center"/>
        <w:rPr>
          <w:rFonts w:ascii="Tahoma" w:hAnsi="Tahoma" w:cs="Tahoma"/>
          <w:sz w:val="22"/>
          <w:szCs w:val="22"/>
          <w:rtl/>
        </w:rPr>
      </w:pPr>
    </w:p>
    <w:p w:rsidR="008C0B8B" w:rsidP="008D2388" w14:paraId="1AC7C61F" w14:textId="21BB7534">
      <w:pPr>
        <w:spacing w:line="240" w:lineRule="atLeast"/>
        <w:jc w:val="center"/>
        <w:rPr>
          <w:rFonts w:ascii="Tahoma" w:hAnsi="Tahoma" w:cs="Tahoma"/>
          <w:sz w:val="22"/>
          <w:szCs w:val="22"/>
          <w:rtl/>
        </w:rPr>
      </w:pPr>
    </w:p>
    <w:p w:rsidR="00E35DF9" w:rsidP="008D2388" w14:paraId="1081EBD1" w14:textId="4944B6D1">
      <w:pPr>
        <w:spacing w:line="240" w:lineRule="atLeast"/>
        <w:jc w:val="center"/>
        <w:rPr>
          <w:rFonts w:ascii="Tahoma" w:hAnsi="Tahoma" w:cs="Tahoma"/>
          <w:sz w:val="22"/>
          <w:szCs w:val="22"/>
          <w:rtl/>
        </w:rPr>
      </w:pP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14:paraId="67CE1943" w14:textId="0F8F3485">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0E64A1" w14:paraId="291315C1" w14:textId="514133F9">
      <w:pPr>
        <w:jc w:val="left"/>
        <w:rPr>
          <w:rFonts w:ascii="Tahoma" w:hAnsi="Tahoma" w:cs="Tahoma"/>
          <w:sz w:val="22"/>
          <w:szCs w:val="22"/>
          <w:rtl/>
        </w:rPr>
        <w:sectPr w:rsidSect="00DA022A">
          <w:headerReference w:type="even" r:id="rId18"/>
          <w:pgSz w:w="11906" w:h="16838" w:code="9"/>
          <w:pgMar w:top="3062" w:right="2268" w:bottom="2552" w:left="2268" w:header="709" w:footer="709" w:gutter="0"/>
          <w:pgNumType w:start="2"/>
          <w:cols w:space="720"/>
          <w:bidi/>
          <w:rtlGutter/>
          <w:docGrid w:linePitch="272"/>
        </w:sectPr>
      </w:pPr>
    </w:p>
    <w:p w:rsidR="00B93C72" w:rsidP="00AF3B73" w14:paraId="4ED3AA37" w14:textId="0F1D414A">
      <w:pPr>
        <w:pStyle w:val="7329"/>
        <w:spacing w:after="1080"/>
        <w:rPr>
          <w:rtl/>
        </w:rPr>
      </w:pPr>
      <w:r w:rsidRPr="00802F2E">
        <w:rPr>
          <w:noProof/>
          <w:rtl/>
        </w:rPr>
        <w:drawing>
          <wp:anchor distT="0" distB="0" distL="114300" distR="114300" simplePos="0" relativeHeight="251683840" behindDoc="0" locked="0" layoutInCell="1" allowOverlap="1">
            <wp:simplePos x="0" y="0"/>
            <wp:positionH relativeFrom="column">
              <wp:posOffset>3283339</wp:posOffset>
            </wp:positionH>
            <wp:positionV relativeFrom="paragraph">
              <wp:posOffset>615315</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802F2E" w:rsidR="007C7D40">
        <w:rPr>
          <w:noProof/>
          <w:rtl/>
        </w:rPr>
        <mc:AlternateContent>
          <mc:Choice Requires="wps">
            <w:drawing>
              <wp:anchor distT="0" distB="0" distL="114300" distR="114300" simplePos="0" relativeHeight="251674624" behindDoc="0" locked="0" layoutInCell="1" allowOverlap="1">
                <wp:simplePos x="0" y="0"/>
                <wp:positionH relativeFrom="column">
                  <wp:posOffset>-655320</wp:posOffset>
                </wp:positionH>
                <wp:positionV relativeFrom="paragraph">
                  <wp:posOffset>227330</wp:posOffset>
                </wp:positionV>
                <wp:extent cx="194310" cy="5666740"/>
                <wp:effectExtent l="0" t="0" r="0" b="0"/>
                <wp:wrapNone/>
                <wp:docPr id="21" name="Rectangle 2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flipV="1">
                          <a:off x="0" y="0"/>
                          <a:ext cx="194310" cy="566674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alt="&quot;&quot;" style="width:15.3pt;height:446.2pt;margin-top:17.9pt;margin-left:-51.6pt;flip:y;mso-height-percent:0;mso-height-relative:margin;mso-width-percent:0;mso-width-relative:margin;mso-wrap-distance-bottom:0;mso-wrap-distance-left:9pt;mso-wrap-distance-right:9pt;mso-wrap-distance-top:0;mso-wrap-style:square;position:absolute;visibility:visible;v-text-anchor:middle;z-index:251675648" fillcolor="#00305f" stroked="f" strokeweight="1.25pt"/>
            </w:pict>
          </mc:Fallback>
        </mc:AlternateContent>
      </w:r>
      <w:r w:rsidRPr="00DB5014" w:rsidR="00DB5014">
        <w:rPr>
          <w:noProof/>
          <w:rtl/>
        </w:rPr>
        <w:t>היערכות להתפרצות אינפלציה</w:t>
      </w:r>
      <w:r w:rsidR="00DB5014">
        <w:t xml:space="preserve"> </w:t>
      </w:r>
    </w:p>
    <w:p w:rsidR="007F4A20" w:rsidRPr="00F16A67" w:rsidP="00AF3B73" w14:paraId="0B41EED6" w14:textId="2D86FF73">
      <w:pPr>
        <w:pStyle w:val="7392"/>
        <w:rPr>
          <w:rtl/>
        </w:rPr>
      </w:pPr>
      <w:r w:rsidRPr="0014437A">
        <w:rPr>
          <w:rFonts w:hint="cs"/>
          <w:rtl/>
        </w:rPr>
        <w:t xml:space="preserve">אינפלציה היא עלייה כללית במחירי הסחורות והשירותים בכלכלה לאורך תקופה. אינפלציה גבוהה, המלֻווה באי-ודאות ובתנודתיות גדולה מן הרגיל של שינויי המחירים, פוגעת בפעילות הכלכלית ובצמיחה. </w:t>
      </w:r>
      <w:r w:rsidRPr="0014437A">
        <w:rPr>
          <w:rtl/>
        </w:rPr>
        <w:t xml:space="preserve">שנת 2022 התאפיינה בסביבת אינפלציה גבוהה ביחס לשנים </w:t>
      </w:r>
      <w:r w:rsidRPr="0014437A">
        <w:rPr>
          <w:rFonts w:hint="cs"/>
          <w:rtl/>
        </w:rPr>
        <w:t>שלפני</w:t>
      </w:r>
      <w:r w:rsidRPr="0014437A">
        <w:rPr>
          <w:rtl/>
        </w:rPr>
        <w:t>ה</w:t>
      </w:r>
      <w:r w:rsidRPr="0014437A">
        <w:rPr>
          <w:rFonts w:hint="cs"/>
          <w:rtl/>
        </w:rPr>
        <w:t>, וזאת כחלק ממגמה עולמית ש</w:t>
      </w:r>
      <w:r w:rsidRPr="0014437A">
        <w:rPr>
          <w:rFonts w:hint="eastAsia"/>
          <w:rtl/>
        </w:rPr>
        <w:t>הביאה</w:t>
      </w:r>
      <w:r w:rsidRPr="0014437A">
        <w:rPr>
          <w:rtl/>
        </w:rPr>
        <w:t xml:space="preserve"> </w:t>
      </w:r>
      <w:r w:rsidRPr="0014437A">
        <w:rPr>
          <w:rFonts w:hint="eastAsia"/>
          <w:rtl/>
        </w:rPr>
        <w:t>לחריגה</w:t>
      </w:r>
      <w:r w:rsidRPr="0014437A">
        <w:rPr>
          <w:rtl/>
        </w:rPr>
        <w:t xml:space="preserve"> </w:t>
      </w:r>
      <w:r w:rsidRPr="0014437A">
        <w:rPr>
          <w:rFonts w:hint="cs"/>
          <w:rtl/>
        </w:rPr>
        <w:t>נ</w:t>
      </w:r>
      <w:r w:rsidRPr="0014437A">
        <w:rPr>
          <w:rFonts w:hint="eastAsia"/>
          <w:rtl/>
        </w:rPr>
        <w:t>י</w:t>
      </w:r>
      <w:r w:rsidRPr="0014437A">
        <w:rPr>
          <w:rFonts w:hint="cs"/>
          <w:rtl/>
        </w:rPr>
        <w:t>כר</w:t>
      </w:r>
      <w:r w:rsidRPr="0014437A">
        <w:rPr>
          <w:rFonts w:hint="eastAsia"/>
          <w:rtl/>
        </w:rPr>
        <w:t>ת</w:t>
      </w:r>
      <w:r w:rsidRPr="0014437A">
        <w:rPr>
          <w:rtl/>
        </w:rPr>
        <w:t xml:space="preserve"> </w:t>
      </w:r>
      <w:r w:rsidRPr="0014437A">
        <w:rPr>
          <w:rFonts w:hint="eastAsia"/>
          <w:rtl/>
        </w:rPr>
        <w:t>מטווח</w:t>
      </w:r>
      <w:r w:rsidRPr="0014437A">
        <w:rPr>
          <w:rtl/>
        </w:rPr>
        <w:t xml:space="preserve"> </w:t>
      </w:r>
      <w:r w:rsidRPr="0014437A">
        <w:rPr>
          <w:rFonts w:hint="eastAsia"/>
          <w:rtl/>
        </w:rPr>
        <w:t>יעד</w:t>
      </w:r>
      <w:r w:rsidRPr="0014437A">
        <w:rPr>
          <w:rtl/>
        </w:rPr>
        <w:t xml:space="preserve"> </w:t>
      </w:r>
      <w:r w:rsidRPr="0014437A">
        <w:rPr>
          <w:rFonts w:hint="eastAsia"/>
          <w:rtl/>
        </w:rPr>
        <w:t>האינפלציה</w:t>
      </w:r>
      <w:r w:rsidRPr="0014437A">
        <w:rPr>
          <w:rFonts w:hint="cs"/>
          <w:rtl/>
        </w:rPr>
        <w:t xml:space="preserve"> שקבעה הממשלה. </w:t>
      </w:r>
      <w:r w:rsidRPr="0014437A">
        <w:rPr>
          <w:rtl/>
        </w:rPr>
        <w:t>שנת 2022 התאפיינה בסביבת אינפלציה</w:t>
      </w:r>
      <w:r w:rsidRPr="0014437A">
        <w:rPr>
          <w:rFonts w:hint="cs"/>
          <w:rtl/>
        </w:rPr>
        <w:t xml:space="preserve"> של 5.3%</w:t>
      </w:r>
      <w:r w:rsidRPr="0014437A">
        <w:rPr>
          <w:rtl/>
        </w:rPr>
        <w:t xml:space="preserve"> </w:t>
      </w:r>
      <w:r w:rsidRPr="0014437A">
        <w:rPr>
          <w:rFonts w:hint="cs"/>
          <w:rtl/>
        </w:rPr>
        <w:t>ה</w:t>
      </w:r>
      <w:r w:rsidRPr="0014437A">
        <w:rPr>
          <w:rtl/>
        </w:rPr>
        <w:t>גבוהה ביחס לשנים האחרונות</w:t>
      </w:r>
      <w:r w:rsidRPr="0014437A">
        <w:rPr>
          <w:rFonts w:hint="cs"/>
          <w:rtl/>
        </w:rPr>
        <w:t>, וזו הביאה לחריגה ניכרת מטווח יעד האינפלציה שקבעה הממשלה (1% - 3%), בדומה למגמה בכל העולם. יצוין כי שיעור האינפלציה בישראל בשנת 2022 (5.3%) היה נמוך במידה ניכרת משיעור האינפלציה שהיה קיים ברוב המדינות המפותחות באותה שנה</w:t>
      </w:r>
      <w:r w:rsidRPr="00F16A67" w:rsidR="0036097F">
        <w:rPr>
          <w:rFonts w:hint="cs"/>
          <w:rtl/>
        </w:rPr>
        <w:t>.</w:t>
      </w:r>
      <w:r w:rsidRPr="00F16A67" w:rsidR="00B61DE7">
        <w:rPr>
          <w:rtl/>
        </w:rPr>
        <w:t xml:space="preserve"> </w:t>
      </w:r>
    </w:p>
    <w:p w:rsidR="007F4A20" w14:paraId="37B9E65E" w14:textId="77777777">
      <w:pPr>
        <w:bidi w:val="0"/>
        <w:spacing w:after="200" w:line="276" w:lineRule="auto"/>
        <w:rPr>
          <w:rFonts w:ascii="Tahoma" w:hAnsi="Tahoma" w:cs="Tahoma"/>
          <w:color w:val="0D0D0D" w:themeColor="text1" w:themeTint="F2"/>
          <w:sz w:val="18"/>
          <w:szCs w:val="18"/>
          <w:rtl/>
        </w:rPr>
      </w:pPr>
      <w:r>
        <w:rPr>
          <w:rtl/>
        </w:rPr>
        <w:br w:type="page"/>
      </w:r>
    </w:p>
    <w:p w:rsidR="005D0F8C" w:rsidP="007F4A20" w14:paraId="087C7BAD" w14:textId="0A8743A0">
      <w:pPr>
        <w:pStyle w:val="7392"/>
        <w:spacing w:before="360"/>
        <w:rPr>
          <w:b/>
          <w:bCs/>
          <w:color w:val="00305F"/>
          <w:sz w:val="32"/>
          <w:szCs w:val="32"/>
          <w:rtl/>
        </w:rPr>
      </w:pPr>
      <w:r w:rsidRPr="001F3363">
        <w:rPr>
          <w:noProof/>
          <w:rtl/>
        </w:rPr>
        <w:drawing>
          <wp:anchor distT="0" distB="0" distL="114300" distR="114300" simplePos="0" relativeHeight="251676672"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P="007F4A20" w14:paraId="2AA141C4" w14:textId="77777777">
      <w:pPr>
        <w:pStyle w:val="100"/>
        <w:tabs>
          <w:tab w:val="center" w:pos="3685"/>
        </w:tabs>
        <w:spacing w:before="360" w:after="0" w:line="240" w:lineRule="exact"/>
        <w:rPr>
          <w:b/>
          <w:bCs/>
          <w:color w:val="00305F"/>
          <w:sz w:val="32"/>
          <w:szCs w:val="3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8"/>
        <w:gridCol w:w="277"/>
        <w:gridCol w:w="1415"/>
        <w:gridCol w:w="277"/>
        <w:gridCol w:w="1608"/>
        <w:gridCol w:w="277"/>
        <w:gridCol w:w="1888"/>
      </w:tblGrid>
      <w:tr w14:paraId="58B4726B" w14:textId="77777777" w:rsidTr="00DB50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32" w:type="pct"/>
            <w:tcBorders>
              <w:bottom w:val="single" w:sz="12" w:space="0" w:color="000000" w:themeColor="text1"/>
            </w:tcBorders>
            <w:vAlign w:val="bottom"/>
          </w:tcPr>
          <w:p w:rsidR="00DB5014" w:rsidRPr="00DB5014" w:rsidP="00DB5014" w14:paraId="23EB689E" w14:textId="3241DCA8">
            <w:pPr>
              <w:spacing w:after="60" w:line="240" w:lineRule="auto"/>
              <w:jc w:val="left"/>
              <w:rPr>
                <w:b/>
                <w:bCs/>
                <w:spacing w:val="-28"/>
                <w:rtl/>
              </w:rPr>
            </w:pPr>
            <w:r w:rsidRPr="00DB5014">
              <w:rPr>
                <w:rFonts w:ascii="Tahoma" w:hAnsi="Tahoma" w:eastAsiaTheme="minorEastAsia" w:cs="Tahoma" w:hint="cs"/>
                <w:b/>
                <w:bCs/>
                <w:color w:val="0D0D0D" w:themeColor="text1" w:themeTint="F2"/>
                <w:spacing w:val="-10"/>
                <w:sz w:val="36"/>
                <w:szCs w:val="36"/>
                <w:rtl/>
              </w:rPr>
              <w:t>5.3%</w:t>
            </w:r>
          </w:p>
        </w:tc>
        <w:tc>
          <w:tcPr>
            <w:tcW w:w="151" w:type="pct"/>
            <w:vAlign w:val="bottom"/>
          </w:tcPr>
          <w:p w:rsidR="00DB5014" w:rsidRPr="00DB5014" w:rsidP="00DB5014" w14:paraId="19192EA5" w14:textId="77777777">
            <w:pPr>
              <w:spacing w:before="120" w:after="60" w:line="240" w:lineRule="auto"/>
              <w:jc w:val="left"/>
              <w:rPr>
                <w:b/>
                <w:bCs/>
                <w:rtl/>
              </w:rPr>
            </w:pPr>
          </w:p>
        </w:tc>
        <w:tc>
          <w:tcPr>
            <w:tcW w:w="988" w:type="pct"/>
            <w:tcBorders>
              <w:bottom w:val="single" w:sz="12" w:space="0" w:color="000000" w:themeColor="text1"/>
            </w:tcBorders>
            <w:vAlign w:val="bottom"/>
          </w:tcPr>
          <w:p w:rsidR="00DB5014" w:rsidRPr="00C70325" w:rsidP="00DB5014" w14:paraId="761F4116" w14:textId="2EF35EB8">
            <w:pPr>
              <w:pStyle w:val="2021"/>
              <w:spacing w:before="0" w:after="60"/>
              <w:rPr>
                <w:spacing w:val="-38"/>
                <w:w w:val="95"/>
                <w:rtl/>
              </w:rPr>
            </w:pPr>
            <w:r w:rsidRPr="002C2C27">
              <w:rPr>
                <w:rFonts w:hint="cs"/>
                <w:spacing w:val="-54"/>
                <w:w w:val="95"/>
                <w:rtl/>
              </w:rPr>
              <w:t>1</w:t>
            </w:r>
            <w:r w:rsidRPr="002C2C27">
              <w:rPr>
                <w:rFonts w:hint="cs"/>
                <w:spacing w:val="-54"/>
                <w:w w:val="90"/>
                <w:rtl/>
              </w:rPr>
              <w:t>%</w:t>
            </w:r>
            <w:r w:rsidRPr="00C70325" w:rsidR="00C70325">
              <w:rPr>
                <w:rFonts w:hint="cs"/>
                <w:spacing w:val="-38"/>
                <w:w w:val="95"/>
                <w:sz w:val="26"/>
                <w:szCs w:val="26"/>
                <w:rtl/>
              </w:rPr>
              <w:t xml:space="preserve"> </w:t>
            </w:r>
            <w:r w:rsidRPr="00C70325">
              <w:rPr>
                <w:rFonts w:hint="cs"/>
                <w:spacing w:val="-38"/>
                <w:w w:val="95"/>
                <w:rtl/>
              </w:rPr>
              <w:t>-</w:t>
            </w:r>
            <w:r w:rsidRPr="00C70325" w:rsidR="00C70325">
              <w:rPr>
                <w:rFonts w:hint="cs"/>
                <w:spacing w:val="-38"/>
                <w:w w:val="95"/>
                <w:sz w:val="26"/>
                <w:szCs w:val="26"/>
                <w:rtl/>
              </w:rPr>
              <w:t xml:space="preserve"> </w:t>
            </w:r>
            <w:r w:rsidRPr="002C2C27">
              <w:rPr>
                <w:rFonts w:hint="cs"/>
                <w:spacing w:val="-28"/>
                <w:w w:val="95"/>
                <w:rtl/>
              </w:rPr>
              <w:t>3</w:t>
            </w:r>
            <w:r w:rsidRPr="002C2C27">
              <w:rPr>
                <w:rFonts w:hint="cs"/>
                <w:spacing w:val="-28"/>
                <w:w w:val="90"/>
                <w:rtl/>
              </w:rPr>
              <w:t>%</w:t>
            </w:r>
          </w:p>
        </w:tc>
        <w:tc>
          <w:tcPr>
            <w:tcW w:w="151" w:type="pct"/>
            <w:vAlign w:val="bottom"/>
          </w:tcPr>
          <w:p w:rsidR="00DB5014" w:rsidRPr="00DB5014" w:rsidP="00DB5014" w14:paraId="2810DE55" w14:textId="77777777">
            <w:pPr>
              <w:spacing w:before="120" w:after="60" w:line="240" w:lineRule="auto"/>
              <w:jc w:val="left"/>
              <w:rPr>
                <w:b/>
                <w:bCs/>
                <w:rtl/>
              </w:rPr>
            </w:pPr>
          </w:p>
        </w:tc>
        <w:tc>
          <w:tcPr>
            <w:tcW w:w="1119" w:type="pct"/>
            <w:tcBorders>
              <w:bottom w:val="single" w:sz="12" w:space="0" w:color="000000" w:themeColor="text1"/>
            </w:tcBorders>
            <w:vAlign w:val="bottom"/>
          </w:tcPr>
          <w:p w:rsidR="00DB5014" w:rsidRPr="00DB5014" w:rsidP="00DB5014" w14:paraId="2A2E27BD" w14:textId="35B9ED8D">
            <w:pPr>
              <w:pStyle w:val="2021"/>
              <w:spacing w:before="0" w:after="60"/>
              <w:rPr>
                <w:spacing w:val="-20"/>
                <w:sz w:val="24"/>
                <w:rtl/>
              </w:rPr>
            </w:pPr>
            <w:r w:rsidRPr="00DB5014">
              <w:rPr>
                <w:rFonts w:hint="cs"/>
                <w:spacing w:val="-10"/>
                <w:rtl/>
              </w:rPr>
              <w:t>4.5%</w:t>
            </w:r>
          </w:p>
        </w:tc>
        <w:tc>
          <w:tcPr>
            <w:tcW w:w="151" w:type="pct"/>
            <w:vAlign w:val="bottom"/>
          </w:tcPr>
          <w:p w:rsidR="00DB5014" w:rsidRPr="00DB5014" w:rsidP="00DB5014" w14:paraId="47B754BA" w14:textId="77777777">
            <w:pPr>
              <w:pStyle w:val="2021"/>
              <w:spacing w:before="0" w:after="60"/>
              <w:rPr>
                <w:spacing w:val="-10"/>
                <w:rtl/>
              </w:rPr>
            </w:pPr>
          </w:p>
        </w:tc>
        <w:tc>
          <w:tcPr>
            <w:tcW w:w="1308" w:type="pct"/>
            <w:tcBorders>
              <w:bottom w:val="single" w:sz="12" w:space="0" w:color="000000" w:themeColor="text1"/>
            </w:tcBorders>
            <w:vAlign w:val="bottom"/>
          </w:tcPr>
          <w:p w:rsidR="00DB5014" w:rsidRPr="00DB5014" w:rsidP="00DB5014" w14:paraId="5F3A3FF5" w14:textId="482D3505">
            <w:pPr>
              <w:pStyle w:val="2021"/>
              <w:spacing w:before="0" w:after="60"/>
              <w:rPr>
                <w:spacing w:val="-10"/>
                <w:rtl/>
              </w:rPr>
            </w:pPr>
            <w:r w:rsidRPr="00DB5014">
              <w:rPr>
                <w:rFonts w:hint="cs"/>
                <w:spacing w:val="-10"/>
                <w:rtl/>
              </w:rPr>
              <w:t xml:space="preserve">4.4% </w:t>
            </w:r>
            <w:r w:rsidRPr="00DB5014">
              <w:rPr>
                <w:rFonts w:hint="cs"/>
                <w:spacing w:val="-10"/>
                <w:sz w:val="26"/>
                <w:szCs w:val="26"/>
                <w:rtl/>
              </w:rPr>
              <w:t>(20.4 מיליארד ש"ח)</w:t>
            </w:r>
          </w:p>
        </w:tc>
      </w:tr>
      <w:tr w14:paraId="6DFAF81C" w14:textId="77777777" w:rsidTr="00DB5014">
        <w:tblPrEx>
          <w:tblW w:w="5000" w:type="pct"/>
          <w:tblLook w:val="04A0"/>
        </w:tblPrEx>
        <w:tc>
          <w:tcPr>
            <w:tcW w:w="1132" w:type="pct"/>
            <w:tcBorders>
              <w:top w:val="single" w:sz="12" w:space="0" w:color="000000" w:themeColor="text1"/>
            </w:tcBorders>
          </w:tcPr>
          <w:p w:rsidR="00DB5014" w:rsidRPr="00E52143" w:rsidP="00DB5014" w14:paraId="1D96599A" w14:textId="2439FD18">
            <w:pPr>
              <w:pStyle w:val="732021"/>
              <w:spacing w:before="0"/>
              <w:rPr>
                <w:rtl/>
              </w:rPr>
            </w:pPr>
            <w:r w:rsidRPr="0014437A">
              <w:rPr>
                <w:rFonts w:hint="cs"/>
                <w:rtl/>
              </w:rPr>
              <w:t>שיעור האינפלציה בפועל בישראל בשנת 2022 (לעומת 2.8% בשנת 2021)</w:t>
            </w:r>
          </w:p>
        </w:tc>
        <w:tc>
          <w:tcPr>
            <w:tcW w:w="151" w:type="pct"/>
          </w:tcPr>
          <w:p w:rsidR="00DB5014" w:rsidRPr="00E52143" w:rsidP="00DB5014" w14:paraId="2BF81D8C" w14:textId="77777777">
            <w:pPr>
              <w:pStyle w:val="732021"/>
              <w:spacing w:before="0"/>
              <w:rPr>
                <w:rtl/>
              </w:rPr>
            </w:pPr>
          </w:p>
        </w:tc>
        <w:tc>
          <w:tcPr>
            <w:tcW w:w="988" w:type="pct"/>
            <w:tcBorders>
              <w:top w:val="single" w:sz="12" w:space="0" w:color="000000" w:themeColor="text1"/>
            </w:tcBorders>
          </w:tcPr>
          <w:p w:rsidR="00DB5014" w:rsidRPr="00E52143" w:rsidP="002C2C27" w14:paraId="68924AF7" w14:textId="61253EFD">
            <w:pPr>
              <w:pStyle w:val="732021"/>
              <w:spacing w:before="0"/>
              <w:rPr>
                <w:rtl/>
              </w:rPr>
            </w:pPr>
            <w:r w:rsidRPr="0014437A">
              <w:rPr>
                <w:rFonts w:hint="cs"/>
                <w:rtl/>
              </w:rPr>
              <w:t xml:space="preserve">טווח יעד האינפלציה בישראל כפי שקבעה הממשלה משנת 2003 </w:t>
            </w:r>
          </w:p>
        </w:tc>
        <w:tc>
          <w:tcPr>
            <w:tcW w:w="151" w:type="pct"/>
          </w:tcPr>
          <w:p w:rsidR="00DB5014" w:rsidRPr="00E52143" w:rsidP="00DB5014" w14:paraId="4F52CE08" w14:textId="77777777">
            <w:pPr>
              <w:pStyle w:val="732021"/>
              <w:spacing w:before="0"/>
              <w:rPr>
                <w:rtl/>
              </w:rPr>
            </w:pPr>
          </w:p>
        </w:tc>
        <w:tc>
          <w:tcPr>
            <w:tcW w:w="1119" w:type="pct"/>
            <w:tcBorders>
              <w:top w:val="single" w:sz="12" w:space="0" w:color="000000" w:themeColor="text1"/>
            </w:tcBorders>
          </w:tcPr>
          <w:p w:rsidR="00DB5014" w:rsidRPr="00E52143" w:rsidP="00DB5014" w14:paraId="203F9568" w14:textId="0D819190">
            <w:pPr>
              <w:pStyle w:val="732021"/>
              <w:spacing w:before="0"/>
              <w:rPr>
                <w:rtl/>
              </w:rPr>
            </w:pPr>
            <w:r w:rsidRPr="0014437A">
              <w:rPr>
                <w:rFonts w:hint="cs"/>
                <w:rtl/>
              </w:rPr>
              <w:t>שיעור הריבית הבסיסית של בנק ישראל באפריל 2023 (לעומת 0.1% בתחילת שנת 2022)</w:t>
            </w:r>
          </w:p>
        </w:tc>
        <w:tc>
          <w:tcPr>
            <w:tcW w:w="151" w:type="pct"/>
          </w:tcPr>
          <w:p w:rsidR="00DB5014" w:rsidRPr="00E52143" w:rsidP="00DB5014" w14:paraId="42538096" w14:textId="77777777">
            <w:pPr>
              <w:pStyle w:val="732021"/>
              <w:spacing w:before="0"/>
              <w:rPr>
                <w:rtl/>
              </w:rPr>
            </w:pPr>
          </w:p>
        </w:tc>
        <w:tc>
          <w:tcPr>
            <w:tcW w:w="1308" w:type="pct"/>
            <w:tcBorders>
              <w:top w:val="single" w:sz="12" w:space="0" w:color="000000" w:themeColor="text1"/>
            </w:tcBorders>
          </w:tcPr>
          <w:p w:rsidR="00DB5014" w:rsidP="00DB5014" w14:paraId="744FB57E" w14:textId="77777777">
            <w:pPr>
              <w:pStyle w:val="732021"/>
              <w:spacing w:before="0"/>
            </w:pPr>
            <w:r w:rsidRPr="0014437A">
              <w:rPr>
                <w:rFonts w:hint="cs"/>
                <w:rtl/>
              </w:rPr>
              <w:t>שיעור ההצמדה של סכום ההוצאה הממשלתית בתקציב המדינה</w:t>
            </w:r>
            <w:r w:rsidRPr="0014437A">
              <w:rPr>
                <w:rtl/>
              </w:rPr>
              <w:t xml:space="preserve"> </w:t>
            </w:r>
            <w:r w:rsidRPr="0014437A">
              <w:rPr>
                <w:rFonts w:hint="cs"/>
                <w:rtl/>
              </w:rPr>
              <w:t xml:space="preserve">משנת 2022 </w:t>
            </w:r>
            <w:r w:rsidRPr="0014437A">
              <w:rPr>
                <w:rtl/>
              </w:rPr>
              <w:t>לשנת 2023</w:t>
            </w:r>
            <w:r w:rsidRPr="0014437A">
              <w:rPr>
                <w:rFonts w:hint="cs"/>
                <w:rtl/>
              </w:rPr>
              <w:t>, שנקבע בהתאם</w:t>
            </w:r>
            <w:r w:rsidRPr="0014437A">
              <w:rPr>
                <w:rtl/>
              </w:rPr>
              <w:t xml:space="preserve"> </w:t>
            </w:r>
            <w:r w:rsidRPr="0014437A">
              <w:rPr>
                <w:rFonts w:hint="cs"/>
                <w:rtl/>
              </w:rPr>
              <w:t>ל</w:t>
            </w:r>
            <w:r w:rsidRPr="0014437A">
              <w:rPr>
                <w:rtl/>
              </w:rPr>
              <w:t xml:space="preserve">ממוצע שיעורי </w:t>
            </w:r>
            <w:r w:rsidRPr="0014437A">
              <w:rPr>
                <w:rFonts w:hint="cs"/>
                <w:rtl/>
              </w:rPr>
              <w:t>השינוי של המדד</w:t>
            </w:r>
            <w:r w:rsidRPr="0014437A">
              <w:rPr>
                <w:rtl/>
              </w:rPr>
              <w:t xml:space="preserve"> </w:t>
            </w:r>
            <w:r w:rsidRPr="0014437A">
              <w:rPr>
                <w:rFonts w:hint="cs"/>
                <w:rtl/>
              </w:rPr>
              <w:t>ב</w:t>
            </w:r>
            <w:r w:rsidRPr="0014437A">
              <w:rPr>
                <w:rtl/>
              </w:rPr>
              <w:t>שנת 2022</w:t>
            </w:r>
            <w:r w:rsidRPr="0014437A">
              <w:rPr>
                <w:rFonts w:hint="cs"/>
                <w:rtl/>
              </w:rPr>
              <w:t xml:space="preserve"> </w:t>
            </w:r>
          </w:p>
          <w:p w:rsidR="00DB5014" w:rsidRPr="00E52143" w:rsidP="00DB5014" w14:paraId="1878D11D" w14:textId="7EC2BD1F">
            <w:pPr>
              <w:pStyle w:val="732021"/>
              <w:spacing w:before="0"/>
              <w:rPr>
                <w:rtl/>
              </w:rPr>
            </w:pPr>
          </w:p>
        </w:tc>
      </w:tr>
      <w:tr w14:paraId="1BD5A20C" w14:textId="77777777" w:rsidTr="00DB5014">
        <w:tblPrEx>
          <w:tblW w:w="5000" w:type="pct"/>
          <w:tblLook w:val="04A0"/>
        </w:tblPrEx>
        <w:tc>
          <w:tcPr>
            <w:tcW w:w="1132" w:type="pct"/>
            <w:tcBorders>
              <w:bottom w:val="single" w:sz="12" w:space="0" w:color="000000" w:themeColor="text1"/>
            </w:tcBorders>
            <w:vAlign w:val="bottom"/>
          </w:tcPr>
          <w:p w:rsidR="00DB5014" w:rsidRPr="00DB5014" w:rsidP="00DB5014" w14:paraId="500D3B50" w14:textId="26EE3646">
            <w:pPr>
              <w:spacing w:after="60" w:line="240" w:lineRule="auto"/>
              <w:jc w:val="left"/>
              <w:rPr>
                <w:rFonts w:ascii="Tahoma" w:hAnsi="Tahoma" w:eastAsiaTheme="minorEastAsia" w:cs="Tahoma"/>
                <w:b/>
                <w:bCs/>
                <w:color w:val="0D0D0D" w:themeColor="text1" w:themeTint="F2"/>
                <w:spacing w:val="-10"/>
                <w:sz w:val="36"/>
                <w:szCs w:val="36"/>
                <w:rtl/>
              </w:rPr>
            </w:pPr>
            <w:r w:rsidRPr="00DB5014">
              <w:rPr>
                <w:rFonts w:ascii="Tahoma" w:hAnsi="Tahoma" w:eastAsiaTheme="minorEastAsia" w:cs="Tahoma" w:hint="cs"/>
                <w:b/>
                <w:bCs/>
                <w:color w:val="0D0D0D" w:themeColor="text1" w:themeTint="F2"/>
                <w:spacing w:val="-10"/>
                <w:sz w:val="36"/>
                <w:szCs w:val="36"/>
                <w:rtl/>
              </w:rPr>
              <w:t>3.36%</w:t>
            </w:r>
          </w:p>
        </w:tc>
        <w:tc>
          <w:tcPr>
            <w:tcW w:w="151" w:type="pct"/>
            <w:vAlign w:val="bottom"/>
          </w:tcPr>
          <w:p w:rsidR="00DB5014" w:rsidRPr="00DB5014" w:rsidP="00DB5014" w14:paraId="26A950B1" w14:textId="77777777">
            <w:pPr>
              <w:spacing w:after="60"/>
              <w:jc w:val="left"/>
              <w:rPr>
                <w:rFonts w:ascii="Tahoma" w:hAnsi="Tahoma" w:eastAsiaTheme="minorEastAsia" w:cs="Tahoma"/>
                <w:b/>
                <w:bCs/>
                <w:color w:val="0D0D0D" w:themeColor="text1" w:themeTint="F2"/>
                <w:spacing w:val="-10"/>
                <w:sz w:val="36"/>
                <w:szCs w:val="36"/>
                <w:rtl/>
              </w:rPr>
            </w:pPr>
          </w:p>
        </w:tc>
        <w:tc>
          <w:tcPr>
            <w:tcW w:w="988" w:type="pct"/>
            <w:tcBorders>
              <w:bottom w:val="single" w:sz="12" w:space="0" w:color="000000" w:themeColor="text1"/>
            </w:tcBorders>
            <w:vAlign w:val="bottom"/>
          </w:tcPr>
          <w:p w:rsidR="00DB5014" w:rsidRPr="00DB5014" w:rsidP="00DB5014" w14:paraId="48896DF7" w14:textId="1E9F3511">
            <w:pPr>
              <w:pStyle w:val="2021"/>
              <w:spacing w:before="0" w:after="60"/>
              <w:rPr>
                <w:spacing w:val="-10"/>
                <w:rtl/>
              </w:rPr>
            </w:pPr>
            <w:r w:rsidRPr="00DB5014">
              <w:rPr>
                <w:rFonts w:hint="cs"/>
                <w:spacing w:val="-10"/>
                <w:rtl/>
              </w:rPr>
              <w:t>60%</w:t>
            </w:r>
          </w:p>
        </w:tc>
        <w:tc>
          <w:tcPr>
            <w:tcW w:w="151" w:type="pct"/>
            <w:vAlign w:val="bottom"/>
          </w:tcPr>
          <w:p w:rsidR="00DB5014" w:rsidRPr="00DB5014" w:rsidP="00DB5014" w14:paraId="5B4C8A80" w14:textId="77777777">
            <w:pPr>
              <w:spacing w:after="60" w:line="240" w:lineRule="auto"/>
              <w:jc w:val="left"/>
              <w:rPr>
                <w:b/>
                <w:bCs/>
                <w:rtl/>
              </w:rPr>
            </w:pPr>
          </w:p>
        </w:tc>
        <w:tc>
          <w:tcPr>
            <w:tcW w:w="1119" w:type="pct"/>
            <w:tcBorders>
              <w:bottom w:val="single" w:sz="12" w:space="0" w:color="000000" w:themeColor="text1"/>
            </w:tcBorders>
            <w:vAlign w:val="bottom"/>
          </w:tcPr>
          <w:p w:rsidR="00DB5014" w:rsidRPr="00DB5014" w:rsidP="00DB5014" w14:paraId="226A2E50" w14:textId="74DE8231">
            <w:pPr>
              <w:spacing w:after="60" w:line="192" w:lineRule="auto"/>
              <w:jc w:val="left"/>
              <w:rPr>
                <w:rFonts w:ascii="Tahoma" w:hAnsi="Tahoma" w:eastAsiaTheme="minorEastAsia" w:cs="Tahoma"/>
                <w:b/>
                <w:bCs/>
                <w:color w:val="0D0D0D" w:themeColor="text1" w:themeTint="F2"/>
                <w:spacing w:val="-10"/>
                <w:sz w:val="36"/>
                <w:szCs w:val="36"/>
                <w:rtl/>
              </w:rPr>
            </w:pPr>
            <w:r w:rsidRPr="00DB5014">
              <w:rPr>
                <w:rFonts w:ascii="Tahoma" w:hAnsi="Tahoma" w:eastAsiaTheme="minorEastAsia" w:cs="Tahoma" w:hint="cs"/>
                <w:b/>
                <w:bCs/>
                <w:color w:val="0D0D0D" w:themeColor="text1" w:themeTint="F2"/>
                <w:spacing w:val="-10"/>
                <w:sz w:val="36"/>
                <w:szCs w:val="36"/>
                <w:rtl/>
              </w:rPr>
              <w:t xml:space="preserve">52% </w:t>
            </w:r>
            <w:r>
              <w:rPr>
                <w:rFonts w:ascii="Tahoma" w:hAnsi="Tahoma" w:eastAsiaTheme="minorEastAsia" w:cs="Tahoma"/>
                <w:b/>
                <w:bCs/>
                <w:color w:val="0D0D0D" w:themeColor="text1" w:themeTint="F2"/>
                <w:spacing w:val="-10"/>
                <w:sz w:val="26"/>
                <w:szCs w:val="26"/>
              </w:rPr>
              <w:br/>
            </w:r>
            <w:r w:rsidRPr="00DB5014">
              <w:rPr>
                <w:rFonts w:ascii="Tahoma" w:hAnsi="Tahoma" w:eastAsiaTheme="minorEastAsia" w:cs="Tahoma" w:hint="cs"/>
                <w:b/>
                <w:bCs/>
                <w:color w:val="0D0D0D" w:themeColor="text1" w:themeTint="F2"/>
                <w:spacing w:val="-10"/>
                <w:sz w:val="26"/>
                <w:szCs w:val="26"/>
                <w:rtl/>
              </w:rPr>
              <w:t>(כ-530 מיליארד ש"ח)</w:t>
            </w:r>
          </w:p>
        </w:tc>
        <w:tc>
          <w:tcPr>
            <w:tcW w:w="151" w:type="pct"/>
            <w:vAlign w:val="bottom"/>
          </w:tcPr>
          <w:p w:rsidR="00DB5014" w:rsidRPr="00DB5014" w:rsidP="00DB5014" w14:paraId="5E7F766C" w14:textId="77777777">
            <w:pPr>
              <w:spacing w:after="60" w:line="240" w:lineRule="auto"/>
              <w:jc w:val="left"/>
              <w:rPr>
                <w:rFonts w:ascii="Tahoma" w:hAnsi="Tahoma" w:eastAsiaTheme="minorEastAsia" w:cs="Tahoma"/>
                <w:b/>
                <w:bCs/>
                <w:color w:val="0D0D0D" w:themeColor="text1" w:themeTint="F2"/>
                <w:spacing w:val="-10"/>
                <w:sz w:val="36"/>
                <w:szCs w:val="36"/>
                <w:rtl/>
              </w:rPr>
            </w:pPr>
          </w:p>
        </w:tc>
        <w:tc>
          <w:tcPr>
            <w:tcW w:w="1308" w:type="pct"/>
            <w:tcBorders>
              <w:bottom w:val="single" w:sz="12" w:space="0" w:color="000000" w:themeColor="text1"/>
            </w:tcBorders>
            <w:vAlign w:val="bottom"/>
          </w:tcPr>
          <w:p w:rsidR="00DB5014" w:rsidRPr="00DB5014" w:rsidP="00DB5014" w14:paraId="5AEEF263" w14:textId="45CC17EA">
            <w:pPr>
              <w:spacing w:after="60" w:line="240" w:lineRule="auto"/>
              <w:jc w:val="left"/>
              <w:rPr>
                <w:rFonts w:ascii="Tahoma" w:hAnsi="Tahoma" w:eastAsiaTheme="minorEastAsia" w:cs="Tahoma"/>
                <w:b/>
                <w:bCs/>
                <w:color w:val="0D0D0D" w:themeColor="text1" w:themeTint="F2"/>
                <w:spacing w:val="-10"/>
                <w:sz w:val="36"/>
                <w:szCs w:val="36"/>
                <w:rtl/>
              </w:rPr>
            </w:pPr>
            <w:r w:rsidRPr="00DB5014">
              <w:rPr>
                <w:rFonts w:ascii="Tahoma" w:hAnsi="Tahoma" w:eastAsiaTheme="minorEastAsia" w:cs="Tahoma" w:hint="cs"/>
                <w:b/>
                <w:bCs/>
                <w:color w:val="0D0D0D" w:themeColor="text1" w:themeTint="F2"/>
                <w:spacing w:val="-10"/>
                <w:sz w:val="36"/>
                <w:szCs w:val="36"/>
                <w:rtl/>
              </w:rPr>
              <w:t>13.5%</w:t>
            </w:r>
            <w:r>
              <w:rPr>
                <w:rFonts w:ascii="Tahoma" w:hAnsi="Tahoma" w:eastAsiaTheme="minorEastAsia" w:cs="Tahoma"/>
                <w:b/>
                <w:bCs/>
                <w:color w:val="0D0D0D" w:themeColor="text1" w:themeTint="F2"/>
                <w:spacing w:val="-10"/>
                <w:sz w:val="36"/>
                <w:szCs w:val="36"/>
              </w:rPr>
              <w:t xml:space="preserve"> </w:t>
            </w:r>
            <w:r>
              <w:rPr>
                <w:rFonts w:ascii="Tahoma" w:hAnsi="Tahoma" w:eastAsiaTheme="minorEastAsia" w:cs="Tahoma"/>
                <w:b/>
                <w:bCs/>
                <w:color w:val="0D0D0D" w:themeColor="text1" w:themeTint="F2"/>
                <w:spacing w:val="-10"/>
                <w:sz w:val="26"/>
                <w:szCs w:val="26"/>
              </w:rPr>
              <w:br/>
            </w:r>
            <w:r w:rsidRPr="00760E78">
              <w:rPr>
                <w:rFonts w:ascii="Tahoma" w:hAnsi="Tahoma" w:eastAsiaTheme="minorEastAsia" w:cs="Tahoma" w:hint="cs"/>
                <w:b/>
                <w:bCs/>
                <w:color w:val="0D0D0D" w:themeColor="text1" w:themeTint="F2"/>
                <w:spacing w:val="-12"/>
                <w:w w:val="99"/>
                <w:sz w:val="26"/>
                <w:szCs w:val="26"/>
                <w:rtl/>
              </w:rPr>
              <w:t>(כ-60 מיליארד ש"ח)</w:t>
            </w:r>
          </w:p>
        </w:tc>
      </w:tr>
      <w:tr w14:paraId="54154FA5" w14:textId="77777777" w:rsidTr="00DB5014">
        <w:tblPrEx>
          <w:tblW w:w="5000" w:type="pct"/>
          <w:tblLook w:val="04A0"/>
        </w:tblPrEx>
        <w:tc>
          <w:tcPr>
            <w:tcW w:w="1132" w:type="pct"/>
            <w:tcBorders>
              <w:top w:val="single" w:sz="12" w:space="0" w:color="000000" w:themeColor="text1"/>
            </w:tcBorders>
          </w:tcPr>
          <w:p w:rsidR="00DB5014" w:rsidRPr="0014437A" w:rsidP="00DB5014" w14:paraId="225AB706" w14:textId="77777777">
            <w:pPr>
              <w:pStyle w:val="732021"/>
              <w:spacing w:before="0"/>
              <w:rPr>
                <w:rtl/>
              </w:rPr>
            </w:pPr>
            <w:r w:rsidRPr="0014437A">
              <w:rPr>
                <w:rFonts w:hint="cs"/>
                <w:rtl/>
              </w:rPr>
              <w:t>פער הריבית</w:t>
            </w:r>
            <w:r>
              <w:rPr>
                <w:vertAlign w:val="superscript"/>
                <w:rtl/>
              </w:rPr>
              <w:footnoteReference w:id="2"/>
            </w:r>
            <w:r w:rsidRPr="0014437A">
              <w:rPr>
                <w:rFonts w:hint="cs"/>
                <w:rtl/>
              </w:rPr>
              <w:t xml:space="preserve"> במערכת הבנקאית נכון לספטמבר 2022 (לעומת 3.20% בדצמבר 2021)</w:t>
            </w:r>
          </w:p>
          <w:p w:rsidR="00DB5014" w:rsidRPr="004562F8" w:rsidP="00DB5014" w14:paraId="6DB67748" w14:textId="0E60604A">
            <w:pPr>
              <w:pStyle w:val="732021"/>
              <w:spacing w:before="0" w:after="0"/>
              <w:rPr>
                <w:rtl/>
              </w:rPr>
            </w:pPr>
          </w:p>
        </w:tc>
        <w:tc>
          <w:tcPr>
            <w:tcW w:w="151" w:type="pct"/>
          </w:tcPr>
          <w:p w:rsidR="00DB5014" w:rsidRPr="008D750B" w:rsidP="00DB5014" w14:paraId="0C0AE598" w14:textId="77777777">
            <w:pPr>
              <w:pStyle w:val="732021"/>
              <w:spacing w:before="0" w:after="0"/>
              <w:rPr>
                <w:rtl/>
              </w:rPr>
            </w:pPr>
          </w:p>
        </w:tc>
        <w:tc>
          <w:tcPr>
            <w:tcW w:w="988" w:type="pct"/>
            <w:tcBorders>
              <w:top w:val="single" w:sz="12" w:space="0" w:color="000000" w:themeColor="text1"/>
            </w:tcBorders>
          </w:tcPr>
          <w:p w:rsidR="00DB5014" w:rsidRPr="0014437A" w:rsidP="00DB5014" w14:paraId="3E3F61AA" w14:textId="77777777">
            <w:pPr>
              <w:pStyle w:val="732021"/>
              <w:spacing w:before="0"/>
              <w:rPr>
                <w:rtl/>
              </w:rPr>
            </w:pPr>
            <w:r w:rsidRPr="0014437A">
              <w:rPr>
                <w:rFonts w:hint="cs"/>
                <w:rtl/>
              </w:rPr>
              <w:t>שיעור התמסורת</w:t>
            </w:r>
            <w:r>
              <w:rPr>
                <w:vertAlign w:val="superscript"/>
                <w:rtl/>
              </w:rPr>
              <w:footnoteReference w:id="3"/>
            </w:r>
            <w:r>
              <w:rPr>
                <w:rFonts w:hint="cs"/>
                <w:rtl/>
              </w:rPr>
              <w:t xml:space="preserve"> </w:t>
            </w:r>
            <w:r w:rsidRPr="0014437A">
              <w:rPr>
                <w:rFonts w:hint="cs"/>
                <w:rtl/>
              </w:rPr>
              <w:t>שבין הריבית הבסיסית של בנק ישראל לריבית על פיקדונות הציבור, נכון לאוגוסט 2022</w:t>
            </w:r>
          </w:p>
          <w:p w:rsidR="00DB5014" w:rsidRPr="004562F8" w:rsidP="00DB5014" w14:paraId="1916A301" w14:textId="71EA22A1">
            <w:pPr>
              <w:pStyle w:val="732021"/>
              <w:spacing w:before="0" w:after="0"/>
              <w:rPr>
                <w:rtl/>
              </w:rPr>
            </w:pPr>
          </w:p>
        </w:tc>
        <w:tc>
          <w:tcPr>
            <w:tcW w:w="151" w:type="pct"/>
          </w:tcPr>
          <w:p w:rsidR="00DB5014" w:rsidP="00DB5014" w14:paraId="14782C57" w14:textId="77777777">
            <w:pPr>
              <w:pStyle w:val="732021"/>
              <w:spacing w:before="0" w:after="0"/>
              <w:rPr>
                <w:rtl/>
              </w:rPr>
            </w:pPr>
          </w:p>
        </w:tc>
        <w:tc>
          <w:tcPr>
            <w:tcW w:w="1119" w:type="pct"/>
            <w:tcBorders>
              <w:top w:val="single" w:sz="12" w:space="0" w:color="000000" w:themeColor="text1"/>
            </w:tcBorders>
          </w:tcPr>
          <w:p w:rsidR="00DB5014" w:rsidRPr="0062456C" w:rsidP="00DB5014" w14:paraId="6149CA50" w14:textId="31DDAF3A">
            <w:pPr>
              <w:pStyle w:val="732021"/>
              <w:spacing w:before="0" w:after="0"/>
              <w:rPr>
                <w:rtl/>
              </w:rPr>
            </w:pPr>
            <w:r w:rsidRPr="0014437A">
              <w:rPr>
                <w:rFonts w:hint="cs"/>
                <w:rtl/>
              </w:rPr>
              <w:t xml:space="preserve">מהחוב הממשלתי צמוד למדד. </w:t>
            </w:r>
            <w:r w:rsidRPr="0014437A">
              <w:rPr>
                <w:rtl/>
              </w:rPr>
              <w:t>עלייה של 1% במדד צפויה להגדיל את מלאי החוב בכ-5.</w:t>
            </w:r>
            <w:r w:rsidRPr="0014437A">
              <w:rPr>
                <w:rFonts w:hint="cs"/>
                <w:rtl/>
              </w:rPr>
              <w:t>7</w:t>
            </w:r>
            <w:r w:rsidRPr="0014437A">
              <w:rPr>
                <w:rtl/>
              </w:rPr>
              <w:t xml:space="preserve"> מיליארד </w:t>
            </w:r>
            <w:r w:rsidRPr="0014437A">
              <w:rPr>
                <w:rFonts w:hint="eastAsia"/>
                <w:rtl/>
              </w:rPr>
              <w:t>ש</w:t>
            </w:r>
            <w:r w:rsidRPr="0014437A">
              <w:rPr>
                <w:rtl/>
              </w:rPr>
              <w:t>"ח</w:t>
            </w:r>
            <w:r w:rsidRPr="0014437A">
              <w:rPr>
                <w:rFonts w:hint="cs"/>
                <w:rtl/>
              </w:rPr>
              <w:t xml:space="preserve">, ואת הוצאות הריבית והקרן השנתיות </w:t>
            </w:r>
            <w:r w:rsidRPr="0014437A">
              <w:rPr>
                <w:rtl/>
              </w:rPr>
              <w:br/>
            </w:r>
            <w:r w:rsidRPr="0014437A">
              <w:rPr>
                <w:rFonts w:hint="cs"/>
                <w:rtl/>
              </w:rPr>
              <w:t>בכ-460 מיליוני ש"ח</w:t>
            </w:r>
          </w:p>
        </w:tc>
        <w:tc>
          <w:tcPr>
            <w:tcW w:w="151" w:type="pct"/>
          </w:tcPr>
          <w:p w:rsidR="00DB5014" w:rsidRPr="00C92141" w:rsidP="00DB5014" w14:paraId="66E34E8E" w14:textId="77777777">
            <w:pPr>
              <w:pStyle w:val="732021"/>
              <w:spacing w:before="0" w:after="0"/>
              <w:rPr>
                <w:rtl/>
              </w:rPr>
            </w:pPr>
          </w:p>
        </w:tc>
        <w:tc>
          <w:tcPr>
            <w:tcW w:w="1308" w:type="pct"/>
            <w:tcBorders>
              <w:top w:val="single" w:sz="12" w:space="0" w:color="000000" w:themeColor="text1"/>
            </w:tcBorders>
          </w:tcPr>
          <w:p w:rsidR="00DB5014" w:rsidRPr="0014437A" w:rsidP="00DB5014" w14:paraId="02BE137D" w14:textId="77777777">
            <w:pPr>
              <w:pStyle w:val="732021"/>
              <w:spacing w:before="0"/>
              <w:rPr>
                <w:rtl/>
              </w:rPr>
            </w:pPr>
            <w:r w:rsidRPr="0014437A">
              <w:rPr>
                <w:rFonts w:hint="cs"/>
                <w:rtl/>
              </w:rPr>
              <w:t>שיעור הגידול הצפוי בסכום ההוצאה הממשלתית בתקציב הדו-שנתי לשנים 2023 - 2024</w:t>
            </w:r>
            <w:r>
              <w:rPr>
                <w:vertAlign w:val="superscript"/>
                <w:rtl/>
              </w:rPr>
              <w:footnoteReference w:id="4"/>
            </w:r>
            <w:r w:rsidRPr="0014437A">
              <w:rPr>
                <w:rFonts w:hint="cs"/>
                <w:rtl/>
              </w:rPr>
              <w:t>. גידול זה הוא שיעור הגידול הגבוה ביותר זה כעשור</w:t>
            </w:r>
          </w:p>
          <w:p w:rsidR="00DB5014" w:rsidRPr="00C92141" w:rsidP="00DB5014" w14:paraId="39498237" w14:textId="2098032A">
            <w:pPr>
              <w:pStyle w:val="732021"/>
              <w:spacing w:before="0" w:after="0"/>
              <w:rPr>
                <w:rtl/>
              </w:rPr>
            </w:pPr>
          </w:p>
        </w:tc>
      </w:tr>
    </w:tbl>
    <w:p w:rsidR="00420374" w:rsidP="00420374" w14:paraId="509D5AB6" w14:textId="77777777">
      <w:pPr>
        <w:pStyle w:val="7317"/>
        <w:spacing w:after="0"/>
        <w:rPr>
          <w:sz w:val="10"/>
          <w:szCs w:val="10"/>
          <w:rtl/>
        </w:rPr>
      </w:pPr>
    </w:p>
    <w:p w:rsidR="00420374" w:rsidRPr="00C62692" w:rsidP="00420374" w14:paraId="3FADD5EE" w14:textId="77777777">
      <w:pPr>
        <w:pStyle w:val="73"/>
        <w:rPr>
          <w:rtl/>
        </w:rPr>
      </w:pPr>
      <w:r w:rsidRPr="00C62692">
        <w:rPr>
          <w:rtl/>
        </w:rPr>
        <w:t>פעולות הביקורת</w:t>
      </w:r>
    </w:p>
    <w:p w:rsidR="00EB672B" w:rsidP="00EB672B" w14:paraId="21608E70" w14:textId="63D71F7C">
      <w:pPr>
        <w:pStyle w:val="7317"/>
        <w:rPr>
          <w:rtl/>
        </w:rPr>
      </w:pPr>
      <w:r w:rsidRPr="001F3363">
        <w:rPr>
          <w:noProof/>
        </w:rPr>
        <w:drawing>
          <wp:anchor distT="0" distB="0" distL="114300" distR="114300" simplePos="0" relativeHeight="251682816" behindDoc="0" locked="0" layoutInCell="1" allowOverlap="1">
            <wp:simplePos x="0" y="0"/>
            <wp:positionH relativeFrom="column">
              <wp:posOffset>4535805</wp:posOffset>
            </wp:positionH>
            <wp:positionV relativeFrom="paragraph">
              <wp:posOffset>42791</wp:posOffset>
            </wp:positionV>
            <wp:extent cx="162000" cy="162000"/>
            <wp:effectExtent l="0" t="0" r="3175" b="3175"/>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437A" w:rsidR="00DB5014">
        <w:rPr>
          <w:rFonts w:hint="cs"/>
          <w:noProof/>
          <w:rtl/>
        </w:rPr>
        <w:t>בחודשים אוגוסט 2022 עד ינואר 2023 בדק משרד מבקר המדינה את היערכות הגופים השונים במדינה להתפרצות אינפלציה. הביקורת נעשתה בבנק ישראל - בחטיבת המחקר ובפיקוח על הבנקים; במשרד האוצר - באגף החשכ"ל, באגף התקציבים (אגף התקציבים או אג"ת) ובאגף הכלכלנית הראשית. בדיקות השלמה נעשו במוסד לביטוח לאומי, בלשכה המרכזית לסטטיסטיקה ובמועצה הלאומית לכלכלה</w:t>
      </w:r>
      <w:r>
        <w:rPr>
          <w:rFonts w:hint="cs"/>
          <w:rtl/>
        </w:rPr>
        <w:t>.</w:t>
      </w:r>
      <w:r w:rsidRPr="001F3363">
        <w:rPr>
          <w:rFonts w:hint="cs"/>
          <w:rtl/>
        </w:rPr>
        <w:t xml:space="preserve"> </w:t>
      </w:r>
    </w:p>
    <w:p w:rsidR="00EB672B" w:rsidP="00DB5014" w14:paraId="104516F6" w14:textId="77777777">
      <w:pPr>
        <w:pStyle w:val="73"/>
        <w:spacing w:after="180"/>
      </w:pPr>
      <w:r w:rsidRPr="00275281">
        <w:rPr>
          <w:rFonts w:hint="cs"/>
          <w:rtl/>
        </w:rPr>
        <w:t>תמונת המצב העולה מן הביקורת</w:t>
      </w:r>
    </w:p>
    <w:p w:rsidR="00DB5014" w:rsidRPr="0014437A" w:rsidP="00DB5014" w14:paraId="1887765C" w14:textId="77777777">
      <w:pPr>
        <w:pStyle w:val="7392"/>
        <w:rPr>
          <w:noProof/>
          <w:rtl/>
        </w:rPr>
      </w:pPr>
      <w:r w:rsidRPr="00DB5014">
        <w:rPr>
          <w:rFonts w:hint="cs"/>
          <w:b/>
          <w:bCs/>
          <w:noProof/>
          <w:rtl/>
        </w:rPr>
        <w:t xml:space="preserve">שיעור </w:t>
      </w:r>
      <w:r w:rsidRPr="00DB5014">
        <w:rPr>
          <w:rFonts w:hint="eastAsia"/>
          <w:b/>
          <w:bCs/>
          <w:noProof/>
          <w:rtl/>
        </w:rPr>
        <w:t>האינפלציה</w:t>
      </w:r>
      <w:r w:rsidRPr="00DB5014">
        <w:rPr>
          <w:b/>
          <w:bCs/>
          <w:noProof/>
          <w:rtl/>
        </w:rPr>
        <w:t xml:space="preserve"> </w:t>
      </w:r>
      <w:r w:rsidRPr="00DB5014">
        <w:rPr>
          <w:rFonts w:hint="eastAsia"/>
          <w:b/>
          <w:bCs/>
          <w:noProof/>
          <w:rtl/>
        </w:rPr>
        <w:t>בישראל</w:t>
      </w:r>
      <w:r w:rsidRPr="00DB5014">
        <w:rPr>
          <w:b/>
          <w:bCs/>
          <w:noProof/>
          <w:rtl/>
        </w:rPr>
        <w:t xml:space="preserve"> </w:t>
      </w:r>
      <w:r w:rsidRPr="00DB5014">
        <w:rPr>
          <w:rFonts w:hint="eastAsia"/>
          <w:b/>
          <w:bCs/>
          <w:noProof/>
          <w:rtl/>
        </w:rPr>
        <w:t>אל</w:t>
      </w:r>
      <w:r w:rsidRPr="00DB5014">
        <w:rPr>
          <w:b/>
          <w:bCs/>
          <w:noProof/>
          <w:rtl/>
        </w:rPr>
        <w:t xml:space="preserve"> </w:t>
      </w:r>
      <w:r w:rsidRPr="00DB5014">
        <w:rPr>
          <w:rFonts w:hint="eastAsia"/>
          <w:b/>
          <w:bCs/>
          <w:noProof/>
          <w:rtl/>
        </w:rPr>
        <w:t>מול</w:t>
      </w:r>
      <w:r w:rsidRPr="00DB5014">
        <w:rPr>
          <w:b/>
          <w:bCs/>
          <w:noProof/>
          <w:rtl/>
        </w:rPr>
        <w:t xml:space="preserve"> </w:t>
      </w:r>
      <w:r w:rsidRPr="00DB5014">
        <w:rPr>
          <w:rFonts w:hint="eastAsia"/>
          <w:b/>
          <w:bCs/>
          <w:noProof/>
          <w:rtl/>
        </w:rPr>
        <w:t>יעד</w:t>
      </w:r>
      <w:r w:rsidRPr="00DB5014">
        <w:rPr>
          <w:b/>
          <w:bCs/>
          <w:noProof/>
          <w:rtl/>
        </w:rPr>
        <w:t xml:space="preserve"> </w:t>
      </w:r>
      <w:r w:rsidRPr="00DB5014">
        <w:rPr>
          <w:rFonts w:hint="eastAsia"/>
          <w:b/>
          <w:bCs/>
          <w:noProof/>
          <w:rtl/>
        </w:rPr>
        <w:t>האינפלציה</w:t>
      </w:r>
      <w:r w:rsidRPr="00DB5014">
        <w:rPr>
          <w:b/>
          <w:bCs/>
          <w:noProof/>
          <w:rtl/>
        </w:rPr>
        <w:t xml:space="preserve"> </w:t>
      </w:r>
      <w:r w:rsidRPr="00DB5014">
        <w:rPr>
          <w:rFonts w:hint="eastAsia"/>
          <w:b/>
          <w:bCs/>
          <w:noProof/>
          <w:rtl/>
        </w:rPr>
        <w:t>שקבעה</w:t>
      </w:r>
      <w:r w:rsidRPr="00DB5014">
        <w:rPr>
          <w:b/>
          <w:bCs/>
          <w:noProof/>
          <w:rtl/>
        </w:rPr>
        <w:t xml:space="preserve"> </w:t>
      </w:r>
      <w:r w:rsidRPr="00DB5014">
        <w:rPr>
          <w:rFonts w:hint="eastAsia"/>
          <w:b/>
          <w:bCs/>
          <w:noProof/>
          <w:rtl/>
        </w:rPr>
        <w:t>הממשלה</w:t>
      </w:r>
      <w:r w:rsidRPr="00DB5014">
        <w:rPr>
          <w:rFonts w:hint="cs"/>
          <w:b/>
          <w:bCs/>
          <w:noProof/>
          <w:rtl/>
        </w:rPr>
        <w:t xml:space="preserve"> </w:t>
      </w:r>
      <w:r w:rsidRPr="00DB5014">
        <w:rPr>
          <w:b/>
          <w:bCs/>
          <w:noProof/>
          <w:rtl/>
        </w:rPr>
        <w:t>-</w:t>
      </w:r>
      <w:r w:rsidRPr="000804E7">
        <w:rPr>
          <w:noProof/>
          <w:rtl/>
        </w:rPr>
        <w:t xml:space="preserve"> </w:t>
      </w:r>
      <w:r w:rsidRPr="0014437A">
        <w:rPr>
          <w:noProof/>
          <w:rtl/>
        </w:rPr>
        <w:t>יעד האינפלציה שקבעה הממשלה לא השת</w:t>
      </w:r>
      <w:r w:rsidRPr="0014437A">
        <w:rPr>
          <w:rFonts w:hint="cs"/>
          <w:noProof/>
          <w:rtl/>
        </w:rPr>
        <w:t>נ</w:t>
      </w:r>
      <w:r w:rsidRPr="0014437A">
        <w:rPr>
          <w:noProof/>
          <w:rtl/>
        </w:rPr>
        <w:t>ה משנת 2003</w:t>
      </w:r>
      <w:r w:rsidRPr="0014437A">
        <w:rPr>
          <w:rFonts w:hint="cs"/>
          <w:noProof/>
          <w:rtl/>
        </w:rPr>
        <w:t>,</w:t>
      </w:r>
      <w:r w:rsidRPr="0014437A">
        <w:rPr>
          <w:noProof/>
          <w:rtl/>
        </w:rPr>
        <w:t xml:space="preserve"> והוא עומד על 1% - 3%. </w:t>
      </w:r>
      <w:r w:rsidRPr="0014437A">
        <w:rPr>
          <w:rFonts w:hint="cs"/>
          <w:noProof/>
          <w:rtl/>
        </w:rPr>
        <w:t xml:space="preserve">עלה כי </w:t>
      </w:r>
      <w:r w:rsidRPr="0014437A">
        <w:rPr>
          <w:noProof/>
          <w:rtl/>
        </w:rPr>
        <w:t xml:space="preserve">משנת 2003 </w:t>
      </w:r>
      <w:r w:rsidRPr="0014437A">
        <w:rPr>
          <w:rFonts w:hint="cs"/>
          <w:noProof/>
          <w:rtl/>
        </w:rPr>
        <w:t xml:space="preserve">ועד 2022 </w:t>
      </w:r>
      <w:r w:rsidRPr="0014437A">
        <w:rPr>
          <w:noProof/>
          <w:rtl/>
        </w:rPr>
        <w:t>היו בפועל סטיות של האינפלציה לשני הכיוונים ביחס לטווח היעד</w:t>
      </w:r>
      <w:r w:rsidRPr="0014437A">
        <w:rPr>
          <w:rFonts w:hint="cs"/>
          <w:noProof/>
          <w:rtl/>
        </w:rPr>
        <w:t xml:space="preserve"> (מ-1.9%- ועד ל-3.9%)</w:t>
      </w:r>
      <w:r w:rsidRPr="0014437A">
        <w:rPr>
          <w:noProof/>
          <w:rtl/>
        </w:rPr>
        <w:t>. שנת 2022 התאפיינה בסביבת אינפלציה של 5.3% הגבוהה ביחס לשנים האחרונות</w:t>
      </w:r>
      <w:r w:rsidRPr="0014437A">
        <w:rPr>
          <w:rFonts w:hint="cs"/>
          <w:noProof/>
          <w:rtl/>
        </w:rPr>
        <w:t>,</w:t>
      </w:r>
      <w:r w:rsidRPr="0014437A">
        <w:rPr>
          <w:noProof/>
          <w:rtl/>
        </w:rPr>
        <w:t xml:space="preserve"> וזו הביאה לחריגה ניכרת מטווח יעד האינפלציה</w:t>
      </w:r>
      <w:r w:rsidRPr="0014437A">
        <w:rPr>
          <w:rFonts w:hint="cs"/>
          <w:noProof/>
          <w:rtl/>
        </w:rPr>
        <w:t xml:space="preserve"> (סטייה של 2.3 נקודת האחוז), זאת </w:t>
      </w:r>
      <w:r w:rsidRPr="0014437A">
        <w:rPr>
          <w:noProof/>
          <w:rtl/>
        </w:rPr>
        <w:t>בדומה למגמה בכל העולם</w:t>
      </w:r>
      <w:r w:rsidRPr="0014437A">
        <w:rPr>
          <w:rFonts w:hint="cs"/>
          <w:noProof/>
          <w:rtl/>
        </w:rPr>
        <w:t xml:space="preserve">. </w:t>
      </w:r>
    </w:p>
    <w:p w:rsidR="00DB5014" w:rsidRPr="00DB5014" w:rsidP="00DB5014" w14:paraId="54DF608A" w14:textId="1E7C73FA">
      <w:pPr>
        <w:spacing w:after="360"/>
        <w:rPr>
          <w:rtl/>
        </w:rPr>
      </w:pPr>
      <w:r w:rsidRPr="0014437A">
        <w:rPr>
          <w:rFonts w:ascii="Tahoma" w:hAnsi="Tahoma" w:cs="Tahoma" w:hint="eastAsia"/>
          <w:noProof/>
          <w:sz w:val="18"/>
          <w:szCs w:val="18"/>
          <w:rtl/>
        </w:rPr>
        <w:t>יצוין</w:t>
      </w:r>
      <w:r w:rsidRPr="0014437A">
        <w:rPr>
          <w:rFonts w:ascii="Tahoma" w:hAnsi="Tahoma" w:cs="Tahoma"/>
          <w:noProof/>
          <w:sz w:val="18"/>
          <w:szCs w:val="18"/>
          <w:rtl/>
        </w:rPr>
        <w:t xml:space="preserve"> </w:t>
      </w:r>
      <w:r w:rsidRPr="0014437A">
        <w:rPr>
          <w:rFonts w:ascii="Tahoma" w:hAnsi="Tahoma" w:cs="Tahoma" w:hint="eastAsia"/>
          <w:noProof/>
          <w:sz w:val="18"/>
          <w:szCs w:val="18"/>
          <w:rtl/>
        </w:rPr>
        <w:t>כי</w:t>
      </w:r>
      <w:r w:rsidRPr="0014437A">
        <w:rPr>
          <w:rFonts w:ascii="Tahoma" w:hAnsi="Tahoma" w:cs="Tahoma" w:hint="cs"/>
          <w:noProof/>
          <w:sz w:val="18"/>
          <w:szCs w:val="18"/>
          <w:rtl/>
        </w:rPr>
        <w:t xml:space="preserve"> </w:t>
      </w:r>
      <w:r w:rsidRPr="0014437A">
        <w:rPr>
          <w:rFonts w:ascii="Tahoma" w:hAnsi="Tahoma" w:cs="Tahoma"/>
          <w:noProof/>
          <w:sz w:val="18"/>
          <w:szCs w:val="18"/>
          <w:rtl/>
        </w:rPr>
        <w:t>משנת 2019, כחלק מתוכנית אסטרטגית, מבצע בנק ישראל הערכה מחדש של יעד האינפלציה כדי להחליט אם לשמור על היעד הקיים או להמליץ לממשלה על קביעת יעד שונה</w:t>
      </w:r>
      <w:r w:rsidRPr="0014437A">
        <w:rPr>
          <w:rFonts w:ascii="Tahoma" w:hAnsi="Tahoma" w:cs="Tahoma" w:hint="cs"/>
          <w:noProof/>
          <w:sz w:val="18"/>
          <w:szCs w:val="18"/>
          <w:rtl/>
        </w:rPr>
        <w:t xml:space="preserve">, </w:t>
      </w:r>
      <w:r w:rsidRPr="0014437A">
        <w:rPr>
          <w:rFonts w:ascii="Tahoma" w:hAnsi="Tahoma" w:cs="Tahoma"/>
          <w:noProof/>
          <w:sz w:val="18"/>
          <w:szCs w:val="18"/>
          <w:rtl/>
        </w:rPr>
        <w:t xml:space="preserve">זאת מתוך הסתכלות ארוכת טווח על המדיניות הנדרשת לנוכח השינויים שחלו בסביבה הכלכלית מאז נוסחה מסגרת המדיניות הנוכחית (התקפה משנת </w:t>
      </w:r>
      <w:r>
        <w:rPr>
          <w:rFonts w:ascii="Tahoma" w:hAnsi="Tahoma" w:cs="Tahoma" w:hint="cs"/>
          <w:noProof/>
          <w:sz w:val="18"/>
          <w:szCs w:val="18"/>
          <w:rtl/>
        </w:rPr>
        <w:t>2003).</w:t>
      </w:r>
    </w:p>
    <w:p w:rsidR="00EB672B" w:rsidRPr="00CF6518" w:rsidP="00EB672B" w14:paraId="458E9EA7" w14:textId="77777777">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EB672B" w:rsidRPr="00AF3B73" w:rsidP="00EB672B" w14:paraId="0B694ADB" w14:textId="1FEFA85D">
      <w:pPr>
        <w:pStyle w:val="7317"/>
        <w:rPr>
          <w:rtl/>
        </w:rPr>
      </w:pPr>
      <w:r w:rsidRPr="00DB5014">
        <w:rPr>
          <w:rStyle w:val="7371"/>
          <w:rFonts w:hint="cs"/>
          <w:noProof/>
          <w:rtl/>
        </w:rPr>
        <w:drawing>
          <wp:anchor distT="0" distB="0" distL="71755" distR="0" simplePos="0" relativeHeight="25169100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B5014" w:rsidR="00DB5014">
        <w:rPr>
          <w:rStyle w:val="7371"/>
          <w:rFonts w:hint="cs"/>
          <w:rtl/>
        </w:rPr>
        <w:t xml:space="preserve">תוכנית מגירה להיערכות להתפרצות אינפלציה </w:t>
      </w:r>
      <w:r w:rsidRPr="00DB5014" w:rsidR="00DB5014">
        <w:rPr>
          <w:rStyle w:val="7371"/>
          <w:rtl/>
        </w:rPr>
        <w:t>-</w:t>
      </w:r>
      <w:r w:rsidRPr="0014437A" w:rsidR="00DB5014">
        <w:rPr>
          <w:rFonts w:hint="cs"/>
          <w:rtl/>
        </w:rPr>
        <w:t xml:space="preserve"> </w:t>
      </w:r>
      <w:r w:rsidRPr="0014437A" w:rsidR="00DB5014">
        <w:rPr>
          <w:rtl/>
        </w:rPr>
        <w:t>בשנת 2022 אגף התקציבים באוצר וחטיבת המחקר של בנק ישראל ביצעו מעקב (כל גוף בנפרד)</w:t>
      </w:r>
      <w:r w:rsidRPr="0014437A" w:rsidR="00DB5014">
        <w:rPr>
          <w:rFonts w:hint="cs"/>
          <w:rtl/>
        </w:rPr>
        <w:t xml:space="preserve"> ו</w:t>
      </w:r>
      <w:r w:rsidRPr="0014437A" w:rsidR="00DB5014">
        <w:rPr>
          <w:rtl/>
        </w:rPr>
        <w:t>בחנו באופן תדיר את ההתפתחויות המקרו-כלכליות והמשקיות בישראל ובעולם, בדגש על ההשלכות של עליית מדד המחירים.</w:t>
      </w:r>
      <w:r w:rsidRPr="0014437A" w:rsidR="00DB5014">
        <w:rPr>
          <w:rFonts w:hint="cs"/>
          <w:rtl/>
        </w:rPr>
        <w:t xml:space="preserve"> עם זאת, </w:t>
      </w:r>
      <w:r w:rsidRPr="0014437A" w:rsidR="00DB5014">
        <w:rPr>
          <w:rtl/>
        </w:rPr>
        <w:t>הוחלט באגף התקציבים לא להכין תוכנית מגירה ייעודית להתגברות האינפלציה</w:t>
      </w:r>
      <w:r w:rsidRPr="0014437A" w:rsidR="00DB5014">
        <w:rPr>
          <w:rFonts w:hint="cs"/>
          <w:rtl/>
        </w:rPr>
        <w:t>, וכי לעמדתם</w:t>
      </w:r>
      <w:r w:rsidRPr="0014437A" w:rsidR="00DB5014">
        <w:rPr>
          <w:rtl/>
        </w:rPr>
        <w:t xml:space="preserve"> לא נדרשת תוכנית מגירה כיוון שלא נצפתה בישראל התפרצות אינפלציונית חריגה.</w:t>
      </w:r>
      <w:r w:rsidRPr="0014437A" w:rsidR="00DB5014">
        <w:rPr>
          <w:rFonts w:hint="cs"/>
          <w:rtl/>
        </w:rPr>
        <w:t xml:space="preserve"> לפיכך, אין במשרד האוצר תוכנית מגירה לצעדים פיסקליים להתמודדות עם התפרצות אינפלציה</w:t>
      </w:r>
      <w:r w:rsidRPr="00AF3B73">
        <w:rPr>
          <w:rtl/>
        </w:rPr>
        <w:t>.</w:t>
      </w:r>
    </w:p>
    <w:p w:rsidR="00EB672B" w:rsidRPr="00AF3B73" w:rsidP="00EB672B" w14:paraId="61697365" w14:textId="42A9C6BF">
      <w:pPr>
        <w:pStyle w:val="7317"/>
      </w:pPr>
      <w:r w:rsidRPr="00DB5014">
        <w:rPr>
          <w:rStyle w:val="7371"/>
          <w:rFonts w:hint="cs"/>
          <w:noProof/>
          <w:rtl/>
        </w:rPr>
        <w:drawing>
          <wp:anchor distT="0" distB="0" distL="114300" distR="114300" simplePos="0" relativeHeight="25169203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B5014" w:rsidR="00DB5014">
        <w:rPr>
          <w:rStyle w:val="7371"/>
          <w:rFonts w:hint="cs"/>
          <w:rtl/>
        </w:rPr>
        <w:t>ניתוח השפעת האינפלציה על ההוצאות וההכנסות של הממשלה</w:t>
      </w:r>
      <w:r w:rsidRPr="00DB5014" w:rsidR="00DB5014">
        <w:rPr>
          <w:rStyle w:val="7371"/>
          <w:rtl/>
        </w:rPr>
        <w:t xml:space="preserve"> - </w:t>
      </w:r>
      <w:r w:rsidRPr="0014437A" w:rsidR="00DB5014">
        <w:rPr>
          <w:rtl/>
        </w:rPr>
        <w:t>מעבודה של אגף הכלכל</w:t>
      </w:r>
      <w:r w:rsidRPr="0014437A" w:rsidR="00DB5014">
        <w:rPr>
          <w:rFonts w:hint="cs"/>
          <w:rtl/>
        </w:rPr>
        <w:t>נית</w:t>
      </w:r>
      <w:r w:rsidRPr="0014437A" w:rsidR="00DB5014">
        <w:rPr>
          <w:rtl/>
        </w:rPr>
        <w:t xml:space="preserve"> הראשי</w:t>
      </w:r>
      <w:r w:rsidRPr="0014437A" w:rsidR="00DB5014">
        <w:rPr>
          <w:rFonts w:hint="cs"/>
          <w:rtl/>
        </w:rPr>
        <w:t>ת במשרד האוצר</w:t>
      </w:r>
      <w:r w:rsidRPr="0014437A" w:rsidR="00DB5014">
        <w:rPr>
          <w:rtl/>
        </w:rPr>
        <w:t xml:space="preserve"> בשנת 2017 עלה כי עלייה של 1% במדד המחירים לצרכן תגדיל את הוצאות המדינה ב-2.5 - 2.9 מיליארד ש"ח לשנה. בד בבד יעלו הכנסות המדינה ב-1.8 מיליארד ש"ח. כלומר עלייה של 1% במדד תגדיל את הגירעון השנתי בתקציב המדינה בכ-0.7 - 1.1 מיליארד ש"ח</w:t>
      </w:r>
      <w:r w:rsidRPr="0014437A" w:rsidR="00DB5014">
        <w:rPr>
          <w:rFonts w:hint="cs"/>
          <w:rtl/>
        </w:rPr>
        <w:t>. עם זאת, עלה</w:t>
      </w:r>
      <w:r w:rsidRPr="0014437A" w:rsidR="00DB5014">
        <w:rPr>
          <w:rtl/>
        </w:rPr>
        <w:t xml:space="preserve"> כי</w:t>
      </w:r>
      <w:r w:rsidRPr="0014437A" w:rsidR="00DB5014">
        <w:rPr>
          <w:rFonts w:hint="cs"/>
          <w:rtl/>
        </w:rPr>
        <w:t xml:space="preserve"> נכון למועד הביקורת</w:t>
      </w:r>
      <w:r w:rsidRPr="0014437A" w:rsidR="00DB5014">
        <w:rPr>
          <w:rtl/>
        </w:rPr>
        <w:t xml:space="preserve"> </w:t>
      </w:r>
      <w:r w:rsidRPr="0014437A" w:rsidR="00DB5014">
        <w:rPr>
          <w:rFonts w:hint="cs"/>
          <w:rtl/>
        </w:rPr>
        <w:t xml:space="preserve">אגף הכלכלנית הראשית לא הכין סקירה מעודכנת בדבר רגישות הכנסות המדינה ביחס לאינפלציה. כמו כן, לא נמצא כי </w:t>
      </w:r>
      <w:r w:rsidRPr="0014437A" w:rsidR="00DB5014">
        <w:rPr>
          <w:rtl/>
        </w:rPr>
        <w:t xml:space="preserve">משרד האוצר מחזיק בתחזית בדבר השפעת האינפלציה </w:t>
      </w:r>
      <w:r w:rsidRPr="0014437A" w:rsidR="00DB5014">
        <w:rPr>
          <w:rtl/>
        </w:rPr>
        <w:t>על הגירעון הממשלתי, זאת על אף העליות הניכרות שחלו במדד המחירים מרמה של 2.8% בשנת 2021 לכ-5.3% בשנת 2022</w:t>
      </w:r>
      <w:r w:rsidRPr="00AF3B73">
        <w:rPr>
          <w:rFonts w:hint="cs"/>
          <w:rtl/>
        </w:rPr>
        <w:t xml:space="preserve">. </w:t>
      </w:r>
    </w:p>
    <w:p w:rsidR="00EB672B" w:rsidRPr="00AF3B73" w:rsidP="00EB672B" w14:paraId="257CE09B" w14:textId="1675263E">
      <w:pPr>
        <w:pStyle w:val="7317"/>
        <w:rPr>
          <w:rtl/>
        </w:rPr>
      </w:pPr>
      <w:r w:rsidRPr="00DB5014">
        <w:rPr>
          <w:rStyle w:val="7371"/>
          <w:rFonts w:hint="cs"/>
          <w:noProof/>
          <w:rtl/>
        </w:rPr>
        <w:drawing>
          <wp:anchor distT="0" distB="0" distL="114300" distR="114300" simplePos="0" relativeHeight="25169305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B5014" w:rsidR="00DB5014">
        <w:rPr>
          <w:rStyle w:val="7371"/>
          <w:rFonts w:hint="cs"/>
          <w:rtl/>
        </w:rPr>
        <w:t>מנגנון ההצמדה למדד בגיבוש תקציב המדינה -</w:t>
      </w:r>
      <w:r w:rsidRPr="0014437A" w:rsidR="00DB5014">
        <w:rPr>
          <w:rFonts w:hint="cs"/>
          <w:rtl/>
        </w:rPr>
        <w:t xml:space="preserve"> </w:t>
      </w:r>
      <w:r w:rsidRPr="0014437A" w:rsidR="00DB5014">
        <w:rPr>
          <w:rtl/>
        </w:rPr>
        <w:t>בשנת 2003 נקבע בהחלטת ממשלה</w:t>
      </w:r>
      <w:r w:rsidRPr="0014437A" w:rsidR="00DB5014">
        <w:rPr>
          <w:rFonts w:hint="cs"/>
          <w:rtl/>
        </w:rPr>
        <w:t xml:space="preserve"> </w:t>
      </w:r>
      <w:r w:rsidRPr="0014437A" w:rsidR="00DB5014">
        <w:rPr>
          <w:rtl/>
        </w:rPr>
        <w:t xml:space="preserve">כי תקציבי הרכש של משרדי הממשלה </w:t>
      </w:r>
      <w:r w:rsidRPr="0014437A" w:rsidR="00DB5014">
        <w:rPr>
          <w:rFonts w:hint="cs"/>
          <w:rtl/>
        </w:rPr>
        <w:t>אינם מקודמים</w:t>
      </w:r>
      <w:r w:rsidRPr="0014437A" w:rsidR="00DB5014">
        <w:rPr>
          <w:rtl/>
        </w:rPr>
        <w:t xml:space="preserve"> </w:t>
      </w:r>
      <w:r w:rsidRPr="0014437A" w:rsidR="00DB5014">
        <w:rPr>
          <w:rFonts w:hint="cs"/>
          <w:rtl/>
        </w:rPr>
        <w:t xml:space="preserve">באופן אוטומטי </w:t>
      </w:r>
      <w:r w:rsidRPr="0014437A" w:rsidR="00DB5014">
        <w:rPr>
          <w:rtl/>
        </w:rPr>
        <w:t>בהתאם לשינויים במדד המחירים לצרכן. ממועד זה ועד היום התקבלו החלטות הממשלה אשר קובעות כי ת</w:t>
      </w:r>
      <w:r w:rsidRPr="0014437A" w:rsidR="00DB5014">
        <w:rPr>
          <w:rFonts w:hint="cs"/>
          <w:rtl/>
        </w:rPr>
        <w:t>י</w:t>
      </w:r>
      <w:r w:rsidRPr="0014437A" w:rsidR="00DB5014">
        <w:rPr>
          <w:rtl/>
        </w:rPr>
        <w:t>משך "הקפאה נומינלית של תקציב המדינה".</w:t>
      </w:r>
      <w:r w:rsidRPr="0014437A" w:rsidR="00DB5014">
        <w:rPr>
          <w:rFonts w:hint="cs"/>
          <w:rtl/>
        </w:rPr>
        <w:t xml:space="preserve"> לפיכך </w:t>
      </w:r>
      <w:r w:rsidRPr="0014437A" w:rsidR="00DB5014">
        <w:rPr>
          <w:rFonts w:hint="eastAsia"/>
          <w:rtl/>
        </w:rPr>
        <w:t>תקציבי</w:t>
      </w:r>
      <w:r w:rsidRPr="0014437A" w:rsidR="00DB5014">
        <w:rPr>
          <w:rtl/>
        </w:rPr>
        <w:t xml:space="preserve"> </w:t>
      </w:r>
      <w:r w:rsidRPr="0014437A" w:rsidR="00DB5014">
        <w:rPr>
          <w:rFonts w:hint="eastAsia"/>
          <w:rtl/>
        </w:rPr>
        <w:t>הרכש</w:t>
      </w:r>
      <w:r w:rsidRPr="0014437A" w:rsidR="00DB5014">
        <w:rPr>
          <w:rtl/>
        </w:rPr>
        <w:t xml:space="preserve"> </w:t>
      </w:r>
      <w:r w:rsidRPr="0014437A" w:rsidR="00DB5014">
        <w:rPr>
          <w:rFonts w:hint="eastAsia"/>
          <w:rtl/>
        </w:rPr>
        <w:t>של</w:t>
      </w:r>
      <w:r w:rsidRPr="0014437A" w:rsidR="00DB5014">
        <w:rPr>
          <w:rtl/>
        </w:rPr>
        <w:t xml:space="preserve"> </w:t>
      </w:r>
      <w:r w:rsidRPr="0014437A" w:rsidR="00DB5014">
        <w:rPr>
          <w:rFonts w:hint="eastAsia"/>
          <w:rtl/>
        </w:rPr>
        <w:t>משרדי</w:t>
      </w:r>
      <w:r w:rsidRPr="0014437A" w:rsidR="00DB5014">
        <w:rPr>
          <w:rtl/>
        </w:rPr>
        <w:t xml:space="preserve"> </w:t>
      </w:r>
      <w:r w:rsidRPr="0014437A" w:rsidR="00DB5014">
        <w:rPr>
          <w:rFonts w:hint="eastAsia"/>
          <w:rtl/>
        </w:rPr>
        <w:t>הממשלה</w:t>
      </w:r>
      <w:r w:rsidRPr="0014437A" w:rsidR="00DB5014">
        <w:rPr>
          <w:rtl/>
        </w:rPr>
        <w:t xml:space="preserve"> </w:t>
      </w:r>
      <w:r w:rsidRPr="0014437A" w:rsidR="00DB5014">
        <w:rPr>
          <w:rFonts w:hint="eastAsia"/>
          <w:rtl/>
        </w:rPr>
        <w:t>אינם</w:t>
      </w:r>
      <w:r w:rsidRPr="0014437A" w:rsidR="00DB5014">
        <w:rPr>
          <w:rtl/>
        </w:rPr>
        <w:t xml:space="preserve"> </w:t>
      </w:r>
      <w:r w:rsidRPr="0014437A" w:rsidR="00DB5014">
        <w:rPr>
          <w:rFonts w:hint="cs"/>
          <w:rtl/>
        </w:rPr>
        <w:t>מקודמים</w:t>
      </w:r>
      <w:r w:rsidRPr="0014437A" w:rsidR="00DB5014">
        <w:rPr>
          <w:rtl/>
        </w:rPr>
        <w:t xml:space="preserve"> </w:t>
      </w:r>
      <w:r w:rsidRPr="0014437A" w:rsidR="00DB5014">
        <w:rPr>
          <w:rFonts w:hint="cs"/>
          <w:rtl/>
        </w:rPr>
        <w:t xml:space="preserve">באופן אוטומטי </w:t>
      </w:r>
      <w:r w:rsidRPr="0014437A" w:rsidR="00DB5014">
        <w:rPr>
          <w:rFonts w:hint="eastAsia"/>
          <w:rtl/>
        </w:rPr>
        <w:t>בהתאם</w:t>
      </w:r>
      <w:r w:rsidRPr="0014437A" w:rsidR="00DB5014">
        <w:rPr>
          <w:rtl/>
        </w:rPr>
        <w:t xml:space="preserve"> </w:t>
      </w:r>
      <w:r w:rsidRPr="0014437A" w:rsidR="00DB5014">
        <w:rPr>
          <w:rFonts w:hint="eastAsia"/>
          <w:rtl/>
        </w:rPr>
        <w:t>לשינויים</w:t>
      </w:r>
      <w:r w:rsidRPr="0014437A" w:rsidR="00DB5014">
        <w:rPr>
          <w:rtl/>
        </w:rPr>
        <w:t xml:space="preserve"> </w:t>
      </w:r>
      <w:r w:rsidRPr="0014437A" w:rsidR="00DB5014">
        <w:rPr>
          <w:rFonts w:hint="eastAsia"/>
          <w:rtl/>
        </w:rPr>
        <w:t>במדד</w:t>
      </w:r>
      <w:r w:rsidRPr="0014437A" w:rsidR="00DB5014">
        <w:rPr>
          <w:rtl/>
        </w:rPr>
        <w:t>.</w:t>
      </w:r>
      <w:r w:rsidRPr="0014437A" w:rsidR="00DB5014">
        <w:rPr>
          <w:rFonts w:hint="cs"/>
          <w:rtl/>
        </w:rPr>
        <w:t xml:space="preserve"> כך לדוגמה, אף שמשנת 2009 ועד לשנת 2022 עלה מדד המחירים לצרכן בשיעור של 19%, מקדמי המעבר בתקציב המדינה של תקציבי הקניות עמדו בשנים אלו על</w:t>
      </w:r>
      <w:r w:rsidR="00DB5014">
        <w:rPr>
          <w:rFonts w:hint="cs"/>
          <w:rtl/>
        </w:rPr>
        <w:t xml:space="preserve"> 0%</w:t>
      </w:r>
      <w:r w:rsidRPr="00AF3B73">
        <w:rPr>
          <w:rFonts w:hint="cs"/>
          <w:rtl/>
        </w:rPr>
        <w:t>.</w:t>
      </w:r>
    </w:p>
    <w:p w:rsidR="00EB672B" w:rsidRPr="00AF3B73" w:rsidP="00EB672B" w14:paraId="42C157E6" w14:textId="29437EC4">
      <w:pPr>
        <w:pStyle w:val="7317"/>
      </w:pPr>
      <w:r w:rsidRPr="0014437A">
        <w:rPr>
          <w:rFonts w:hint="cs"/>
          <w:rtl/>
        </w:rPr>
        <w:t>עלה</w:t>
      </w:r>
      <w:r w:rsidRPr="0014437A">
        <w:rPr>
          <w:rtl/>
        </w:rPr>
        <w:t xml:space="preserve"> כי מחד החלטת הממשלה משנת 2003 הקפיאה נומינלית את מקדמי המעבר המשמשים לבניית תקציב המדינה, </w:t>
      </w:r>
      <w:r w:rsidRPr="0014437A">
        <w:rPr>
          <w:rFonts w:hint="cs"/>
          <w:rtl/>
        </w:rPr>
        <w:t xml:space="preserve">והיא </w:t>
      </w:r>
      <w:r w:rsidRPr="0014437A">
        <w:rPr>
          <w:rtl/>
        </w:rPr>
        <w:t>מאושררת בכל פעם מחדש בעת אישור תקציב המדינה; מאידך, החלטת הממשלה לגבי תקציב 2023</w:t>
      </w:r>
      <w:r w:rsidRPr="0014437A">
        <w:rPr>
          <w:rFonts w:hint="cs"/>
          <w:rtl/>
        </w:rPr>
        <w:t xml:space="preserve"> </w:t>
      </w:r>
      <w:r w:rsidRPr="0014437A">
        <w:rPr>
          <w:rtl/>
        </w:rPr>
        <w:t>-</w:t>
      </w:r>
      <w:r w:rsidRPr="0014437A">
        <w:rPr>
          <w:rFonts w:hint="cs"/>
          <w:rtl/>
        </w:rPr>
        <w:t xml:space="preserve"> </w:t>
      </w:r>
      <w:r w:rsidRPr="0014437A">
        <w:rPr>
          <w:rtl/>
        </w:rPr>
        <w:t xml:space="preserve">2024 עדכנה את כלל ההוצאה באופן שמתחשב בעליית האינפלציה ולמעשה </w:t>
      </w:r>
      <w:r w:rsidRPr="0014437A">
        <w:rPr>
          <w:rFonts w:hint="cs"/>
          <w:rtl/>
        </w:rPr>
        <w:t>עיקרה</w:t>
      </w:r>
      <w:r w:rsidRPr="0014437A">
        <w:rPr>
          <w:rtl/>
        </w:rPr>
        <w:t xml:space="preserve"> מתוכן את </w:t>
      </w:r>
      <w:r w:rsidRPr="0014437A">
        <w:rPr>
          <w:rFonts w:hint="cs"/>
          <w:rtl/>
        </w:rPr>
        <w:t xml:space="preserve">ההחלטה על </w:t>
      </w:r>
      <w:r w:rsidRPr="0014437A">
        <w:rPr>
          <w:rtl/>
        </w:rPr>
        <w:t>הקפאה הנומינלית.</w:t>
      </w:r>
      <w:r w:rsidRPr="0014437A">
        <w:rPr>
          <w:rFonts w:hint="cs"/>
          <w:rtl/>
        </w:rPr>
        <w:t xml:space="preserve"> כך לדוגמה, בגיבוש תקציב 2023 - 2024 "מקדם המעבר" של תקציב הקניות נותר 0%, אולם מסגרת התקציב בכללותה הוגדלה בגין התאמת המחירים ב-4.4%</w:t>
      </w:r>
      <w:r w:rsidRPr="00AF3B73">
        <w:rPr>
          <w:rFonts w:hint="cs"/>
          <w:rtl/>
        </w:rPr>
        <w:t xml:space="preserve">. </w:t>
      </w:r>
    </w:p>
    <w:p w:rsidR="00EB672B" w:rsidRPr="00AF3B73" w:rsidP="00EB672B" w14:paraId="0E55F83C" w14:textId="406E0DCE">
      <w:pPr>
        <w:pStyle w:val="7317"/>
      </w:pPr>
      <w:r w:rsidRPr="00DB5014">
        <w:rPr>
          <w:rStyle w:val="7371"/>
          <w:rFonts w:hint="cs"/>
          <w:noProof/>
          <w:rtl/>
        </w:rPr>
        <w:drawing>
          <wp:anchor distT="0" distB="0" distL="114300" distR="114300" simplePos="0" relativeHeight="25169408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B5014" w:rsidR="00DB5014">
        <w:rPr>
          <w:rStyle w:val="7371"/>
          <w:rtl/>
        </w:rPr>
        <w:t xml:space="preserve">החשיפה הקיימת של </w:t>
      </w:r>
      <w:r w:rsidRPr="00DB5014" w:rsidR="00DB5014">
        <w:rPr>
          <w:rStyle w:val="7371"/>
          <w:rFonts w:hint="cs"/>
          <w:rtl/>
        </w:rPr>
        <w:t xml:space="preserve">הוצאות הממשלה </w:t>
      </w:r>
      <w:r w:rsidRPr="00DB5014" w:rsidR="00DB5014">
        <w:rPr>
          <w:rStyle w:val="7371"/>
          <w:rtl/>
        </w:rPr>
        <w:t>למדד</w:t>
      </w:r>
      <w:r w:rsidRPr="00DB5014" w:rsidR="00DB5014">
        <w:rPr>
          <w:rStyle w:val="7371"/>
          <w:rFonts w:hint="cs"/>
          <w:rtl/>
        </w:rPr>
        <w:t xml:space="preserve"> המחירים לצרכן</w:t>
      </w:r>
      <w:r w:rsidRPr="00DB5014" w:rsidR="00DB5014">
        <w:rPr>
          <w:rStyle w:val="7371"/>
          <w:rtl/>
        </w:rPr>
        <w:t xml:space="preserve"> -</w:t>
      </w:r>
      <w:r w:rsidRPr="0014437A" w:rsidR="00DB5014">
        <w:rPr>
          <w:rFonts w:hint="cs"/>
          <w:rtl/>
        </w:rPr>
        <w:t xml:space="preserve"> </w:t>
      </w:r>
      <w:r w:rsidRPr="0014437A" w:rsidR="00DB5014">
        <w:rPr>
          <w:rtl/>
        </w:rPr>
        <w:t xml:space="preserve">ב-31% </w:t>
      </w:r>
      <w:r w:rsidRPr="0014437A" w:rsidR="00DB5014">
        <w:rPr>
          <w:rFonts w:hint="cs"/>
          <w:rtl/>
        </w:rPr>
        <w:t xml:space="preserve">(11 משרדי ממשלה) </w:t>
      </w:r>
      <w:r w:rsidRPr="0014437A" w:rsidR="00DB5014">
        <w:rPr>
          <w:rtl/>
        </w:rPr>
        <w:t>מ</w:t>
      </w:r>
      <w:r w:rsidRPr="0014437A" w:rsidR="00DB5014">
        <w:rPr>
          <w:rFonts w:hint="cs"/>
          <w:rtl/>
        </w:rPr>
        <w:t>משרדי הממשלה</w:t>
      </w:r>
      <w:r w:rsidRPr="0014437A" w:rsidR="00DB5014">
        <w:rPr>
          <w:rtl/>
        </w:rPr>
        <w:t xml:space="preserve">, המנהלים כ-41% </w:t>
      </w:r>
      <w:r w:rsidRPr="0014437A" w:rsidR="00DB5014">
        <w:rPr>
          <w:rFonts w:hint="cs"/>
          <w:rtl/>
        </w:rPr>
        <w:t xml:space="preserve">(כ-187 מיליארד ש"ח) </w:t>
      </w:r>
      <w:r w:rsidRPr="0014437A" w:rsidR="00DB5014">
        <w:rPr>
          <w:rtl/>
        </w:rPr>
        <w:t>מתקציב המדינה, התקציב החשוף למדד</w:t>
      </w:r>
      <w:r w:rsidRPr="0014437A" w:rsidR="00DB5014">
        <w:rPr>
          <w:rFonts w:hint="cs"/>
          <w:rtl/>
        </w:rPr>
        <w:t xml:space="preserve"> </w:t>
      </w:r>
      <w:r w:rsidRPr="0014437A" w:rsidR="00DB5014">
        <w:rPr>
          <w:rtl/>
        </w:rPr>
        <w:t xml:space="preserve">עומד על כ-51% עד 80% מסך התקציב של המשרד; ב-25% מהמשרדים </w:t>
      </w:r>
      <w:r w:rsidRPr="0014437A" w:rsidR="00DB5014">
        <w:rPr>
          <w:rFonts w:hint="cs"/>
          <w:rtl/>
        </w:rPr>
        <w:t>(9 משרדי ממשלה)</w:t>
      </w:r>
      <w:r w:rsidRPr="0014437A" w:rsidR="00DB5014">
        <w:rPr>
          <w:rtl/>
        </w:rPr>
        <w:t>, המנהלים 24%</w:t>
      </w:r>
      <w:r w:rsidRPr="0014437A" w:rsidR="00DB5014">
        <w:rPr>
          <w:rFonts w:hint="cs"/>
          <w:rtl/>
        </w:rPr>
        <w:t xml:space="preserve"> (109 מיליארד ש"ח)</w:t>
      </w:r>
      <w:r w:rsidRPr="0014437A" w:rsidR="00DB5014">
        <w:rPr>
          <w:rtl/>
        </w:rPr>
        <w:t xml:space="preserve"> מתקציב המדינה, </w:t>
      </w:r>
      <w:r w:rsidRPr="0014437A" w:rsidR="00DB5014">
        <w:rPr>
          <w:rFonts w:hint="cs"/>
          <w:rtl/>
        </w:rPr>
        <w:t>יותר מ-</w:t>
      </w:r>
      <w:r w:rsidRPr="0014437A" w:rsidR="00DB5014">
        <w:rPr>
          <w:rtl/>
        </w:rPr>
        <w:t xml:space="preserve">80% מתקציב המשרד </w:t>
      </w:r>
      <w:r w:rsidRPr="0014437A" w:rsidR="00DB5014">
        <w:rPr>
          <w:rFonts w:hint="cs"/>
          <w:rtl/>
        </w:rPr>
        <w:t xml:space="preserve">חשוף </w:t>
      </w:r>
      <w:r w:rsidRPr="0014437A" w:rsidR="00DB5014">
        <w:rPr>
          <w:rtl/>
        </w:rPr>
        <w:t>למדד</w:t>
      </w:r>
      <w:r>
        <w:rPr>
          <w:vertAlign w:val="superscript"/>
          <w:rtl/>
        </w:rPr>
        <w:footnoteReference w:id="5"/>
      </w:r>
      <w:r w:rsidRPr="0014437A" w:rsidR="00DB5014">
        <w:rPr>
          <w:rFonts w:hint="cs"/>
          <w:rtl/>
        </w:rPr>
        <w:t>. כמו כן,</w:t>
      </w:r>
      <w:r w:rsidRPr="0014437A" w:rsidR="00DB5014">
        <w:rPr>
          <w:rFonts w:hint="eastAsia"/>
          <w:rtl/>
        </w:rPr>
        <w:t xml:space="preserve"> </w:t>
      </w:r>
      <w:r w:rsidRPr="0014437A" w:rsidR="00DB5014">
        <w:rPr>
          <w:rFonts w:hint="cs"/>
          <w:rtl/>
        </w:rPr>
        <w:t>יותר</w:t>
      </w:r>
      <w:r w:rsidRPr="0014437A" w:rsidR="00DB5014">
        <w:rPr>
          <w:rtl/>
        </w:rPr>
        <w:t xml:space="preserve"> </w:t>
      </w:r>
      <w:r w:rsidRPr="0014437A" w:rsidR="00DB5014">
        <w:rPr>
          <w:rFonts w:hint="eastAsia"/>
          <w:rtl/>
        </w:rPr>
        <w:t>מ</w:t>
      </w:r>
      <w:r w:rsidRPr="0014437A" w:rsidR="00DB5014">
        <w:rPr>
          <w:rtl/>
        </w:rPr>
        <w:t>-</w:t>
      </w:r>
      <w:r w:rsidRPr="0014437A" w:rsidR="00DB5014">
        <w:rPr>
          <w:rFonts w:hint="cs"/>
          <w:rtl/>
        </w:rPr>
        <w:t xml:space="preserve">50% מהחוב הממשלתי צמוד למדד המחירים לצרכן. חשיפה זו </w:t>
      </w:r>
      <w:r w:rsidRPr="0014437A" w:rsidR="00DB5014">
        <w:rPr>
          <w:rtl/>
        </w:rPr>
        <w:t xml:space="preserve">מגלמת סיכון תקציבי לטווח הקצר ולטווח הארוך. זאת כיוון שעלייה במדד תגדיל את הוצאות הריבית </w:t>
      </w:r>
      <w:r w:rsidRPr="0014437A" w:rsidR="00DB5014">
        <w:rPr>
          <w:rFonts w:hint="cs"/>
          <w:rtl/>
        </w:rPr>
        <w:t xml:space="preserve">והחזר החוב </w:t>
      </w:r>
      <w:r w:rsidRPr="0014437A" w:rsidR="00DB5014">
        <w:rPr>
          <w:rtl/>
        </w:rPr>
        <w:t>בתקציב המדינה</w:t>
      </w:r>
      <w:r w:rsidRPr="0014437A" w:rsidR="00DB5014">
        <w:rPr>
          <w:rFonts w:hint="cs"/>
          <w:rtl/>
        </w:rPr>
        <w:t xml:space="preserve"> במאות מיליוני ש"ח</w:t>
      </w:r>
      <w:r w:rsidRPr="0014437A" w:rsidR="00DB5014">
        <w:rPr>
          <w:rtl/>
        </w:rPr>
        <w:t>, וכן תשפיע על תקציב המדינה לטווח הרחוק בגין הגדלת החוב הממשלתי</w:t>
      </w:r>
      <w:r w:rsidRPr="00AF3B73">
        <w:rPr>
          <w:rFonts w:hint="cs"/>
          <w:rtl/>
        </w:rPr>
        <w:t xml:space="preserve">. </w:t>
      </w:r>
    </w:p>
    <w:p w:rsidR="00EB672B" w:rsidRPr="00AF3B73" w:rsidP="00EB672B" w14:paraId="1320DBEF" w14:textId="5AACDA93">
      <w:pPr>
        <w:pStyle w:val="7317"/>
        <w:rPr>
          <w:rtl/>
        </w:rPr>
      </w:pPr>
      <w:r w:rsidRPr="00DB5014">
        <w:rPr>
          <w:rStyle w:val="7371"/>
          <w:rFonts w:hint="cs"/>
          <w:noProof/>
          <w:rtl/>
        </w:rPr>
        <w:drawing>
          <wp:anchor distT="0" distB="0" distL="114300" distR="114300" simplePos="0" relativeHeight="25169510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B5014" w:rsidR="00DB5014">
        <w:rPr>
          <w:rStyle w:val="7371"/>
          <w:rFonts w:hint="cs"/>
          <w:rtl/>
        </w:rPr>
        <w:t xml:space="preserve">ריכוז נתונים לגבי </w:t>
      </w:r>
      <w:r w:rsidRPr="00DB5014" w:rsidR="00DB5014">
        <w:rPr>
          <w:rStyle w:val="7371"/>
          <w:rtl/>
        </w:rPr>
        <w:t xml:space="preserve">החשיפה של </w:t>
      </w:r>
      <w:r w:rsidRPr="00DB5014" w:rsidR="00DB5014">
        <w:rPr>
          <w:rStyle w:val="7371"/>
          <w:rFonts w:hint="cs"/>
          <w:rtl/>
        </w:rPr>
        <w:t>התקשרויות</w:t>
      </w:r>
      <w:r w:rsidRPr="00DB5014" w:rsidR="00DB5014">
        <w:rPr>
          <w:rStyle w:val="7371"/>
          <w:rtl/>
        </w:rPr>
        <w:t xml:space="preserve"> משרדי הממשלה למדד המחירים </w:t>
      </w:r>
      <w:r w:rsidRPr="00DB5014" w:rsidR="00DB5014">
        <w:rPr>
          <w:rStyle w:val="7371"/>
          <w:rFonts w:hint="cs"/>
          <w:rtl/>
        </w:rPr>
        <w:t xml:space="preserve">לצרכן </w:t>
      </w:r>
      <w:r w:rsidRPr="00DB5014" w:rsidR="00DB5014">
        <w:rPr>
          <w:rStyle w:val="7371"/>
          <w:rtl/>
        </w:rPr>
        <w:t xml:space="preserve">- </w:t>
      </w:r>
      <w:r w:rsidRPr="0014437A" w:rsidR="00DB5014">
        <w:rPr>
          <w:rFonts w:hint="cs"/>
          <w:rtl/>
        </w:rPr>
        <w:t xml:space="preserve">בביקורת עלה כי </w:t>
      </w:r>
      <w:r w:rsidRPr="0014437A" w:rsidR="00DB5014">
        <w:rPr>
          <w:rtl/>
        </w:rPr>
        <w:t>יש כמה מנגנוני הצמדה לתהליכי רכש הממומנים באמצעות תקציב המדינה. כך לדוגמה</w:t>
      </w:r>
      <w:r w:rsidRPr="0014437A" w:rsidR="00DB5014">
        <w:rPr>
          <w:rFonts w:hint="cs"/>
          <w:rtl/>
        </w:rPr>
        <w:t>,</w:t>
      </w:r>
      <w:r w:rsidRPr="0014437A" w:rsidR="00DB5014">
        <w:rPr>
          <w:rtl/>
        </w:rPr>
        <w:t xml:space="preserve"> יש תהליכי רכש שמשרדי הממשלה מבצעים ישירות</w:t>
      </w:r>
      <w:r w:rsidRPr="0014437A" w:rsidR="00DB5014">
        <w:rPr>
          <w:rFonts w:hint="cs"/>
          <w:rtl/>
        </w:rPr>
        <w:t>,</w:t>
      </w:r>
      <w:r w:rsidRPr="0014437A" w:rsidR="00DB5014">
        <w:rPr>
          <w:rtl/>
        </w:rPr>
        <w:t xml:space="preserve"> והצמדת התשלומים נעשית באופן מלא; ואילו בתהליכי רכש של הרשויות המקומיות, שנעשים בהשתתפות של משרדי הממשלה, אין חובה להצמיד את ההסכם</w:t>
      </w:r>
      <w:r w:rsidRPr="0014437A" w:rsidR="00DB5014">
        <w:rPr>
          <w:rFonts w:hint="cs"/>
          <w:rtl/>
        </w:rPr>
        <w:t>,</w:t>
      </w:r>
      <w:r w:rsidRPr="0014437A" w:rsidR="00DB5014">
        <w:rPr>
          <w:rtl/>
        </w:rPr>
        <w:t xml:space="preserve"> וניתן להצמיד את התשלומים למצבים שבהם היה השינוי במדד גבוה מ-4%.</w:t>
      </w:r>
      <w:r w:rsidRPr="0014437A" w:rsidR="00DB5014">
        <w:rPr>
          <w:rFonts w:hint="cs"/>
          <w:rtl/>
        </w:rPr>
        <w:t xml:space="preserve"> עם זאת, אגף החשב הכללי במשרד האוצר</w:t>
      </w:r>
      <w:r w:rsidRPr="0014437A" w:rsidR="00DB5014">
        <w:rPr>
          <w:rtl/>
        </w:rPr>
        <w:t xml:space="preserve"> </w:t>
      </w:r>
      <w:r w:rsidRPr="0014437A" w:rsidR="00DB5014">
        <w:rPr>
          <w:rFonts w:hint="cs"/>
          <w:rtl/>
        </w:rPr>
        <w:t xml:space="preserve">לא </w:t>
      </w:r>
      <w:r w:rsidRPr="0014437A" w:rsidR="00DB5014">
        <w:rPr>
          <w:rtl/>
        </w:rPr>
        <w:t xml:space="preserve">מרכֵּז את כלל המידע בנוגע להיקף החשיפה של תקציב המדינה בדבר התקשרויות צמודות למדד. כך לדוגמה, חטיבת התשתיות </w:t>
      </w:r>
      <w:r w:rsidRPr="0014437A" w:rsidR="00DB5014">
        <w:rPr>
          <w:rFonts w:hint="cs"/>
          <w:rtl/>
        </w:rPr>
        <w:t xml:space="preserve">והפרויקטים באגף החשב הכללי </w:t>
      </w:r>
      <w:r w:rsidRPr="0014437A" w:rsidR="00DB5014">
        <w:rPr>
          <w:rtl/>
        </w:rPr>
        <w:t>אינה עוקבת אחר החשיפה של תקציב המדינה בגין ההצמדות השונות של התקשרויות המבוצעות בשיטת ה-</w:t>
      </w:r>
      <w:r w:rsidRPr="0014437A" w:rsidR="00DB5014">
        <w:t>PPP</w:t>
      </w:r>
      <w:r>
        <w:rPr>
          <w:vertAlign w:val="superscript"/>
          <w:rtl/>
        </w:rPr>
        <w:footnoteReference w:id="6"/>
      </w:r>
      <w:r w:rsidRPr="0014437A" w:rsidR="00DB5014">
        <w:rPr>
          <w:rFonts w:hint="cs"/>
          <w:rtl/>
        </w:rPr>
        <w:t xml:space="preserve">, </w:t>
      </w:r>
      <w:r w:rsidRPr="0014437A" w:rsidR="00DB5014">
        <w:rPr>
          <w:rtl/>
        </w:rPr>
        <w:t>ומינהל</w:t>
      </w:r>
      <w:r w:rsidRPr="0014437A" w:rsidR="00DB5014">
        <w:rPr>
          <w:rtl/>
        </w:rPr>
        <w:t xml:space="preserve"> הרכש המרכזי אינו עוקב אחר החשיפה </w:t>
      </w:r>
      <w:r w:rsidRPr="0014437A" w:rsidR="00DB5014">
        <w:rPr>
          <w:rFonts w:hint="cs"/>
          <w:rtl/>
        </w:rPr>
        <w:t>ש</w:t>
      </w:r>
      <w:r w:rsidRPr="0014437A" w:rsidR="00DB5014">
        <w:rPr>
          <w:rtl/>
        </w:rPr>
        <w:t>ל</w:t>
      </w:r>
      <w:r w:rsidRPr="0014437A" w:rsidR="00DB5014">
        <w:rPr>
          <w:rFonts w:hint="cs"/>
          <w:rtl/>
        </w:rPr>
        <w:t xml:space="preserve"> </w:t>
      </w:r>
      <w:r w:rsidRPr="0014437A" w:rsidR="00DB5014">
        <w:rPr>
          <w:rtl/>
        </w:rPr>
        <w:t>מכרזי הרכש המרכזיים</w:t>
      </w:r>
      <w:r w:rsidRPr="0014437A" w:rsidR="00DB5014">
        <w:rPr>
          <w:rFonts w:hint="cs"/>
          <w:rtl/>
        </w:rPr>
        <w:t xml:space="preserve"> </w:t>
      </w:r>
      <w:r w:rsidRPr="0014437A" w:rsidR="00DB5014">
        <w:rPr>
          <w:rtl/>
        </w:rPr>
        <w:t>בגין ההצמדות</w:t>
      </w:r>
      <w:r w:rsidRPr="00AF3B73">
        <w:rPr>
          <w:rFonts w:hint="cs"/>
          <w:rtl/>
        </w:rPr>
        <w:t>.</w:t>
      </w:r>
    </w:p>
    <w:p w:rsidR="00EB672B" w:rsidP="00EB672B" w14:paraId="6EA213E6" w14:textId="19420CF4">
      <w:pPr>
        <w:pStyle w:val="7317"/>
        <w:rPr>
          <w:rtl/>
        </w:rPr>
      </w:pPr>
      <w:r w:rsidRPr="00DB5014">
        <w:rPr>
          <w:rStyle w:val="7371"/>
          <w:rFonts w:hint="cs"/>
          <w:noProof/>
          <w:rtl/>
        </w:rPr>
        <w:drawing>
          <wp:anchor distT="0" distB="0" distL="114300" distR="114300" simplePos="0" relativeHeight="25169612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B5014" w:rsidR="00DB5014">
        <w:rPr>
          <w:rStyle w:val="7371"/>
          <w:rFonts w:hint="cs"/>
          <w:rtl/>
        </w:rPr>
        <w:t xml:space="preserve">הצמדת סעיפי תמיכות בתקציב המדינה </w:t>
      </w:r>
      <w:r w:rsidRPr="00DB5014" w:rsidR="00DB5014">
        <w:rPr>
          <w:rStyle w:val="7371"/>
          <w:rtl/>
        </w:rPr>
        <w:t>-</w:t>
      </w:r>
      <w:r w:rsidRPr="0014437A" w:rsidR="00DB5014">
        <w:rPr>
          <w:rFonts w:hint="cs"/>
          <w:rtl/>
        </w:rPr>
        <w:t xml:space="preserve"> </w:t>
      </w:r>
      <w:r w:rsidRPr="0014437A" w:rsidR="00DB5014">
        <w:rPr>
          <w:rtl/>
        </w:rPr>
        <w:t xml:space="preserve">עלה כי תקצוב סעיפי התמיכות בתקציב המדינה </w:t>
      </w:r>
      <w:r w:rsidRPr="0014437A" w:rsidR="00DB5014">
        <w:rPr>
          <w:rFonts w:hint="cs"/>
          <w:rtl/>
        </w:rPr>
        <w:t>ש</w:t>
      </w:r>
      <w:r w:rsidRPr="0014437A" w:rsidR="00DB5014">
        <w:rPr>
          <w:rtl/>
        </w:rPr>
        <w:t xml:space="preserve">במסגרתו משרדי הממשלה תומכים בפעילויות של אלפי מוסדות ציבור </w:t>
      </w:r>
      <w:r w:rsidRPr="0014437A" w:rsidR="00DB5014">
        <w:rPr>
          <w:rtl/>
        </w:rPr>
        <w:t>(כהגדרתם בסעיף 3א לחוק יסודות התקציב - גוף שאינו מוסד ממוסדות המדינה הפועל למטרה של חינוך, תרבות, דת, מדע, אמנות, רווחה, בריאות, ספורט או מטרה דומה) אינו כולל מנגנון הצמדה. הגם שתמיכות המדינה במוסדות הציבור הן וול</w:t>
      </w:r>
      <w:r w:rsidRPr="0014437A" w:rsidR="00DB5014">
        <w:rPr>
          <w:rFonts w:hint="cs"/>
          <w:rtl/>
        </w:rPr>
        <w:t>ו</w:t>
      </w:r>
      <w:r w:rsidRPr="0014437A" w:rsidR="00DB5014">
        <w:rPr>
          <w:rtl/>
        </w:rPr>
        <w:t xml:space="preserve">נטריות, היעדר מנגנון הצמדה בסביבת אינפלציה עולה, עלול להביא לכדי שחיקה בהיקף התמיכות הכספיות המועברות למוסדות הציבור, וכפועל יוצא מכך לפגיעה בתפקוד מוסדות אלו </w:t>
      </w:r>
      <w:r w:rsidRPr="0014437A" w:rsidR="00DB5014">
        <w:rPr>
          <w:rFonts w:hint="cs"/>
          <w:rtl/>
        </w:rPr>
        <w:t>ו</w:t>
      </w:r>
      <w:r w:rsidRPr="0014437A" w:rsidR="00DB5014">
        <w:rPr>
          <w:rtl/>
        </w:rPr>
        <w:t>לעמידה בייעודן</w:t>
      </w:r>
      <w:r w:rsidRPr="00AF3B73">
        <w:rPr>
          <w:rFonts w:hint="cs"/>
          <w:rtl/>
        </w:rPr>
        <w:t xml:space="preserve">. </w:t>
      </w:r>
    </w:p>
    <w:p w:rsidR="00DB5014" w:rsidP="00DB5014" w14:paraId="6766EE02" w14:textId="733DE9E9">
      <w:pPr>
        <w:pStyle w:val="7317"/>
        <w:rPr>
          <w:rtl/>
        </w:rPr>
      </w:pPr>
      <w:r w:rsidRPr="00DB5014">
        <w:rPr>
          <w:rStyle w:val="7371"/>
          <w:rFonts w:hint="cs"/>
          <w:noProof/>
          <w:rtl/>
        </w:rPr>
        <w:drawing>
          <wp:anchor distT="0" distB="0" distL="114300" distR="114300" simplePos="0" relativeHeight="25169715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29838616" name="תמונה 17298386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83861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B5014">
        <w:rPr>
          <w:rStyle w:val="7371"/>
          <w:rFonts w:hint="cs"/>
          <w:rtl/>
        </w:rPr>
        <w:t>צעדי המדיניות הפיסקלית שננקטו בהשוואה בין-לאומית -</w:t>
      </w:r>
      <w:r w:rsidRPr="0014437A">
        <w:rPr>
          <w:rFonts w:hint="cs"/>
          <w:rtl/>
        </w:rPr>
        <w:t xml:space="preserve"> צעדי המדיניות הפיסקלית שננקטו במדינות שנסקרו (צרפת, איטליה, בריטניה, ספרד וגרמניה) נחלקים לשלושה: (א) צעדים שמטרתם להפחית את מחיריהם של מוצרים או של שירותים מסוימים; (ב) צעדים שמטרתם להגדיל את ההכנסה של אוכלוסיות פגיעות; (ג) צעדים שמטרתם להגדיל את הכנסות המדינה כדי לממן את הצעדים האמורים. עולה כי בעוד שבישראל נקטו רק צעד של הפחתת עלויות האנרגיה והדלק, ביתר המדינות הנסקרות נקטו שלושה סוגי צעדים כמפורט לעיל, </w:t>
      </w:r>
      <w:r w:rsidRPr="0014437A">
        <w:rPr>
          <w:rFonts w:hint="eastAsia"/>
          <w:rtl/>
        </w:rPr>
        <w:t>וכי</w:t>
      </w:r>
      <w:r w:rsidRPr="0014437A">
        <w:rPr>
          <w:rtl/>
        </w:rPr>
        <w:t xml:space="preserve"> </w:t>
      </w:r>
      <w:r w:rsidRPr="0014437A">
        <w:rPr>
          <w:rFonts w:hint="eastAsia"/>
          <w:rtl/>
        </w:rPr>
        <w:t>עיקרי</w:t>
      </w:r>
      <w:r w:rsidRPr="0014437A">
        <w:rPr>
          <w:rtl/>
        </w:rPr>
        <w:t xml:space="preserve"> הצעדים אותם פרסם משרד האוצר בינואר 2023 </w:t>
      </w:r>
      <w:r w:rsidRPr="0014437A">
        <w:rPr>
          <w:rFonts w:hint="eastAsia"/>
          <w:rtl/>
        </w:rPr>
        <w:t>שהתמקדו</w:t>
      </w:r>
      <w:r w:rsidRPr="0014437A">
        <w:rPr>
          <w:rtl/>
        </w:rPr>
        <w:t xml:space="preserve"> </w:t>
      </w:r>
      <w:r w:rsidRPr="0014437A">
        <w:rPr>
          <w:rFonts w:hint="eastAsia"/>
          <w:rtl/>
        </w:rPr>
        <w:t>בהפחתת</w:t>
      </w:r>
      <w:r w:rsidRPr="0014437A">
        <w:rPr>
          <w:rtl/>
        </w:rPr>
        <w:t xml:space="preserve"> עלויות האנרגיה והדלק לא לוו בהתייעצות מקדימה עם אגף הכלכלנית הראשית ועם בנק ישרא</w:t>
      </w:r>
      <w:r w:rsidRPr="0014437A">
        <w:rPr>
          <w:rFonts w:hint="cs"/>
          <w:rtl/>
        </w:rPr>
        <w:t>ל</w:t>
      </w:r>
      <w:r>
        <w:rPr>
          <w:vertAlign w:val="superscript"/>
          <w:rtl/>
        </w:rPr>
        <w:footnoteReference w:id="7"/>
      </w:r>
      <w:r w:rsidRPr="00AF3B73">
        <w:rPr>
          <w:rFonts w:hint="cs"/>
          <w:rtl/>
        </w:rPr>
        <w:t xml:space="preserve">. </w:t>
      </w:r>
    </w:p>
    <w:p w:rsidR="00DB5014" w:rsidP="00DB5014" w14:paraId="45B3D0A0" w14:textId="7CA43240">
      <w:pPr>
        <w:pStyle w:val="7317"/>
        <w:rPr>
          <w:rtl/>
        </w:rPr>
      </w:pPr>
      <w:r w:rsidRPr="00DB5014">
        <w:rPr>
          <w:rStyle w:val="7371"/>
          <w:rFonts w:hint="cs"/>
          <w:noProof/>
          <w:rtl/>
        </w:rPr>
        <w:drawing>
          <wp:anchor distT="0" distB="0" distL="114300" distR="114300" simplePos="0" relativeHeight="25169817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46682928" name="תמונה 4466829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829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B5014">
        <w:rPr>
          <w:rStyle w:val="7371"/>
          <w:rFonts w:hint="cs"/>
          <w:rtl/>
        </w:rPr>
        <w:t xml:space="preserve">פער </w:t>
      </w:r>
      <w:r w:rsidRPr="00DB5014">
        <w:rPr>
          <w:rStyle w:val="7371"/>
          <w:rtl/>
        </w:rPr>
        <w:t>הריבית במערכת הבנקאית</w:t>
      </w:r>
      <w:r w:rsidRPr="00DB5014">
        <w:rPr>
          <w:rStyle w:val="7371"/>
          <w:rFonts w:hint="cs"/>
          <w:rtl/>
        </w:rPr>
        <w:t xml:space="preserve"> בין הריבית על האשראי לבין הריבית על הפיקדונות</w:t>
      </w:r>
      <w:r w:rsidRPr="00DB5014">
        <w:rPr>
          <w:rStyle w:val="7371"/>
          <w:rtl/>
        </w:rPr>
        <w:t xml:space="preserve"> -</w:t>
      </w:r>
      <w:r w:rsidRPr="0014437A">
        <w:rPr>
          <w:rtl/>
        </w:rPr>
        <w:t xml:space="preserve"> בראי מערכת הבנקאות, עליית הריבית והאינפלציה מיטיבה עם הבנקים בטווח הקצר, נוכח עלייה בהכנסות הריבית, ועלולה להשפיע עליהם לרעה בהמשך בשל חשש לירידה באיכות האשראי נוכח פגיעה ביכולת הלווים להמשיך ולעמוד בהחזרי הלוואותיהם</w:t>
      </w:r>
      <w:r w:rsidRPr="0014437A">
        <w:rPr>
          <w:rFonts w:hint="cs"/>
          <w:rtl/>
        </w:rPr>
        <w:t xml:space="preserve">. נמצא כי </w:t>
      </w:r>
      <w:r w:rsidRPr="0014437A">
        <w:rPr>
          <w:rtl/>
        </w:rPr>
        <w:t xml:space="preserve">בשנים 2021 - 2022 חל גידול ניכר בפער הריבית </w:t>
      </w:r>
      <w:r w:rsidRPr="0014437A">
        <w:rPr>
          <w:rFonts w:hint="cs"/>
          <w:rtl/>
        </w:rPr>
        <w:t xml:space="preserve">(3.20% בדצמבר 2021 ו-3.36% בספטמבר 2022) </w:t>
      </w:r>
      <w:r w:rsidRPr="0014437A">
        <w:rPr>
          <w:rtl/>
        </w:rPr>
        <w:t>לעומת השנים 2019 - 2020, שבהן חלה ירידה בפער הריבית</w:t>
      </w:r>
      <w:r w:rsidRPr="0014437A">
        <w:rPr>
          <w:rFonts w:hint="cs"/>
          <w:rtl/>
        </w:rPr>
        <w:t xml:space="preserve"> (2.91% בדצמבר 2019 ו-2.84% בשנת 2020)</w:t>
      </w:r>
      <w:r w:rsidRPr="0014437A">
        <w:rPr>
          <w:rtl/>
        </w:rPr>
        <w:t>. עליית פער הריבית במחצית הראשונה של 2022 נבעה הן מהאינפלציה והן מעליית ריבית בנק ישראל</w:t>
      </w:r>
      <w:r w:rsidRPr="00AF3B73">
        <w:rPr>
          <w:rFonts w:hint="cs"/>
          <w:rtl/>
        </w:rPr>
        <w:t xml:space="preserve">. </w:t>
      </w:r>
    </w:p>
    <w:p w:rsidR="00DB5014" w:rsidP="00DB5014" w14:paraId="209F566E" w14:textId="6A6F6DF1">
      <w:pPr>
        <w:pStyle w:val="7317"/>
        <w:rPr>
          <w:rtl/>
        </w:rPr>
      </w:pPr>
      <w:r w:rsidRPr="0063556C">
        <w:rPr>
          <w:rStyle w:val="7372"/>
          <w:rFonts w:hint="cs"/>
          <w:noProof/>
          <w:rtl/>
        </w:rPr>
        <w:drawing>
          <wp:anchor distT="0" distB="0" distL="114300" distR="114300" simplePos="0" relativeHeight="251699200"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396349593" name="תמונה 139634959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34959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B5014">
        <w:rPr>
          <w:rStyle w:val="7371"/>
          <w:rtl/>
        </w:rPr>
        <w:t>התמסורת שבין ריבית בנק ישראל לריבית שהבנקים משלמים על פיקדונות הציבור לזמן קצוב -</w:t>
      </w:r>
      <w:r w:rsidRPr="0014437A">
        <w:rPr>
          <w:rtl/>
        </w:rPr>
        <w:t xml:space="preserve"> </w:t>
      </w:r>
      <w:r w:rsidRPr="0014437A">
        <w:rPr>
          <w:rFonts w:hint="cs"/>
          <w:rtl/>
        </w:rPr>
        <w:t>"</w:t>
      </w:r>
      <w:r w:rsidRPr="0014437A">
        <w:rPr>
          <w:rtl/>
        </w:rPr>
        <w:t>התמסורת</w:t>
      </w:r>
      <w:r w:rsidRPr="0014437A">
        <w:rPr>
          <w:rFonts w:hint="cs"/>
          <w:rtl/>
        </w:rPr>
        <w:t>"</w:t>
      </w:r>
      <w:r w:rsidRPr="0014437A">
        <w:rPr>
          <w:rtl/>
        </w:rPr>
        <w:t xml:space="preserve"> מתייחסת לשיעור מעליית ריבית בנק ישראל שמגולגל אל העלייה בריבית שהבנקים משלמים על פיקדונות הציבור לזמן קצוב.</w:t>
      </w:r>
      <w:r w:rsidRPr="0014437A">
        <w:rPr>
          <w:rFonts w:hint="cs"/>
          <w:rtl/>
        </w:rPr>
        <w:t xml:space="preserve"> נמצא כי לעומת שיעור </w:t>
      </w:r>
      <w:r w:rsidRPr="0014437A">
        <w:rPr>
          <w:rtl/>
        </w:rPr>
        <w:t>עליית ריבית בנק ישראל</w:t>
      </w:r>
      <w:r w:rsidRPr="0014437A">
        <w:rPr>
          <w:rFonts w:hint="cs"/>
          <w:rtl/>
        </w:rPr>
        <w:t>,</w:t>
      </w:r>
      <w:r w:rsidRPr="0014437A">
        <w:rPr>
          <w:rtl/>
        </w:rPr>
        <w:t xml:space="preserve"> </w:t>
      </w:r>
      <w:r w:rsidRPr="0014437A">
        <w:rPr>
          <w:rFonts w:hint="cs"/>
          <w:rtl/>
        </w:rPr>
        <w:t>ש</w:t>
      </w:r>
      <w:r w:rsidRPr="0014437A">
        <w:rPr>
          <w:rtl/>
        </w:rPr>
        <w:t>הועבר במלוא</w:t>
      </w:r>
      <w:r w:rsidRPr="0014437A">
        <w:rPr>
          <w:rFonts w:hint="cs"/>
          <w:rtl/>
        </w:rPr>
        <w:t>ו</w:t>
      </w:r>
      <w:r w:rsidRPr="0014437A">
        <w:rPr>
          <w:rtl/>
        </w:rPr>
        <w:t xml:space="preserve"> </w:t>
      </w:r>
      <w:r w:rsidRPr="0014437A">
        <w:rPr>
          <w:rFonts w:hint="cs"/>
          <w:rtl/>
        </w:rPr>
        <w:t xml:space="preserve">על ידי הבנקים </w:t>
      </w:r>
      <w:r w:rsidRPr="0014437A">
        <w:rPr>
          <w:rtl/>
        </w:rPr>
        <w:t xml:space="preserve">לאשראי הבנקאי </w:t>
      </w:r>
      <w:r w:rsidRPr="0014437A">
        <w:rPr>
          <w:rFonts w:hint="cs"/>
          <w:rtl/>
        </w:rPr>
        <w:t xml:space="preserve">שניתן </w:t>
      </w:r>
      <w:r w:rsidRPr="0014437A">
        <w:rPr>
          <w:rtl/>
        </w:rPr>
        <w:t xml:space="preserve">לציבור, העלייה </w:t>
      </w:r>
      <w:r w:rsidRPr="0014437A">
        <w:rPr>
          <w:rFonts w:hint="cs"/>
          <w:rtl/>
        </w:rPr>
        <w:t xml:space="preserve">בשיעור </w:t>
      </w:r>
      <w:r w:rsidRPr="0014437A">
        <w:rPr>
          <w:rtl/>
        </w:rPr>
        <w:t xml:space="preserve">הריבית </w:t>
      </w:r>
      <w:r w:rsidRPr="0014437A">
        <w:rPr>
          <w:rFonts w:hint="cs"/>
          <w:rtl/>
        </w:rPr>
        <w:t xml:space="preserve">שמשלמים הבנקים </w:t>
      </w:r>
      <w:r w:rsidRPr="0014437A">
        <w:rPr>
          <w:rtl/>
        </w:rPr>
        <w:t>על פיקדונות הציבור</w:t>
      </w:r>
      <w:r>
        <w:rPr>
          <w:vertAlign w:val="superscript"/>
          <w:rtl/>
        </w:rPr>
        <w:footnoteReference w:id="8"/>
      </w:r>
      <w:r w:rsidRPr="0014437A">
        <w:rPr>
          <w:rtl/>
        </w:rPr>
        <w:t xml:space="preserve"> הייתה חלקית ועמדה על כ-60%</w:t>
      </w:r>
      <w:r w:rsidRPr="0014437A">
        <w:rPr>
          <w:rFonts w:hint="cs"/>
          <w:rtl/>
        </w:rPr>
        <w:t xml:space="preserve"> בלבד, </w:t>
      </w:r>
      <w:r w:rsidRPr="0014437A">
        <w:rPr>
          <w:rtl/>
        </w:rPr>
        <w:t>נכון לאוגוסט 2022.</w:t>
      </w:r>
      <w:r w:rsidRPr="0014437A">
        <w:rPr>
          <w:rFonts w:hint="cs"/>
          <w:rtl/>
        </w:rPr>
        <w:t xml:space="preserve"> תמסורת חלקית זו תרמה אף היא לגידול המשמעותי ברווחי הבנקים. יצוין כי שיעור התמסורת לגבי פיקדונות חדשים לזמן קצוב של עד שלושה חודשים עלה משמעותית במשך שנת 2022 מכ-25% באפריל 2022 ועד </w:t>
      </w:r>
      <w:r w:rsidR="00D847E8">
        <w:rPr>
          <w:rtl/>
        </w:rPr>
        <w:br/>
      </w:r>
      <w:r w:rsidRPr="0014437A">
        <w:rPr>
          <w:rFonts w:hint="cs"/>
          <w:rtl/>
        </w:rPr>
        <w:t xml:space="preserve">לכ-50% בדצמבר 2022. לפיכך, ריבית בנק ישראל עלתה בתקופה האמורה ממ-0.35% </w:t>
      </w:r>
      <w:r w:rsidR="00D847E8">
        <w:rPr>
          <w:rtl/>
        </w:rPr>
        <w:br/>
      </w:r>
      <w:r w:rsidRPr="0014437A">
        <w:rPr>
          <w:rFonts w:hint="cs"/>
          <w:rtl/>
        </w:rPr>
        <w:t>ל-3.25%, אולם הריבית ששולמה לציבור בעבור פיקדונות</w:t>
      </w:r>
      <w:r w:rsidRPr="0014437A">
        <w:rPr>
          <w:rFonts w:hint="eastAsia"/>
          <w:rtl/>
        </w:rPr>
        <w:t>יו</w:t>
      </w:r>
      <w:r w:rsidRPr="0014437A">
        <w:rPr>
          <w:rFonts w:hint="cs"/>
          <w:rtl/>
        </w:rPr>
        <w:t xml:space="preserve"> בבנקים עלתה רק מ-0.06% ל-1.55%</w:t>
      </w:r>
      <w:r w:rsidRPr="00AF3B73">
        <w:rPr>
          <w:rFonts w:hint="cs"/>
          <w:rtl/>
        </w:rPr>
        <w:t xml:space="preserve">. </w:t>
      </w:r>
    </w:p>
    <w:p w:rsidR="00DB5014" w:rsidP="00DB5014" w14:paraId="12953663" w14:textId="564A56A6">
      <w:pPr>
        <w:pStyle w:val="7317"/>
        <w:rPr>
          <w:rtl/>
        </w:rPr>
      </w:pPr>
      <w:r w:rsidRPr="00DB5014">
        <w:rPr>
          <w:rStyle w:val="7371"/>
          <w:rFonts w:hint="cs"/>
          <w:noProof/>
          <w:rtl/>
        </w:rPr>
        <w:drawing>
          <wp:anchor distT="0" distB="0" distL="114300" distR="114300" simplePos="0" relativeHeight="25170022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69996289" name="תמונה 16999628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628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B5014">
        <w:rPr>
          <w:rStyle w:val="7371"/>
          <w:rFonts w:hint="cs"/>
          <w:rtl/>
        </w:rPr>
        <w:t>נכסי הבנקים -</w:t>
      </w:r>
      <w:r w:rsidRPr="0014437A">
        <w:rPr>
          <w:rFonts w:hint="cs"/>
          <w:rtl/>
        </w:rPr>
        <w:t xml:space="preserve"> </w:t>
      </w:r>
      <w:r w:rsidRPr="00DB5014">
        <w:rPr>
          <w:rStyle w:val="7371"/>
          <w:rFonts w:hint="cs"/>
          <w:rtl/>
        </w:rPr>
        <w:t>השוואה בין השווי ההוגן לבין הצגת השווי בדוחות הכספיים -</w:t>
      </w:r>
      <w:r w:rsidRPr="0014437A">
        <w:rPr>
          <w:rFonts w:hint="cs"/>
          <w:rtl/>
        </w:rPr>
        <w:t xml:space="preserve"> השקעות באגרות חוב שמבצע הבנק המסווגות לאגרות חוב לפדיון מוצגות בספרי הבנקים </w:t>
      </w:r>
      <w:r w:rsidRPr="0014437A">
        <w:rPr>
          <w:rFonts w:hint="cs"/>
          <w:rtl/>
        </w:rPr>
        <w:t xml:space="preserve">לפי עלות מופחתת ולא לפי שווי שוק. </w:t>
      </w:r>
      <w:r w:rsidRPr="0014437A">
        <w:rPr>
          <w:rFonts w:hint="eastAsia"/>
          <w:rtl/>
        </w:rPr>
        <w:t>עולה</w:t>
      </w:r>
      <w:r w:rsidRPr="0014437A">
        <w:rPr>
          <w:rtl/>
        </w:rPr>
        <w:t xml:space="preserve"> כי </w:t>
      </w:r>
      <w:r w:rsidRPr="0014437A">
        <w:rPr>
          <w:rFonts w:hint="eastAsia"/>
          <w:rtl/>
        </w:rPr>
        <w:t>ההפסדים</w:t>
      </w:r>
      <w:r w:rsidRPr="0014437A">
        <w:rPr>
          <w:rtl/>
        </w:rPr>
        <w:t xml:space="preserve"> </w:t>
      </w:r>
      <w:r w:rsidRPr="0014437A">
        <w:rPr>
          <w:rFonts w:hint="eastAsia"/>
          <w:rtl/>
        </w:rPr>
        <w:t>שטרם</w:t>
      </w:r>
      <w:r w:rsidRPr="0014437A">
        <w:rPr>
          <w:rtl/>
        </w:rPr>
        <w:t xml:space="preserve"> </w:t>
      </w:r>
      <w:r w:rsidRPr="0014437A">
        <w:rPr>
          <w:rFonts w:hint="cs"/>
          <w:rtl/>
        </w:rPr>
        <w:t>נזקפו</w:t>
      </w:r>
      <w:r w:rsidRPr="0014437A">
        <w:rPr>
          <w:rtl/>
        </w:rPr>
        <w:t xml:space="preserve"> </w:t>
      </w:r>
      <w:r w:rsidRPr="0014437A">
        <w:rPr>
          <w:rFonts w:hint="eastAsia"/>
          <w:rtl/>
        </w:rPr>
        <w:t>מהתאמות</w:t>
      </w:r>
      <w:r w:rsidRPr="0014437A">
        <w:rPr>
          <w:rtl/>
        </w:rPr>
        <w:t xml:space="preserve"> </w:t>
      </w:r>
      <w:r w:rsidRPr="0014437A">
        <w:rPr>
          <w:rFonts w:hint="eastAsia"/>
          <w:rtl/>
        </w:rPr>
        <w:t>לשווי</w:t>
      </w:r>
      <w:r w:rsidRPr="0014437A">
        <w:rPr>
          <w:rtl/>
        </w:rPr>
        <w:t xml:space="preserve"> </w:t>
      </w:r>
      <w:r w:rsidRPr="0014437A">
        <w:rPr>
          <w:rFonts w:hint="eastAsia"/>
          <w:rtl/>
        </w:rPr>
        <w:t>הוגן</w:t>
      </w:r>
      <w:r w:rsidRPr="0014437A">
        <w:rPr>
          <w:rtl/>
        </w:rPr>
        <w:t xml:space="preserve"> </w:t>
      </w:r>
      <w:r w:rsidRPr="0014437A">
        <w:rPr>
          <w:rFonts w:hint="eastAsia"/>
          <w:rtl/>
        </w:rPr>
        <w:t>בבנק</w:t>
      </w:r>
      <w:r w:rsidRPr="0014437A">
        <w:rPr>
          <w:rtl/>
        </w:rPr>
        <w:t xml:space="preserve"> </w:t>
      </w:r>
      <w:r w:rsidRPr="0014437A">
        <w:rPr>
          <w:rFonts w:hint="eastAsia"/>
          <w:rtl/>
        </w:rPr>
        <w:t>א</w:t>
      </w:r>
      <w:r w:rsidRPr="0014437A">
        <w:rPr>
          <w:rtl/>
        </w:rPr>
        <w:t xml:space="preserve">' </w:t>
      </w:r>
      <w:r w:rsidRPr="0014437A">
        <w:rPr>
          <w:rFonts w:hint="eastAsia"/>
          <w:rtl/>
        </w:rPr>
        <w:t>עבור</w:t>
      </w:r>
      <w:r w:rsidRPr="0014437A">
        <w:rPr>
          <w:rtl/>
        </w:rPr>
        <w:t xml:space="preserve"> </w:t>
      </w:r>
      <w:r w:rsidRPr="0014437A">
        <w:rPr>
          <w:rFonts w:hint="eastAsia"/>
          <w:rtl/>
        </w:rPr>
        <w:t>אגרות</w:t>
      </w:r>
      <w:r w:rsidRPr="0014437A">
        <w:rPr>
          <w:rtl/>
        </w:rPr>
        <w:t xml:space="preserve"> </w:t>
      </w:r>
      <w:r w:rsidRPr="0014437A">
        <w:rPr>
          <w:rFonts w:hint="eastAsia"/>
          <w:rtl/>
        </w:rPr>
        <w:t>חוב</w:t>
      </w:r>
      <w:r w:rsidRPr="0014437A">
        <w:rPr>
          <w:rtl/>
        </w:rPr>
        <w:t xml:space="preserve"> </w:t>
      </w:r>
      <w:r w:rsidRPr="0014437A">
        <w:rPr>
          <w:rFonts w:hint="eastAsia"/>
          <w:rtl/>
        </w:rPr>
        <w:t>מוחזקות</w:t>
      </w:r>
      <w:r w:rsidRPr="0014437A">
        <w:rPr>
          <w:rtl/>
        </w:rPr>
        <w:t xml:space="preserve"> </w:t>
      </w:r>
      <w:r w:rsidRPr="0014437A">
        <w:rPr>
          <w:rFonts w:hint="eastAsia"/>
          <w:rtl/>
        </w:rPr>
        <w:t>לפדיון</w:t>
      </w:r>
      <w:r w:rsidRPr="0014437A">
        <w:rPr>
          <w:rtl/>
        </w:rPr>
        <w:t xml:space="preserve"> </w:t>
      </w:r>
      <w:r w:rsidRPr="0014437A">
        <w:rPr>
          <w:rFonts w:hint="eastAsia"/>
          <w:rtl/>
        </w:rPr>
        <w:t>הוא</w:t>
      </w:r>
      <w:r w:rsidRPr="0014437A">
        <w:rPr>
          <w:rtl/>
        </w:rPr>
        <w:t xml:space="preserve"> </w:t>
      </w:r>
      <w:r w:rsidRPr="0014437A">
        <w:rPr>
          <w:rFonts w:hint="eastAsia"/>
          <w:rtl/>
        </w:rPr>
        <w:t>כ</w:t>
      </w:r>
      <w:r w:rsidRPr="0014437A">
        <w:rPr>
          <w:rtl/>
        </w:rPr>
        <w:t xml:space="preserve">-1,177 </w:t>
      </w:r>
      <w:r w:rsidRPr="0014437A">
        <w:rPr>
          <w:rFonts w:hint="eastAsia"/>
          <w:rtl/>
        </w:rPr>
        <w:t>מיליון</w:t>
      </w:r>
      <w:r w:rsidRPr="0014437A">
        <w:rPr>
          <w:rtl/>
        </w:rPr>
        <w:t xml:space="preserve"> </w:t>
      </w:r>
      <w:r w:rsidRPr="0014437A">
        <w:rPr>
          <w:rFonts w:hint="eastAsia"/>
          <w:rtl/>
        </w:rPr>
        <w:t>ש</w:t>
      </w:r>
      <w:r w:rsidRPr="0014437A">
        <w:rPr>
          <w:rtl/>
        </w:rPr>
        <w:t xml:space="preserve">"ח </w:t>
      </w:r>
      <w:r w:rsidRPr="0014437A">
        <w:rPr>
          <w:rFonts w:hint="eastAsia"/>
          <w:rtl/>
        </w:rPr>
        <w:t>וכ</w:t>
      </w:r>
      <w:r w:rsidRPr="0014437A">
        <w:rPr>
          <w:rtl/>
        </w:rPr>
        <w:t xml:space="preserve">-669 מיליון </w:t>
      </w:r>
      <w:r w:rsidRPr="0014437A">
        <w:rPr>
          <w:rFonts w:hint="eastAsia"/>
          <w:rtl/>
        </w:rPr>
        <w:t>ש</w:t>
      </w:r>
      <w:r w:rsidRPr="0014437A">
        <w:rPr>
          <w:rtl/>
        </w:rPr>
        <w:t xml:space="preserve">"ח בבנק ב'. </w:t>
      </w:r>
      <w:r w:rsidRPr="0014437A">
        <w:rPr>
          <w:rFonts w:hint="eastAsia"/>
          <w:rtl/>
        </w:rPr>
        <w:t>משכך</w:t>
      </w:r>
      <w:r w:rsidRPr="0014437A">
        <w:rPr>
          <w:rtl/>
        </w:rPr>
        <w:t>, פוטנציאל ה</w:t>
      </w:r>
      <w:r w:rsidRPr="0014437A">
        <w:rPr>
          <w:rFonts w:hint="eastAsia"/>
          <w:rtl/>
        </w:rPr>
        <w:t>הפסד</w:t>
      </w:r>
      <w:r w:rsidRPr="0014437A">
        <w:rPr>
          <w:rtl/>
        </w:rPr>
        <w:t xml:space="preserve"> </w:t>
      </w:r>
      <w:r w:rsidRPr="0014437A">
        <w:rPr>
          <w:rFonts w:hint="eastAsia"/>
          <w:rtl/>
        </w:rPr>
        <w:t>שטרם</w:t>
      </w:r>
      <w:r w:rsidRPr="0014437A">
        <w:rPr>
          <w:rtl/>
        </w:rPr>
        <w:t xml:space="preserve"> נרשם </w:t>
      </w:r>
      <w:r w:rsidRPr="0014437A">
        <w:rPr>
          <w:rFonts w:hint="eastAsia"/>
          <w:rtl/>
        </w:rPr>
        <w:t>בכל</w:t>
      </w:r>
      <w:r w:rsidRPr="0014437A">
        <w:rPr>
          <w:rtl/>
        </w:rPr>
        <w:t xml:space="preserve"> בנק </w:t>
      </w:r>
      <w:r w:rsidRPr="0014437A">
        <w:rPr>
          <w:rFonts w:hint="eastAsia"/>
          <w:rtl/>
        </w:rPr>
        <w:t>בגין</w:t>
      </w:r>
      <w:r w:rsidRPr="0014437A">
        <w:rPr>
          <w:rtl/>
        </w:rPr>
        <w:t xml:space="preserve"> </w:t>
      </w:r>
      <w:r w:rsidRPr="0014437A">
        <w:rPr>
          <w:rFonts w:hint="eastAsia"/>
          <w:rtl/>
        </w:rPr>
        <w:t>אות</w:t>
      </w:r>
      <w:r w:rsidRPr="0014437A">
        <w:rPr>
          <w:rFonts w:hint="cs"/>
          <w:rtl/>
        </w:rPr>
        <w:t>ן</w:t>
      </w:r>
      <w:r w:rsidRPr="0014437A">
        <w:rPr>
          <w:rtl/>
        </w:rPr>
        <w:t xml:space="preserve"> </w:t>
      </w:r>
      <w:r w:rsidRPr="0014437A">
        <w:rPr>
          <w:rFonts w:hint="eastAsia"/>
          <w:rtl/>
        </w:rPr>
        <w:t>אגרות</w:t>
      </w:r>
      <w:r w:rsidRPr="0014437A">
        <w:rPr>
          <w:rtl/>
        </w:rPr>
        <w:t xml:space="preserve"> </w:t>
      </w:r>
      <w:r w:rsidRPr="0014437A">
        <w:rPr>
          <w:rFonts w:hint="eastAsia"/>
          <w:rtl/>
        </w:rPr>
        <w:t>חוב</w:t>
      </w:r>
      <w:r w:rsidRPr="0014437A">
        <w:rPr>
          <w:rtl/>
        </w:rPr>
        <w:t xml:space="preserve"> </w:t>
      </w:r>
      <w:r w:rsidRPr="0014437A">
        <w:rPr>
          <w:rFonts w:hint="eastAsia"/>
          <w:rtl/>
        </w:rPr>
        <w:t>מוחזקות</w:t>
      </w:r>
      <w:r w:rsidRPr="0014437A">
        <w:rPr>
          <w:rtl/>
        </w:rPr>
        <w:t xml:space="preserve"> </w:t>
      </w:r>
      <w:r w:rsidRPr="0014437A">
        <w:rPr>
          <w:rFonts w:hint="eastAsia"/>
          <w:rtl/>
        </w:rPr>
        <w:t>לפדיון</w:t>
      </w:r>
      <w:r w:rsidRPr="0014437A">
        <w:rPr>
          <w:rtl/>
        </w:rPr>
        <w:t xml:space="preserve"> </w:t>
      </w:r>
      <w:r w:rsidRPr="0014437A">
        <w:rPr>
          <w:rFonts w:hint="eastAsia"/>
          <w:rtl/>
        </w:rPr>
        <w:t>עומד</w:t>
      </w:r>
      <w:r w:rsidRPr="0014437A">
        <w:rPr>
          <w:rtl/>
        </w:rPr>
        <w:t xml:space="preserve"> על </w:t>
      </w:r>
      <w:r w:rsidRPr="0014437A">
        <w:rPr>
          <w:rFonts w:hint="cs"/>
          <w:rtl/>
        </w:rPr>
        <w:t>כ-1% - 2%</w:t>
      </w:r>
      <w:r w:rsidRPr="0014437A">
        <w:rPr>
          <w:rtl/>
        </w:rPr>
        <w:t xml:space="preserve"> </w:t>
      </w:r>
      <w:r w:rsidRPr="0014437A">
        <w:rPr>
          <w:rFonts w:hint="eastAsia"/>
          <w:rtl/>
        </w:rPr>
        <w:t>בלבד</w:t>
      </w:r>
      <w:r w:rsidRPr="0014437A">
        <w:rPr>
          <w:rtl/>
        </w:rPr>
        <w:t xml:space="preserve"> </w:t>
      </w:r>
      <w:r w:rsidRPr="0014437A">
        <w:rPr>
          <w:rFonts w:hint="eastAsia"/>
          <w:rtl/>
        </w:rPr>
        <w:t>מיתרת</w:t>
      </w:r>
      <w:r w:rsidRPr="0014437A">
        <w:rPr>
          <w:rtl/>
        </w:rPr>
        <w:t xml:space="preserve"> </w:t>
      </w:r>
      <w:r w:rsidRPr="0014437A">
        <w:rPr>
          <w:rFonts w:hint="eastAsia"/>
          <w:rtl/>
        </w:rPr>
        <w:t>ההון</w:t>
      </w:r>
      <w:r w:rsidRPr="0014437A">
        <w:rPr>
          <w:rtl/>
        </w:rPr>
        <w:t xml:space="preserve"> </w:t>
      </w:r>
      <w:r w:rsidRPr="0014437A">
        <w:rPr>
          <w:rFonts w:hint="eastAsia"/>
          <w:rtl/>
        </w:rPr>
        <w:t>העצמי</w:t>
      </w:r>
      <w:r w:rsidRPr="0014437A">
        <w:rPr>
          <w:rtl/>
        </w:rPr>
        <w:t xml:space="preserve"> </w:t>
      </w:r>
      <w:r w:rsidRPr="0014437A">
        <w:rPr>
          <w:rFonts w:hint="eastAsia"/>
          <w:rtl/>
        </w:rPr>
        <w:t>של</w:t>
      </w:r>
      <w:r w:rsidRPr="0014437A">
        <w:rPr>
          <w:rtl/>
        </w:rPr>
        <w:t xml:space="preserve"> </w:t>
      </w:r>
      <w:r w:rsidRPr="0014437A">
        <w:rPr>
          <w:rFonts w:hint="eastAsia"/>
          <w:rtl/>
        </w:rPr>
        <w:t>שני</w:t>
      </w:r>
      <w:r w:rsidRPr="0014437A">
        <w:rPr>
          <w:rtl/>
        </w:rPr>
        <w:t xml:space="preserve"> </w:t>
      </w:r>
      <w:r w:rsidRPr="0014437A">
        <w:rPr>
          <w:rFonts w:hint="eastAsia"/>
          <w:rtl/>
        </w:rPr>
        <w:t>הבנקים</w:t>
      </w:r>
      <w:r w:rsidRPr="0014437A">
        <w:rPr>
          <w:rtl/>
        </w:rPr>
        <w:t xml:space="preserve"> </w:t>
      </w:r>
      <w:r w:rsidRPr="0014437A">
        <w:rPr>
          <w:rFonts w:hint="eastAsia"/>
          <w:rtl/>
        </w:rPr>
        <w:t>האמורים</w:t>
      </w:r>
      <w:r w:rsidRPr="00AF3B73">
        <w:rPr>
          <w:rFonts w:hint="cs"/>
          <w:rtl/>
        </w:rPr>
        <w:t xml:space="preserve">. </w:t>
      </w:r>
    </w:p>
    <w:p w:rsidR="00EB672B" w:rsidRPr="000B463F" w:rsidP="00DB5014" w14:paraId="5AE2419C" w14:textId="77777777">
      <w:pPr>
        <w:spacing w:before="480" w:after="240"/>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EB672B" w:rsidRPr="00CA4EB1" w:rsidP="00EB672B" w14:paraId="34FBDC9B" w14:textId="1AA54E1C">
      <w:pPr>
        <w:pStyle w:val="7317"/>
        <w:rPr>
          <w:rtl/>
        </w:rPr>
      </w:pPr>
      <w:r w:rsidRPr="00DB5014">
        <w:rPr>
          <w:rFonts w:hint="cs"/>
          <w:b/>
          <w:bCs/>
          <w:rtl/>
        </w:rPr>
        <w:t xml:space="preserve">הגדלת היקף הנפקת </w:t>
      </w:r>
      <w:r w:rsidRPr="00DB5014">
        <w:rPr>
          <w:rFonts w:hint="cs"/>
          <w:b/>
          <w:bCs/>
          <w:rtl/>
        </w:rPr>
        <w:t>המק"ם</w:t>
      </w:r>
      <w:r w:rsidRPr="00DB5014">
        <w:rPr>
          <w:rFonts w:hint="cs"/>
          <w:b/>
          <w:bCs/>
          <w:rtl/>
        </w:rPr>
        <w:t xml:space="preserve"> </w:t>
      </w:r>
      <w:r w:rsidRPr="00DB5014">
        <w:rPr>
          <w:b/>
          <w:bCs/>
          <w:rtl/>
        </w:rPr>
        <w:t>-</w:t>
      </w:r>
      <w:r w:rsidRPr="0014437A">
        <w:rPr>
          <w:rtl/>
        </w:rPr>
        <w:t xml:space="preserve"> </w:t>
      </w:r>
      <w:r w:rsidRPr="0014437A">
        <w:rPr>
          <w:rFonts w:hint="cs"/>
          <w:rtl/>
        </w:rPr>
        <w:t xml:space="preserve">היקף הנפקת </w:t>
      </w:r>
      <w:r w:rsidRPr="0014437A">
        <w:rPr>
          <w:rFonts w:hint="cs"/>
          <w:rtl/>
        </w:rPr>
        <w:t>המק"ם</w:t>
      </w:r>
      <w:r w:rsidRPr="0014437A">
        <w:rPr>
          <w:rFonts w:hint="cs"/>
          <w:rtl/>
        </w:rPr>
        <w:t>, שמשמש גם מעין תחליף לפיקדונות הציבור אצל הבנקים, גדל במידה ניכרת מ-45 מיליארדי ש"ח ברבעון השלישי של שנת 2022 ל-109 מיליארדי ש"ח ברבעון האחרון של שנת 2022 (גידול של כ-142%)</w:t>
      </w:r>
      <w:r w:rsidRPr="00CA4EB1">
        <w:rPr>
          <w:rFonts w:hint="cs"/>
          <w:rtl/>
        </w:rPr>
        <w:t>.</w:t>
      </w:r>
    </w:p>
    <w:p w:rsidR="00EB672B" w:rsidRPr="006F49D3" w:rsidP="006F49D3" w14:paraId="021D9A4C" w14:textId="77777777">
      <w:pPr>
        <w:pStyle w:val="7327"/>
        <w:rPr>
          <w:rtl/>
        </w:rPr>
      </w:pPr>
      <w:r w:rsidRPr="006F49D3">
        <w:rPr>
          <w:rFonts w:hint="cs"/>
          <w:rtl/>
        </w:rPr>
        <w:t>עיקרי המלצות הביקורת</w:t>
      </w:r>
    </w:p>
    <w:p w:rsidR="00EB672B" w:rsidRPr="007C7D40" w:rsidP="00EB672B" w14:paraId="44B516F2" w14:textId="7C341F0D">
      <w:pPr>
        <w:pStyle w:val="7317"/>
      </w:pPr>
      <w:r w:rsidRPr="0063556C">
        <w:rPr>
          <w:rStyle w:val="7372"/>
          <w:rFonts w:hint="cs"/>
          <w:noProof/>
          <w:rtl/>
        </w:rPr>
        <w:drawing>
          <wp:anchor distT="0" distB="1440180" distL="107950" distR="114300" simplePos="0" relativeHeight="251684864"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14437A" w:rsidR="00DB5014">
        <w:rPr>
          <w:rFonts w:hint="cs"/>
          <w:rtl/>
        </w:rPr>
        <w:t xml:space="preserve">מומלץ כי בנק ישראל ישלים את </w:t>
      </w:r>
      <w:r w:rsidRPr="0014437A" w:rsidR="00DB5014">
        <w:rPr>
          <w:rtl/>
        </w:rPr>
        <w:t>ההערכה מחדש של יעד האינפלציה, מתוך הסתכלות ארוכת טווח והתחשבות בשינויים שחלו בסביבה הכלכלית בישראל ובעולם</w:t>
      </w:r>
      <w:r w:rsidRPr="0014437A" w:rsidR="00DB5014">
        <w:rPr>
          <w:rFonts w:hint="cs"/>
          <w:rtl/>
        </w:rPr>
        <w:t xml:space="preserve"> - בפרט לאור התפתחות האינפלציה לאחר היציאה ממשבר הקורונה</w:t>
      </w:r>
      <w:r w:rsidRPr="0014437A" w:rsidR="00DB5014">
        <w:rPr>
          <w:rtl/>
        </w:rPr>
        <w:t xml:space="preserve">, </w:t>
      </w:r>
      <w:r w:rsidRPr="0014437A" w:rsidR="00DB5014">
        <w:rPr>
          <w:rFonts w:hint="cs"/>
          <w:rtl/>
        </w:rPr>
        <w:t>ובמידת הצורך</w:t>
      </w:r>
      <w:r w:rsidRPr="0014437A" w:rsidR="00DB5014">
        <w:rPr>
          <w:rtl/>
        </w:rPr>
        <w:t xml:space="preserve"> </w:t>
      </w:r>
      <w:r w:rsidRPr="0014437A" w:rsidR="00DB5014">
        <w:rPr>
          <w:rFonts w:hint="eastAsia"/>
          <w:rtl/>
        </w:rPr>
        <w:t>יגבש</w:t>
      </w:r>
      <w:r w:rsidRPr="0014437A" w:rsidR="00DB5014">
        <w:rPr>
          <w:rtl/>
        </w:rPr>
        <w:t xml:space="preserve"> </w:t>
      </w:r>
      <w:r w:rsidRPr="0014437A" w:rsidR="00DB5014">
        <w:rPr>
          <w:rFonts w:hint="cs"/>
          <w:rtl/>
        </w:rPr>
        <w:t xml:space="preserve">את </w:t>
      </w:r>
      <w:r w:rsidRPr="0014437A" w:rsidR="00DB5014">
        <w:rPr>
          <w:rFonts w:hint="eastAsia"/>
          <w:rtl/>
        </w:rPr>
        <w:t>המלצתו</w:t>
      </w:r>
      <w:r w:rsidRPr="0014437A" w:rsidR="00DB5014">
        <w:rPr>
          <w:rtl/>
        </w:rPr>
        <w:t xml:space="preserve"> </w:t>
      </w:r>
      <w:r w:rsidRPr="0014437A" w:rsidR="00DB5014">
        <w:rPr>
          <w:rFonts w:hint="eastAsia"/>
          <w:rtl/>
        </w:rPr>
        <w:t>לממשלה</w:t>
      </w:r>
      <w:r w:rsidRPr="007C7D40">
        <w:rPr>
          <w:rFonts w:hint="cs"/>
          <w:rtl/>
        </w:rPr>
        <w:t xml:space="preserve">. </w:t>
      </w:r>
    </w:p>
    <w:p w:rsidR="00EB672B" w:rsidRPr="007C7D40" w:rsidP="00EB672B" w14:paraId="723E2ABD" w14:textId="4E05D0F8">
      <w:pPr>
        <w:pStyle w:val="7317"/>
      </w:pPr>
      <w:r w:rsidRPr="0063556C">
        <w:rPr>
          <w:rStyle w:val="7372"/>
          <w:rFonts w:hint="cs"/>
          <w:noProof/>
          <w:rtl/>
        </w:rPr>
        <w:drawing>
          <wp:anchor distT="0" distB="1440180" distL="107950" distR="114300" simplePos="0" relativeHeight="251685888"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14437A" w:rsidR="00DB5014">
        <w:rPr>
          <w:rtl/>
        </w:rPr>
        <w:t xml:space="preserve">מומלץ כי משרד האוצר </w:t>
      </w:r>
      <w:r w:rsidRPr="0014437A" w:rsidR="00DB5014">
        <w:rPr>
          <w:rFonts w:hint="cs"/>
          <w:rtl/>
        </w:rPr>
        <w:t>יפעל להכין תוכניות</w:t>
      </w:r>
      <w:r w:rsidRPr="0014437A" w:rsidR="00DB5014">
        <w:rPr>
          <w:rtl/>
        </w:rPr>
        <w:t xml:space="preserve"> כלכלי</w:t>
      </w:r>
      <w:r w:rsidRPr="0014437A" w:rsidR="00DB5014">
        <w:rPr>
          <w:rFonts w:hint="cs"/>
          <w:rtl/>
        </w:rPr>
        <w:t>ו</w:t>
      </w:r>
      <w:r w:rsidRPr="0014437A" w:rsidR="00DB5014">
        <w:rPr>
          <w:rtl/>
        </w:rPr>
        <w:t xml:space="preserve">ת </w:t>
      </w:r>
      <w:r w:rsidRPr="0014437A" w:rsidR="00DB5014">
        <w:rPr>
          <w:rFonts w:hint="cs"/>
          <w:rtl/>
        </w:rPr>
        <w:t>של הממשלה תוך היוועצות עם כלל גורמי המקצוע, ובהם האגפים השונים במשרד האוצר ו</w:t>
      </w:r>
      <w:r w:rsidRPr="0014437A" w:rsidR="00DB5014">
        <w:rPr>
          <w:rtl/>
        </w:rPr>
        <w:t>בנק ישראל</w:t>
      </w:r>
      <w:r w:rsidRPr="0014437A" w:rsidR="00DB5014">
        <w:rPr>
          <w:rFonts w:hint="cs"/>
          <w:rtl/>
        </w:rPr>
        <w:t xml:space="preserve">, </w:t>
      </w:r>
      <w:r w:rsidRPr="0014437A" w:rsidR="00DB5014">
        <w:rPr>
          <w:rtl/>
        </w:rPr>
        <w:t>בשים לב להמלצות הגופים הבי</w:t>
      </w:r>
      <w:r w:rsidRPr="0014437A" w:rsidR="00DB5014">
        <w:rPr>
          <w:rFonts w:hint="cs"/>
          <w:rtl/>
        </w:rPr>
        <w:t>ן-</w:t>
      </w:r>
      <w:r w:rsidRPr="0014437A" w:rsidR="00DB5014">
        <w:rPr>
          <w:rtl/>
        </w:rPr>
        <w:t>לאומיים הרלוונטיים כדוגמת ה-</w:t>
      </w:r>
      <w:r w:rsidRPr="0014437A" w:rsidR="00DB5014">
        <w:t>OECD</w:t>
      </w:r>
      <w:r w:rsidRPr="007C7D40">
        <w:rPr>
          <w:rtl/>
        </w:rPr>
        <w:t xml:space="preserve">. </w:t>
      </w:r>
    </w:p>
    <w:p w:rsidR="00EB672B" w:rsidRPr="007C7D40" w:rsidP="00EB672B" w14:paraId="55FA89EC" w14:textId="0DB874C5">
      <w:pPr>
        <w:pStyle w:val="7317"/>
        <w:rPr>
          <w:rtl/>
        </w:rPr>
      </w:pPr>
      <w:r w:rsidRPr="0063556C">
        <w:rPr>
          <w:rStyle w:val="7372"/>
          <w:rFonts w:hint="cs"/>
          <w:noProof/>
          <w:rtl/>
        </w:rPr>
        <w:drawing>
          <wp:anchor distT="0" distB="1440180" distL="107950" distR="114300" simplePos="0" relativeHeight="251686912"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14437A" w:rsidR="00DB5014">
        <w:rPr>
          <w:rtl/>
        </w:rPr>
        <w:t>מומלץ שאגף התקציבים יבחן צעדים פיסקליים משלימים וממוקדים לצורך סיוע לחברות ולמשקי בית שנפגעו קשות כתוצאה מהעלייה באינפלציה, זאת לצד נקיטת צעדים להידוק פיסקלי שימנע סחרור אינפלציוני</w:t>
      </w:r>
      <w:r w:rsidRPr="007C7D40">
        <w:rPr>
          <w:rFonts w:hint="cs"/>
          <w:rtl/>
        </w:rPr>
        <w:t>.</w:t>
      </w:r>
    </w:p>
    <w:p w:rsidR="00EB672B" w:rsidRPr="007C7D40" w:rsidP="00EB672B" w14:paraId="078A06EB" w14:textId="127B4167">
      <w:pPr>
        <w:pStyle w:val="7317"/>
        <w:rPr>
          <w:rtl/>
        </w:rPr>
      </w:pPr>
      <w:r w:rsidRPr="0063556C">
        <w:rPr>
          <w:rStyle w:val="7372"/>
          <w:rFonts w:hint="cs"/>
          <w:noProof/>
          <w:rtl/>
        </w:rPr>
        <w:drawing>
          <wp:anchor distT="0" distB="1440180" distL="107950" distR="114300" simplePos="0" relativeHeight="25168793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14437A" w:rsidR="00DB5014">
        <w:rPr>
          <w:rFonts w:hint="cs"/>
          <w:rtl/>
        </w:rPr>
        <w:t>מומלץ כי אגף התקציבים ינהל תהליך סדור לקביעת מקדמי המעבר לקניות ולרזרבות להתייקרויות, כדי שגם בהתרחש עליית מחירים גבוהה יאפשר התקציב בפועל לממש את יעדי הממשלה ואת סדר העדיפויות שלה בחלוקת המשאבים העומדים לרשותה</w:t>
      </w:r>
      <w:r w:rsidRPr="007C7D40">
        <w:rPr>
          <w:rFonts w:hint="cs"/>
          <w:rtl/>
        </w:rPr>
        <w:t>.</w:t>
      </w:r>
    </w:p>
    <w:p w:rsidR="00EB672B" w:rsidRPr="007C7D40" w:rsidP="00EB672B" w14:paraId="5538133A" w14:textId="5C22F628">
      <w:pPr>
        <w:pStyle w:val="7317"/>
      </w:pPr>
      <w:r w:rsidRPr="0063556C">
        <w:rPr>
          <w:rStyle w:val="7372"/>
          <w:rFonts w:hint="cs"/>
          <w:noProof/>
          <w:rtl/>
        </w:rPr>
        <w:drawing>
          <wp:anchor distT="0" distB="1440180" distL="107950" distR="114300" simplePos="0" relativeHeight="251688960"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14437A" w:rsidR="00DB5014">
        <w:rPr>
          <w:rtl/>
        </w:rPr>
        <w:t xml:space="preserve">מומלץ כי החשב הכללי ימפה את כלל ההתקשרויות </w:t>
      </w:r>
      <w:r w:rsidRPr="0014437A" w:rsidR="00DB5014">
        <w:rPr>
          <w:rFonts w:hint="cs"/>
          <w:rtl/>
        </w:rPr>
        <w:t>וההשתתפויות</w:t>
      </w:r>
      <w:r w:rsidRPr="0014437A" w:rsidR="00DB5014">
        <w:rPr>
          <w:rtl/>
        </w:rPr>
        <w:t xml:space="preserve"> הממשלתיות תוך ביצוע מעקב אחר היקף ההתקשרויות הפעילות הצמודות למדד המחירים, שיטת ההצמדה של ההתקשרות וזרם גידול התשלומים הצפויים בעקבות עלייה חדה במדדי המחירים. עוד מומלץ שהחשב הכללי יגבש מדיניות סדורה בדבר מתן מענה לסוגים השונים של ההתקשרויות וניהול הסיכונים בעקבות החשיפות התקציביות של ההתקשרויות הצמודות למדד</w:t>
      </w:r>
      <w:r w:rsidRPr="0014437A" w:rsidR="00DB5014">
        <w:rPr>
          <w:rFonts w:hint="cs"/>
          <w:rtl/>
        </w:rPr>
        <w:t>ים השונים</w:t>
      </w:r>
      <w:r w:rsidRPr="007C7D40">
        <w:rPr>
          <w:rFonts w:hint="cs"/>
          <w:rtl/>
        </w:rPr>
        <w:t>.</w:t>
      </w:r>
    </w:p>
    <w:p w:rsidR="00DB5014" w:rsidP="00EB672B" w14:paraId="63467834" w14:textId="2DD05DA3">
      <w:pPr>
        <w:pStyle w:val="7317"/>
        <w:rPr>
          <w:rtl/>
        </w:rPr>
      </w:pPr>
      <w:r w:rsidRPr="0063556C">
        <w:rPr>
          <w:rStyle w:val="7372"/>
          <w:rFonts w:hint="cs"/>
          <w:noProof/>
          <w:rtl/>
        </w:rPr>
        <w:drawing>
          <wp:anchor distT="0" distB="1440180" distL="107950" distR="114300" simplePos="0" relativeHeight="251689984"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14437A">
        <w:rPr>
          <w:rtl/>
        </w:rPr>
        <w:t>על הפיקוח על הבנקים להמשיך ולפעול להגדלת התמסורת שבין עליית ריבית בנק ישראל ל</w:t>
      </w:r>
      <w:r w:rsidRPr="0014437A">
        <w:rPr>
          <w:rFonts w:hint="cs"/>
          <w:rtl/>
        </w:rPr>
        <w:t>בין ה</w:t>
      </w:r>
      <w:r w:rsidRPr="0014437A">
        <w:rPr>
          <w:rtl/>
        </w:rPr>
        <w:t>ריבית המשולמת על פיקדונות הציבור, כך שפער הריביות יקטן</w:t>
      </w:r>
      <w:r w:rsidRPr="008E57FE">
        <w:rPr>
          <w:rFonts w:hint="cs"/>
          <w:rtl/>
        </w:rPr>
        <w:t>.</w:t>
      </w:r>
    </w:p>
    <w:p w:rsidR="00DB5014" w14:paraId="2DA50A5C" w14:textId="77777777">
      <w:pPr>
        <w:bidi w:val="0"/>
        <w:spacing w:after="200" w:line="276" w:lineRule="auto"/>
        <w:rPr>
          <w:rFonts w:ascii="Tahoma" w:hAnsi="Tahoma" w:cs="Tahoma"/>
          <w:color w:val="0D0D0D" w:themeColor="text1" w:themeTint="F2"/>
          <w:sz w:val="18"/>
          <w:szCs w:val="18"/>
          <w:rtl/>
        </w:rPr>
      </w:pPr>
      <w:r>
        <w:rPr>
          <w:rtl/>
        </w:rPr>
        <w:br w:type="page"/>
      </w:r>
    </w:p>
    <w:p w:rsidR="005D0F8C" w:rsidP="00EB672B" w14:paraId="6DC28C4F" w14:textId="79C7EED7">
      <w:pPr>
        <w:pStyle w:val="7317"/>
        <w:rPr>
          <w:rtl/>
        </w:rPr>
      </w:pPr>
      <w:r w:rsidRPr="00D527BD">
        <w:rPr>
          <w:noProof/>
          <w:szCs w:val="20"/>
          <w:rtl/>
        </w:rPr>
        <w:drawing>
          <wp:anchor distT="0" distB="0" distL="114300" distR="114300" simplePos="0" relativeHeight="251677696"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451066646"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sidRPr="00D527BD" w:rsidR="004E71DD">
        <w:rPr>
          <w:noProof/>
          <w:szCs w:val="20"/>
          <w:rtl/>
        </w:rPr>
        <mc:AlternateContent>
          <mc:Choice Requires="wps">
            <w:drawing>
              <wp:anchor distT="0" distB="0" distL="114300" distR="114300" simplePos="0" relativeHeight="251678720" behindDoc="0" locked="0" layoutInCell="1" allowOverlap="1">
                <wp:simplePos x="0" y="0"/>
                <wp:positionH relativeFrom="column">
                  <wp:posOffset>86976</wp:posOffset>
                </wp:positionH>
                <wp:positionV relativeFrom="paragraph">
                  <wp:posOffset>44978</wp:posOffset>
                </wp:positionV>
                <wp:extent cx="4436745" cy="435128"/>
                <wp:effectExtent l="0" t="0" r="0" b="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5128"/>
                        </a:xfrm>
                        <a:prstGeom prst="rect">
                          <a:avLst/>
                        </a:prstGeom>
                        <a:solidFill>
                          <a:srgbClr val="F05260"/>
                        </a:solidFill>
                        <a:ln w="9525">
                          <a:noFill/>
                          <a:miter lim="800000"/>
                          <a:headEnd/>
                          <a:tailEnd/>
                        </a:ln>
                      </wps:spPr>
                      <wps:txbx>
                        <w:txbxContent>
                          <w:p w:rsidR="005D0F8C" w:rsidRPr="005C7ABF" w:rsidP="00524400" w14:textId="1A987EFF">
                            <w:pPr>
                              <w:pStyle w:val="7332"/>
                              <w:rPr>
                                <w:rtl/>
                              </w:rPr>
                            </w:pPr>
                            <w:r w:rsidRPr="00296E5F">
                              <w:rPr>
                                <w:rtl/>
                              </w:rPr>
                              <w:t>טווח יעד האינפלציה של הממשלה, שיעור ריבית בנק ישראל ושיעור האינפלציה בפועל בשנת 2022</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34.25pt;margin-top:3.55pt;margin-left:6.85pt;mso-height-percent:0;mso-height-relative:margin;mso-width-percent:0;mso-width-relative:margin;mso-wrap-distance-bottom:0;mso-wrap-distance-left:9pt;mso-wrap-distance-right:9pt;mso-wrap-distance-top:0;mso-wrap-style:square;position:absolute;visibility:visible;v-text-anchor:middle;z-index:251679744" fillcolor="#f05260" stroked="f">
                <v:textbox>
                  <w:txbxContent>
                    <w:p w:rsidR="005D0F8C" w:rsidRPr="005C7ABF" w:rsidP="00524400" w14:paraId="1D5D7976" w14:textId="1A987EFF">
                      <w:pPr>
                        <w:pStyle w:val="7332"/>
                        <w:rPr>
                          <w:rtl/>
                        </w:rPr>
                      </w:pPr>
                      <w:r w:rsidRPr="00296E5F">
                        <w:rPr>
                          <w:rtl/>
                        </w:rPr>
                        <w:t>טווח יעד האינפלציה של הממשלה, שיעור ריבית בנק ישראל ושיעור האינפלציה בפועל בשנת 2022</w:t>
                      </w:r>
                    </w:p>
                  </w:txbxContent>
                </v:textbox>
              </v:shape>
            </w:pict>
          </mc:Fallback>
        </mc:AlternateContent>
      </w:r>
      <w:r>
        <w:rPr>
          <w:rtl/>
        </w:rPr>
        <w:t xml:space="preserve"> </w:t>
      </w:r>
    </w:p>
    <w:p w:rsidR="005D0F8C" w:rsidP="005D0F8C" w14:paraId="5B8DB107" w14:textId="20FFFE4E">
      <w:pPr>
        <w:pStyle w:val="7317"/>
        <w:rPr>
          <w:rtl/>
        </w:rPr>
      </w:pPr>
    </w:p>
    <w:p w:rsidR="005D0F8C" w:rsidRPr="00D57BE9" w:rsidP="00D57BE9" w14:paraId="65CD3CF9" w14:textId="09F08590">
      <w:pPr>
        <w:rPr>
          <w:rtl/>
        </w:rPr>
      </w:pPr>
    </w:p>
    <w:p w:rsidR="00D57BE9" w:rsidRPr="00D57BE9" w:rsidP="00D57BE9" w14:paraId="29744092" w14:textId="06EF01F3">
      <w:pPr>
        <w:rPr>
          <w:rtl/>
        </w:rPr>
      </w:pPr>
      <w:r>
        <w:rPr>
          <w:noProof/>
          <w:rtl/>
          <w:lang w:val="he-IL"/>
        </w:rPr>
        <w:drawing>
          <wp:inline distT="0" distB="0" distL="0" distR="0">
            <wp:extent cx="4658212" cy="2864643"/>
            <wp:effectExtent l="0" t="0" r="3175" b="0"/>
            <wp:docPr id="252592013"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92013" name="תמונה 4"/>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rcRect l="2132" r="3315"/>
                    <a:stretch>
                      <a:fillRect/>
                    </a:stretch>
                  </pic:blipFill>
                  <pic:spPr bwMode="auto">
                    <a:xfrm>
                      <a:off x="0" y="0"/>
                      <a:ext cx="4684416" cy="288075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027B76" w:rsidRPr="00027B76" w:rsidP="00027B76" w14:paraId="328B0CC7" w14:textId="77777777">
      <w:pPr>
        <w:pStyle w:val="738"/>
        <w:spacing w:after="0"/>
        <w:rPr>
          <w:rtl/>
        </w:rPr>
      </w:pPr>
      <w:r w:rsidRPr="00027B76">
        <w:rPr>
          <w:rtl/>
        </w:rPr>
        <w:t xml:space="preserve">על פי נתוני בנק ישראל </w:t>
      </w:r>
      <w:r w:rsidRPr="00027B76">
        <w:rPr>
          <w:rtl/>
        </w:rPr>
        <w:t>והלמ"ס</w:t>
      </w:r>
      <w:r w:rsidRPr="00027B76">
        <w:rPr>
          <w:rtl/>
        </w:rPr>
        <w:t>, בעיבוד משרד מבקר המדינה.</w:t>
      </w:r>
    </w:p>
    <w:p w:rsidR="00027B76" w:rsidRPr="00027B76" w:rsidP="00027B76" w14:paraId="1B75FC85" w14:textId="5C4EEC2C">
      <w:pPr>
        <w:pStyle w:val="738"/>
        <w:spacing w:before="0" w:after="0"/>
        <w:ind w:left="424" w:hanging="424"/>
        <w:rPr>
          <w:rtl/>
        </w:rPr>
      </w:pPr>
      <w:r w:rsidRPr="00027B76">
        <w:rPr>
          <w:rtl/>
        </w:rPr>
        <w:t xml:space="preserve">* </w:t>
      </w:r>
      <w:r>
        <w:rPr>
          <w:rtl/>
        </w:rPr>
        <w:tab/>
      </w:r>
      <w:r w:rsidRPr="00027B76">
        <w:rPr>
          <w:rtl/>
        </w:rPr>
        <w:t>שיעור האינפלציה מחושב לסוף כל תקופה על בסיס השינוי במדד המחירים לצרכן ב-12 החודשים האחרונים.</w:t>
      </w:r>
    </w:p>
    <w:p w:rsidR="00362505" w14:paraId="3DE42211" w14:textId="77777777">
      <w:pPr>
        <w:bidi w:val="0"/>
        <w:spacing w:after="200" w:line="276" w:lineRule="auto"/>
        <w:rPr>
          <w:rFonts w:ascii="Tahoma" w:hAnsi="Tahoma" w:cs="Tahoma"/>
          <w:color w:val="0D0D0D" w:themeColor="text1" w:themeTint="F2"/>
          <w:sz w:val="16"/>
          <w:szCs w:val="16"/>
          <w:rtl/>
        </w:rPr>
      </w:pPr>
      <w:r>
        <w:rPr>
          <w:rtl/>
        </w:rPr>
        <w:br w:type="page"/>
      </w:r>
    </w:p>
    <w:p w:rsidR="000B31AA" w:rsidRPr="00027B76" w:rsidP="00027B76" w14:paraId="5C1AE375" w14:textId="60D60429">
      <w:pPr>
        <w:rPr>
          <w:rtl/>
        </w:rPr>
      </w:pPr>
      <w:r w:rsidRPr="00DC1D24">
        <w:rPr>
          <w:noProof/>
          <w:rtl/>
        </w:rPr>
        <mc:AlternateContent>
          <mc:Choice Requires="wpg">
            <w:drawing>
              <wp:anchor distT="0" distB="0" distL="114300" distR="114300" simplePos="0" relativeHeight="251680768" behindDoc="0" locked="0" layoutInCell="1" allowOverlap="1">
                <wp:simplePos x="0" y="0"/>
                <wp:positionH relativeFrom="margin">
                  <wp:posOffset>-106045</wp:posOffset>
                </wp:positionH>
                <wp:positionV relativeFrom="paragraph">
                  <wp:posOffset>1905</wp:posOffset>
                </wp:positionV>
                <wp:extent cx="4787900" cy="980440"/>
                <wp:effectExtent l="0" t="0" r="0" b="0"/>
                <wp:wrapSquare wrapText="bothSides"/>
                <wp:docPr id="1113575890" name="Group 20527709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787900" cy="980440"/>
                          <a:chOff x="0" y="181533"/>
                          <a:chExt cx="4787900" cy="786104"/>
                        </a:xfrm>
                      </wpg:grpSpPr>
                      <pic:pic xmlns:pic="http://schemas.openxmlformats.org/drawingml/2006/picture">
                        <pic:nvPicPr>
                          <pic:cNvPr id="1113575891" name="Picture 23"/>
                          <pic:cNvPicPr>
                            <a:picLocks noChangeAspect="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181533"/>
                            <a:ext cx="4787900" cy="786104"/>
                          </a:xfrm>
                          <a:prstGeom prst="rect">
                            <a:avLst/>
                          </a:prstGeom>
                        </pic:spPr>
                      </pic:pic>
                      <wps:wsp xmlns:wps="http://schemas.microsoft.com/office/word/2010/wordprocessingShape">
                        <wps:cNvPr id="1113575892" name="Text Box 2"/>
                        <wps:cNvSpPr txBox="1">
                          <a:spLocks noChangeArrowheads="1"/>
                        </wps:cNvSpPr>
                        <wps:spPr bwMode="auto">
                          <a:xfrm>
                            <a:off x="202806" y="266505"/>
                            <a:ext cx="4501930" cy="500173"/>
                          </a:xfrm>
                          <a:prstGeom prst="rect">
                            <a:avLst/>
                          </a:prstGeom>
                          <a:solidFill>
                            <a:srgbClr val="F05260"/>
                          </a:solidFill>
                          <a:ln w="9525">
                            <a:noFill/>
                            <a:miter lim="800000"/>
                            <a:headEnd/>
                            <a:tailEnd/>
                          </a:ln>
                        </wps:spPr>
                        <wps:txbx>
                          <w:txbxContent>
                            <w:p w:rsidR="000B31AA" w:rsidRPr="00524400" w:rsidP="00027B76" w14:textId="297ED8F1">
                              <w:pPr>
                                <w:pStyle w:val="7332"/>
                              </w:pPr>
                              <w:r w:rsidRPr="000779E0">
                                <w:rPr>
                                  <w:rFonts w:hint="cs"/>
                                  <w:rtl/>
                                </w:rPr>
                                <w:t>השינוי החודשי המצטבר בריבית על פיקדונות חדשים לזמן קצוב של עד שלושה חודשים, בריבית בנק ישראל והיחס ביניהם (התמסורת), אפריל 2022 - דצמבר 2022</w:t>
                              </w:r>
                            </w:p>
                          </w:txbxContent>
                        </wps:txbx>
                        <wps:bodyPr rot="0" vert="horz" wrap="square" lIns="91440" tIns="45720" rIns="91440" bIns="45720" anchor="ctr" anchorCtr="0"/>
                      </wps:wsp>
                    </wpg:wgp>
                  </a:graphicData>
                </a:graphic>
                <wp14:sizeRelH relativeFrom="margin">
                  <wp14:pctWidth>0</wp14:pctWidth>
                </wp14:sizeRelH>
                <wp14:sizeRelV relativeFrom="margin">
                  <wp14:pctHeight>0</wp14:pctHeight>
                </wp14:sizeRelV>
              </wp:anchor>
            </w:drawing>
          </mc:Choice>
          <mc:Fallback>
            <w:pict>
              <v:group id="Group 2052770959" o:spid="_x0000_s1035" alt="&quot;&quot;" style="width:377pt;height:77.2pt;margin-top:0.15pt;margin-left:-8.35pt;mso-height-relative:margin;mso-position-horizontal-relative:margin;mso-width-relative:margin;position:absolute;z-index:251681792" coordorigin="0,1815" coordsize="47879,7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6" type="#_x0000_t75" style="width:47879;height:7861;mso-wrap-style:square;position:absolute;top:1815;visibility:visible">
                  <v:imagedata r:id="rId28" o:title=""/>
                </v:shape>
                <v:shape id="_x0000_s1037" type="#_x0000_t202" style="width:45019;height:5001;left:2028;mso-wrap-style:square;position:absolute;top:2665;visibility:visible;v-text-anchor:middle" fillcolor="#f05260" stroked="f">
                  <v:textbox>
                    <w:txbxContent>
                      <w:p w:rsidR="000B31AA" w:rsidRPr="00524400" w:rsidP="00027B76" w14:paraId="64B50804" w14:textId="297ED8F1">
                        <w:pPr>
                          <w:pStyle w:val="7332"/>
                        </w:pPr>
                        <w:r w:rsidRPr="000779E0">
                          <w:rPr>
                            <w:rFonts w:hint="cs"/>
                            <w:rtl/>
                          </w:rPr>
                          <w:t>השינוי החודשי המצטבר בריבית על פיקדונות חדשים לזמן קצוב של עד שלושה חודשים, בריבית בנק ישראל והיחס ביניהם (התמסורת), אפריל 2022 - דצמבר 2022</w:t>
                        </w:r>
                      </w:p>
                    </w:txbxContent>
                  </v:textbox>
                </v:shape>
                <w10:wrap type="square"/>
              </v:group>
            </w:pict>
          </mc:Fallback>
        </mc:AlternateContent>
      </w:r>
      <w:r w:rsidR="00027B76">
        <w:rPr>
          <w:noProof/>
          <w:rtl/>
          <w:lang w:val="he-IL"/>
        </w:rPr>
        <w:drawing>
          <wp:inline distT="0" distB="0" distL="0" distR="0">
            <wp:extent cx="4727800" cy="3134737"/>
            <wp:effectExtent l="0" t="0" r="0" b="2540"/>
            <wp:docPr id="116966336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63365" name="תמונה 2"/>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1089" cy="3143548"/>
                    </a:xfrm>
                    <a:prstGeom prst="rect">
                      <a:avLst/>
                    </a:prstGeom>
                  </pic:spPr>
                </pic:pic>
              </a:graphicData>
            </a:graphic>
          </wp:inline>
        </w:drawing>
      </w:r>
    </w:p>
    <w:p w:rsidR="00027B76" w:rsidRPr="00027B76" w:rsidP="00027B76" w14:paraId="76899C15" w14:textId="77777777">
      <w:pPr>
        <w:pStyle w:val="738"/>
        <w:rPr>
          <w:rtl/>
        </w:rPr>
      </w:pPr>
      <w:r w:rsidRPr="00027B76">
        <w:rPr>
          <w:rtl/>
        </w:rPr>
        <w:t xml:space="preserve">המקור: בנק ישראל, </w:t>
      </w:r>
      <w:r w:rsidRPr="00027B76">
        <w:rPr>
          <w:b/>
          <w:bCs/>
          <w:rtl/>
        </w:rPr>
        <w:t>ניתוח מתוך דוח בנק ישראל 2022</w:t>
      </w:r>
      <w:r w:rsidRPr="00027B76">
        <w:rPr>
          <w:rtl/>
        </w:rPr>
        <w:t>, התמסורת מהמדיניות המוניטרית לריבית הפיקדונות בישראל, מרץ 2023, עמ' 2 - 3.</w:t>
      </w:r>
    </w:p>
    <w:p w:rsidR="00027B76" w:rsidP="00027B76" w14:paraId="70615BC1" w14:textId="476D9C2B">
      <w:pPr>
        <w:pStyle w:val="738"/>
        <w:rPr>
          <w:rtl/>
        </w:rPr>
      </w:pPr>
      <w:r w:rsidRPr="00027B76">
        <w:rPr>
          <w:rtl/>
        </w:rPr>
        <w:t>*</w:t>
      </w:r>
      <w:r w:rsidRPr="00027B76">
        <w:rPr>
          <w:rFonts w:hint="cs"/>
          <w:rtl/>
        </w:rPr>
        <w:t xml:space="preserve"> </w:t>
      </w:r>
      <w:r w:rsidRPr="00027B76">
        <w:rPr>
          <w:rtl/>
        </w:rPr>
        <w:t>ריבית בנק ישראל ממוצעת בכל חודש, וריבית פיקדונות ממוצעת עבור פיקדונות חדשים לזמן קצוב של עד שלושה חודשים, ריבית קבועה לא צמודה, סך המערכת הבנקאית, משקי בית ללא בנקאות פרטית.</w:t>
      </w:r>
    </w:p>
    <w:p w:rsidR="00027B76" w14:paraId="530CF5BC" w14:textId="77777777">
      <w:pPr>
        <w:bidi w:val="0"/>
        <w:spacing w:after="200" w:line="276" w:lineRule="auto"/>
        <w:rPr>
          <w:rFonts w:ascii="Tahoma" w:hAnsi="Tahoma" w:cs="Tahoma"/>
          <w:color w:val="0D0D0D" w:themeColor="text1" w:themeTint="F2"/>
          <w:sz w:val="16"/>
          <w:szCs w:val="16"/>
          <w:rtl/>
        </w:rPr>
      </w:pPr>
      <w:r>
        <w:rPr>
          <w:rtl/>
        </w:rPr>
        <w:br w:type="page"/>
      </w:r>
    </w:p>
    <w:p w:rsidR="004E71DD" w:rsidP="004E71DD" w14:paraId="7C33D7DD" w14:textId="7A449BE3">
      <w:pPr>
        <w:pStyle w:val="73"/>
        <w:rPr>
          <w:rtl/>
        </w:rPr>
      </w:pPr>
      <w:r w:rsidRPr="00EF3061">
        <w:rPr>
          <w:rFonts w:hint="cs"/>
          <w:rtl/>
        </w:rPr>
        <w:t>סיכום</w:t>
      </w:r>
    </w:p>
    <w:p w:rsidR="00027B76" w:rsidRPr="00253609" w:rsidP="00027B76" w14:paraId="49E81881" w14:textId="77777777">
      <w:pPr>
        <w:widowControl w:val="0"/>
        <w:tabs>
          <w:tab w:val="left" w:pos="9604"/>
        </w:tabs>
        <w:spacing w:before="240" w:line="276" w:lineRule="auto"/>
        <w:ind w:left="-1"/>
        <w:rPr>
          <w:rFonts w:ascii="Tahoma" w:hAnsi="Tahoma" w:cs="Tahoma"/>
          <w:sz w:val="18"/>
          <w:szCs w:val="18"/>
          <w:rtl/>
        </w:rPr>
      </w:pPr>
      <w:r w:rsidRPr="00253609">
        <w:rPr>
          <w:rFonts w:ascii="Tahoma" w:hAnsi="Tahoma" w:cs="Tahoma" w:hint="cs"/>
          <w:sz w:val="18"/>
          <w:szCs w:val="18"/>
          <w:rtl/>
        </w:rPr>
        <w:t xml:space="preserve">אינפלציה גבוהה, המלֻווה באי-ודאות ובתנודתיות גדולה מן הרגיל של שינויי המחירים, פוגעת בפעילות הכלכלית ובצמיחה. </w:t>
      </w:r>
      <w:r w:rsidRPr="00253609">
        <w:rPr>
          <w:rFonts w:ascii="Tahoma" w:hAnsi="Tahoma" w:cs="Tahoma"/>
          <w:sz w:val="18"/>
          <w:szCs w:val="18"/>
          <w:rtl/>
        </w:rPr>
        <w:t>שנת 2022 התאפיינה בסביבת אינפלציה</w:t>
      </w:r>
      <w:r w:rsidRPr="00253609">
        <w:rPr>
          <w:rFonts w:ascii="Tahoma" w:hAnsi="Tahoma" w:cs="Tahoma" w:hint="cs"/>
          <w:sz w:val="18"/>
          <w:szCs w:val="18"/>
          <w:rtl/>
        </w:rPr>
        <w:t xml:space="preserve"> של 5.3% ה</w:t>
      </w:r>
      <w:r w:rsidRPr="00253609">
        <w:rPr>
          <w:rFonts w:ascii="Tahoma" w:hAnsi="Tahoma" w:cs="Tahoma"/>
          <w:sz w:val="18"/>
          <w:szCs w:val="18"/>
          <w:rtl/>
        </w:rPr>
        <w:t xml:space="preserve">גבוהה ביחס לשנים </w:t>
      </w:r>
      <w:r w:rsidRPr="00253609">
        <w:rPr>
          <w:rFonts w:ascii="Tahoma" w:hAnsi="Tahoma" w:cs="Tahoma" w:hint="cs"/>
          <w:sz w:val="18"/>
          <w:szCs w:val="18"/>
          <w:rtl/>
        </w:rPr>
        <w:t>שלפני</w:t>
      </w:r>
      <w:r w:rsidRPr="00253609">
        <w:rPr>
          <w:rFonts w:ascii="Tahoma" w:hAnsi="Tahoma" w:cs="Tahoma"/>
          <w:sz w:val="18"/>
          <w:szCs w:val="18"/>
          <w:rtl/>
        </w:rPr>
        <w:t>ה</w:t>
      </w:r>
      <w:r w:rsidRPr="00253609">
        <w:rPr>
          <w:rFonts w:ascii="Tahoma" w:hAnsi="Tahoma" w:cs="Tahoma" w:hint="cs"/>
          <w:sz w:val="18"/>
          <w:szCs w:val="18"/>
          <w:rtl/>
        </w:rPr>
        <w:t xml:space="preserve"> וזאת כחלק ממגמה עולמית</w:t>
      </w:r>
      <w:r w:rsidRPr="00253609">
        <w:rPr>
          <w:rFonts w:ascii="Tahoma" w:hAnsi="Tahoma" w:cs="Tahoma"/>
          <w:sz w:val="18"/>
          <w:szCs w:val="18"/>
          <w:rtl/>
        </w:rPr>
        <w:t xml:space="preserve">, </w:t>
      </w:r>
      <w:r w:rsidRPr="00253609">
        <w:rPr>
          <w:rFonts w:ascii="Tahoma" w:hAnsi="Tahoma" w:cs="Tahoma" w:hint="cs"/>
          <w:sz w:val="18"/>
          <w:szCs w:val="18"/>
          <w:rtl/>
        </w:rPr>
        <w:t xml:space="preserve">וזו </w:t>
      </w:r>
      <w:r w:rsidRPr="00253609">
        <w:rPr>
          <w:rFonts w:ascii="Tahoma" w:hAnsi="Tahoma" w:cs="Tahoma" w:hint="eastAsia"/>
          <w:sz w:val="18"/>
          <w:szCs w:val="18"/>
          <w:rtl/>
        </w:rPr>
        <w:t>הביאה</w:t>
      </w:r>
      <w:r w:rsidRPr="00253609">
        <w:rPr>
          <w:rFonts w:ascii="Tahoma" w:hAnsi="Tahoma" w:cs="Tahoma"/>
          <w:sz w:val="18"/>
          <w:szCs w:val="18"/>
          <w:rtl/>
        </w:rPr>
        <w:t xml:space="preserve"> </w:t>
      </w:r>
      <w:r w:rsidRPr="00253609">
        <w:rPr>
          <w:rFonts w:ascii="Tahoma" w:hAnsi="Tahoma" w:cs="Tahoma" w:hint="eastAsia"/>
          <w:sz w:val="18"/>
          <w:szCs w:val="18"/>
          <w:rtl/>
        </w:rPr>
        <w:t>לחריגה</w:t>
      </w:r>
      <w:r w:rsidRPr="00253609">
        <w:rPr>
          <w:rFonts w:ascii="Tahoma" w:hAnsi="Tahoma" w:cs="Tahoma"/>
          <w:sz w:val="18"/>
          <w:szCs w:val="18"/>
          <w:rtl/>
        </w:rPr>
        <w:t xml:space="preserve"> </w:t>
      </w:r>
      <w:r w:rsidRPr="00253609">
        <w:rPr>
          <w:rFonts w:ascii="Tahoma" w:hAnsi="Tahoma" w:cs="Tahoma" w:hint="cs"/>
          <w:sz w:val="18"/>
          <w:szCs w:val="18"/>
          <w:rtl/>
        </w:rPr>
        <w:t>נ</w:t>
      </w:r>
      <w:r w:rsidRPr="00253609">
        <w:rPr>
          <w:rFonts w:ascii="Tahoma" w:hAnsi="Tahoma" w:cs="Tahoma" w:hint="eastAsia"/>
          <w:sz w:val="18"/>
          <w:szCs w:val="18"/>
          <w:rtl/>
        </w:rPr>
        <w:t>י</w:t>
      </w:r>
      <w:r w:rsidRPr="00253609">
        <w:rPr>
          <w:rFonts w:ascii="Tahoma" w:hAnsi="Tahoma" w:cs="Tahoma" w:hint="cs"/>
          <w:sz w:val="18"/>
          <w:szCs w:val="18"/>
          <w:rtl/>
        </w:rPr>
        <w:t>כר</w:t>
      </w:r>
      <w:r w:rsidRPr="00253609">
        <w:rPr>
          <w:rFonts w:ascii="Tahoma" w:hAnsi="Tahoma" w:cs="Tahoma" w:hint="eastAsia"/>
          <w:sz w:val="18"/>
          <w:szCs w:val="18"/>
          <w:rtl/>
        </w:rPr>
        <w:t>ת</w:t>
      </w:r>
      <w:r w:rsidRPr="00253609">
        <w:rPr>
          <w:rFonts w:ascii="Tahoma" w:hAnsi="Tahoma" w:cs="Tahoma"/>
          <w:sz w:val="18"/>
          <w:szCs w:val="18"/>
          <w:rtl/>
        </w:rPr>
        <w:t xml:space="preserve"> </w:t>
      </w:r>
      <w:r w:rsidRPr="00253609">
        <w:rPr>
          <w:rFonts w:ascii="Tahoma" w:hAnsi="Tahoma" w:cs="Tahoma" w:hint="eastAsia"/>
          <w:sz w:val="18"/>
          <w:szCs w:val="18"/>
          <w:rtl/>
        </w:rPr>
        <w:t>מ</w:t>
      </w:r>
      <w:r w:rsidRPr="00253609">
        <w:rPr>
          <w:rFonts w:ascii="Tahoma" w:hAnsi="Tahoma" w:cs="Tahoma" w:hint="cs"/>
          <w:sz w:val="18"/>
          <w:szCs w:val="18"/>
          <w:rtl/>
        </w:rPr>
        <w:t xml:space="preserve">הגבול העליון של </w:t>
      </w:r>
      <w:r w:rsidRPr="00253609">
        <w:rPr>
          <w:rFonts w:ascii="Tahoma" w:hAnsi="Tahoma" w:cs="Tahoma" w:hint="eastAsia"/>
          <w:sz w:val="18"/>
          <w:szCs w:val="18"/>
          <w:rtl/>
        </w:rPr>
        <w:t>טווח</w:t>
      </w:r>
      <w:r w:rsidRPr="00253609">
        <w:rPr>
          <w:rFonts w:ascii="Tahoma" w:hAnsi="Tahoma" w:cs="Tahoma"/>
          <w:sz w:val="18"/>
          <w:szCs w:val="18"/>
          <w:rtl/>
        </w:rPr>
        <w:t xml:space="preserve"> </w:t>
      </w:r>
      <w:r w:rsidRPr="00253609">
        <w:rPr>
          <w:rFonts w:ascii="Tahoma" w:hAnsi="Tahoma" w:cs="Tahoma" w:hint="eastAsia"/>
          <w:sz w:val="18"/>
          <w:szCs w:val="18"/>
          <w:rtl/>
        </w:rPr>
        <w:t>יעד</w:t>
      </w:r>
      <w:r w:rsidRPr="00253609">
        <w:rPr>
          <w:rFonts w:ascii="Tahoma" w:hAnsi="Tahoma" w:cs="Tahoma"/>
          <w:sz w:val="18"/>
          <w:szCs w:val="18"/>
          <w:rtl/>
        </w:rPr>
        <w:t xml:space="preserve"> </w:t>
      </w:r>
      <w:r w:rsidRPr="00253609">
        <w:rPr>
          <w:rFonts w:ascii="Tahoma" w:hAnsi="Tahoma" w:cs="Tahoma" w:hint="eastAsia"/>
          <w:sz w:val="18"/>
          <w:szCs w:val="18"/>
          <w:rtl/>
        </w:rPr>
        <w:t>האינפלציה</w:t>
      </w:r>
      <w:r w:rsidRPr="00253609">
        <w:rPr>
          <w:rFonts w:ascii="Tahoma" w:hAnsi="Tahoma" w:cs="Tahoma" w:hint="cs"/>
          <w:sz w:val="18"/>
          <w:szCs w:val="18"/>
          <w:rtl/>
        </w:rPr>
        <w:t xml:space="preserve"> שקבעה הממשלה (3%). קיימת חשיבות להיערכות הגופים השונים במדינה כדי להתמודד עם עליית האינפלציה. בביקורת נמצא כי בנק ישראל נקט צעדים מוניטריים שונים ובהם העלאת הריבית והנפקת </w:t>
      </w:r>
      <w:r w:rsidRPr="00253609">
        <w:rPr>
          <w:rFonts w:ascii="Tahoma" w:hAnsi="Tahoma" w:cs="Tahoma" w:hint="cs"/>
          <w:sz w:val="18"/>
          <w:szCs w:val="18"/>
          <w:rtl/>
        </w:rPr>
        <w:t>מק"ם</w:t>
      </w:r>
      <w:r w:rsidRPr="00253609">
        <w:rPr>
          <w:rFonts w:ascii="Tahoma" w:hAnsi="Tahoma" w:cs="Tahoma" w:hint="cs"/>
          <w:sz w:val="18"/>
          <w:szCs w:val="18"/>
          <w:rtl/>
        </w:rPr>
        <w:t xml:space="preserve">, ואילו הממשלה נקטה חלק מהצעדים הפיסקליים העומדים לרשותה. עוד נמצא כי חלה עלייה בפער הריבית במערכת הבנקאית במחצית הראשונה של 2022 שנבעה </w:t>
      </w:r>
      <w:r w:rsidRPr="00253609">
        <w:rPr>
          <w:rFonts w:ascii="Tahoma" w:hAnsi="Tahoma" w:cs="Tahoma" w:hint="eastAsia"/>
          <w:sz w:val="18"/>
          <w:szCs w:val="18"/>
          <w:rtl/>
        </w:rPr>
        <w:t>הן</w:t>
      </w:r>
      <w:r w:rsidRPr="00253609">
        <w:rPr>
          <w:rFonts w:ascii="Tahoma" w:hAnsi="Tahoma" w:cs="Tahoma"/>
          <w:sz w:val="18"/>
          <w:szCs w:val="18"/>
          <w:rtl/>
        </w:rPr>
        <w:t xml:space="preserve"> מהאינפלציה </w:t>
      </w:r>
      <w:r w:rsidRPr="00253609">
        <w:rPr>
          <w:rFonts w:ascii="Tahoma" w:hAnsi="Tahoma" w:cs="Tahoma" w:hint="cs"/>
          <w:sz w:val="18"/>
          <w:szCs w:val="18"/>
          <w:rtl/>
        </w:rPr>
        <w:t xml:space="preserve">והן מעליית ריבית בנק ישראל, וכי לעומת </w:t>
      </w:r>
      <w:r w:rsidRPr="00253609">
        <w:rPr>
          <w:rFonts w:ascii="Tahoma" w:hAnsi="Tahoma" w:cs="Tahoma" w:hint="eastAsia"/>
          <w:sz w:val="18"/>
          <w:szCs w:val="18"/>
          <w:rtl/>
        </w:rPr>
        <w:t>עליית</w:t>
      </w:r>
      <w:r w:rsidRPr="00253609">
        <w:rPr>
          <w:rFonts w:ascii="Tahoma" w:hAnsi="Tahoma" w:cs="Tahoma"/>
          <w:sz w:val="18"/>
          <w:szCs w:val="18"/>
          <w:rtl/>
        </w:rPr>
        <w:t xml:space="preserve"> </w:t>
      </w:r>
      <w:r w:rsidRPr="00253609">
        <w:rPr>
          <w:rFonts w:ascii="Tahoma" w:hAnsi="Tahoma" w:cs="Tahoma" w:hint="eastAsia"/>
          <w:sz w:val="18"/>
          <w:szCs w:val="18"/>
          <w:rtl/>
        </w:rPr>
        <w:t>ריבית</w:t>
      </w:r>
      <w:r w:rsidRPr="00253609">
        <w:rPr>
          <w:rFonts w:ascii="Tahoma" w:hAnsi="Tahoma" w:cs="Tahoma"/>
          <w:sz w:val="18"/>
          <w:szCs w:val="18"/>
          <w:rtl/>
        </w:rPr>
        <w:t xml:space="preserve"> </w:t>
      </w:r>
      <w:r w:rsidRPr="00253609">
        <w:rPr>
          <w:rFonts w:ascii="Tahoma" w:hAnsi="Tahoma" w:cs="Tahoma" w:hint="eastAsia"/>
          <w:sz w:val="18"/>
          <w:szCs w:val="18"/>
          <w:rtl/>
        </w:rPr>
        <w:t>בנק</w:t>
      </w:r>
      <w:r w:rsidRPr="00253609">
        <w:rPr>
          <w:rFonts w:ascii="Tahoma" w:hAnsi="Tahoma" w:cs="Tahoma"/>
          <w:sz w:val="18"/>
          <w:szCs w:val="18"/>
          <w:rtl/>
        </w:rPr>
        <w:t xml:space="preserve"> </w:t>
      </w:r>
      <w:r w:rsidRPr="00253609">
        <w:rPr>
          <w:rFonts w:ascii="Tahoma" w:hAnsi="Tahoma" w:cs="Tahoma" w:hint="eastAsia"/>
          <w:sz w:val="18"/>
          <w:szCs w:val="18"/>
          <w:rtl/>
        </w:rPr>
        <w:t>ישראל</w:t>
      </w:r>
      <w:r w:rsidRPr="00253609">
        <w:rPr>
          <w:rFonts w:ascii="Tahoma" w:hAnsi="Tahoma" w:cs="Tahoma" w:hint="cs"/>
          <w:sz w:val="18"/>
          <w:szCs w:val="18"/>
          <w:rtl/>
        </w:rPr>
        <w:t>,</w:t>
      </w:r>
      <w:r w:rsidRPr="00253609">
        <w:rPr>
          <w:rFonts w:ascii="Tahoma" w:hAnsi="Tahoma" w:cs="Tahoma"/>
          <w:sz w:val="18"/>
          <w:szCs w:val="18"/>
          <w:rtl/>
        </w:rPr>
        <w:t xml:space="preserve"> </w:t>
      </w:r>
      <w:r w:rsidRPr="00253609">
        <w:rPr>
          <w:rFonts w:ascii="Tahoma" w:hAnsi="Tahoma" w:cs="Tahoma" w:hint="cs"/>
          <w:sz w:val="18"/>
          <w:szCs w:val="18"/>
          <w:rtl/>
        </w:rPr>
        <w:t>ש</w:t>
      </w:r>
      <w:r w:rsidRPr="00253609">
        <w:rPr>
          <w:rFonts w:ascii="Tahoma" w:hAnsi="Tahoma" w:cs="Tahoma" w:hint="eastAsia"/>
          <w:sz w:val="18"/>
          <w:szCs w:val="18"/>
          <w:rtl/>
        </w:rPr>
        <w:t>הועברה</w:t>
      </w:r>
      <w:r w:rsidRPr="00253609">
        <w:rPr>
          <w:rFonts w:ascii="Tahoma" w:hAnsi="Tahoma" w:cs="Tahoma"/>
          <w:sz w:val="18"/>
          <w:szCs w:val="18"/>
          <w:rtl/>
        </w:rPr>
        <w:t xml:space="preserve"> </w:t>
      </w:r>
      <w:r w:rsidRPr="00253609">
        <w:rPr>
          <w:rFonts w:ascii="Tahoma" w:hAnsi="Tahoma" w:cs="Tahoma" w:hint="eastAsia"/>
          <w:sz w:val="18"/>
          <w:szCs w:val="18"/>
          <w:rtl/>
        </w:rPr>
        <w:t>במלואה</w:t>
      </w:r>
      <w:r w:rsidRPr="00253609">
        <w:rPr>
          <w:rFonts w:ascii="Tahoma" w:hAnsi="Tahoma" w:cs="Tahoma"/>
          <w:sz w:val="18"/>
          <w:szCs w:val="18"/>
          <w:rtl/>
        </w:rPr>
        <w:t xml:space="preserve"> </w:t>
      </w:r>
      <w:r w:rsidRPr="00253609">
        <w:rPr>
          <w:rFonts w:ascii="Tahoma" w:hAnsi="Tahoma" w:cs="Tahoma" w:hint="eastAsia"/>
          <w:sz w:val="18"/>
          <w:szCs w:val="18"/>
          <w:rtl/>
        </w:rPr>
        <w:t>לאשראי</w:t>
      </w:r>
      <w:r w:rsidRPr="00253609">
        <w:rPr>
          <w:rFonts w:ascii="Tahoma" w:hAnsi="Tahoma" w:cs="Tahoma"/>
          <w:sz w:val="18"/>
          <w:szCs w:val="18"/>
          <w:rtl/>
        </w:rPr>
        <w:t xml:space="preserve"> </w:t>
      </w:r>
      <w:r w:rsidRPr="00253609">
        <w:rPr>
          <w:rFonts w:ascii="Tahoma" w:hAnsi="Tahoma" w:cs="Tahoma" w:hint="eastAsia"/>
          <w:sz w:val="18"/>
          <w:szCs w:val="18"/>
          <w:rtl/>
        </w:rPr>
        <w:t>הבנקאי</w:t>
      </w:r>
      <w:r w:rsidRPr="00253609">
        <w:rPr>
          <w:rFonts w:ascii="Tahoma" w:hAnsi="Tahoma" w:cs="Tahoma"/>
          <w:sz w:val="18"/>
          <w:szCs w:val="18"/>
          <w:rtl/>
        </w:rPr>
        <w:t xml:space="preserve"> </w:t>
      </w:r>
      <w:r w:rsidRPr="00253609">
        <w:rPr>
          <w:rFonts w:ascii="Tahoma" w:hAnsi="Tahoma" w:cs="Tahoma" w:hint="cs"/>
          <w:sz w:val="18"/>
          <w:szCs w:val="18"/>
          <w:rtl/>
        </w:rPr>
        <w:t xml:space="preserve">המוצע </w:t>
      </w:r>
      <w:r w:rsidRPr="00253609">
        <w:rPr>
          <w:rFonts w:ascii="Tahoma" w:hAnsi="Tahoma" w:cs="Tahoma" w:hint="eastAsia"/>
          <w:sz w:val="18"/>
          <w:szCs w:val="18"/>
          <w:rtl/>
        </w:rPr>
        <w:t>לציבור</w:t>
      </w:r>
      <w:r w:rsidRPr="00253609">
        <w:rPr>
          <w:rFonts w:ascii="Tahoma" w:hAnsi="Tahoma" w:cs="Tahoma"/>
          <w:sz w:val="18"/>
          <w:szCs w:val="18"/>
          <w:rtl/>
        </w:rPr>
        <w:t xml:space="preserve">, </w:t>
      </w:r>
      <w:r w:rsidRPr="00253609">
        <w:rPr>
          <w:rFonts w:ascii="Tahoma" w:hAnsi="Tahoma" w:cs="Tahoma" w:hint="eastAsia"/>
          <w:sz w:val="18"/>
          <w:szCs w:val="18"/>
          <w:rtl/>
        </w:rPr>
        <w:t>העלייה</w:t>
      </w:r>
      <w:r w:rsidRPr="00253609">
        <w:rPr>
          <w:rFonts w:ascii="Tahoma" w:hAnsi="Tahoma" w:cs="Tahoma"/>
          <w:sz w:val="18"/>
          <w:szCs w:val="18"/>
          <w:rtl/>
        </w:rPr>
        <w:t xml:space="preserve"> </w:t>
      </w:r>
      <w:r w:rsidRPr="00253609">
        <w:rPr>
          <w:rFonts w:ascii="Tahoma" w:hAnsi="Tahoma" w:cs="Tahoma" w:hint="eastAsia"/>
          <w:sz w:val="18"/>
          <w:szCs w:val="18"/>
          <w:rtl/>
        </w:rPr>
        <w:t>של</w:t>
      </w:r>
      <w:r w:rsidRPr="00253609">
        <w:rPr>
          <w:rFonts w:ascii="Tahoma" w:hAnsi="Tahoma" w:cs="Tahoma"/>
          <w:sz w:val="18"/>
          <w:szCs w:val="18"/>
          <w:rtl/>
        </w:rPr>
        <w:t xml:space="preserve"> </w:t>
      </w:r>
      <w:r w:rsidRPr="00253609">
        <w:rPr>
          <w:rFonts w:ascii="Tahoma" w:hAnsi="Tahoma" w:cs="Tahoma" w:hint="eastAsia"/>
          <w:sz w:val="18"/>
          <w:szCs w:val="18"/>
          <w:rtl/>
        </w:rPr>
        <w:t>הריבית</w:t>
      </w:r>
      <w:r w:rsidRPr="00253609">
        <w:rPr>
          <w:rFonts w:ascii="Tahoma" w:hAnsi="Tahoma" w:cs="Tahoma"/>
          <w:sz w:val="18"/>
          <w:szCs w:val="18"/>
          <w:rtl/>
        </w:rPr>
        <w:t xml:space="preserve"> </w:t>
      </w:r>
      <w:r w:rsidRPr="00253609">
        <w:rPr>
          <w:rFonts w:ascii="Tahoma" w:hAnsi="Tahoma" w:cs="Tahoma" w:hint="eastAsia"/>
          <w:sz w:val="18"/>
          <w:szCs w:val="18"/>
          <w:rtl/>
        </w:rPr>
        <w:t>על</w:t>
      </w:r>
      <w:r w:rsidRPr="00253609">
        <w:rPr>
          <w:rFonts w:ascii="Tahoma" w:hAnsi="Tahoma" w:cs="Tahoma"/>
          <w:sz w:val="18"/>
          <w:szCs w:val="18"/>
          <w:rtl/>
        </w:rPr>
        <w:t xml:space="preserve"> </w:t>
      </w:r>
      <w:r w:rsidRPr="00253609">
        <w:rPr>
          <w:rFonts w:ascii="Tahoma" w:hAnsi="Tahoma" w:cs="Tahoma" w:hint="eastAsia"/>
          <w:sz w:val="18"/>
          <w:szCs w:val="18"/>
          <w:rtl/>
        </w:rPr>
        <w:t>פיקדונות</w:t>
      </w:r>
      <w:r w:rsidRPr="00253609">
        <w:rPr>
          <w:rFonts w:ascii="Tahoma" w:hAnsi="Tahoma" w:cs="Tahoma"/>
          <w:sz w:val="18"/>
          <w:szCs w:val="18"/>
          <w:rtl/>
        </w:rPr>
        <w:t xml:space="preserve"> </w:t>
      </w:r>
      <w:r w:rsidRPr="00253609">
        <w:rPr>
          <w:rFonts w:ascii="Tahoma" w:hAnsi="Tahoma" w:cs="Tahoma" w:hint="eastAsia"/>
          <w:sz w:val="18"/>
          <w:szCs w:val="18"/>
          <w:rtl/>
        </w:rPr>
        <w:t>הציבור</w:t>
      </w:r>
      <w:r w:rsidRPr="00253609">
        <w:rPr>
          <w:rFonts w:ascii="Tahoma" w:hAnsi="Tahoma" w:cs="Tahoma"/>
          <w:sz w:val="18"/>
          <w:szCs w:val="18"/>
          <w:rtl/>
        </w:rPr>
        <w:t xml:space="preserve"> </w:t>
      </w:r>
      <w:r w:rsidRPr="00253609">
        <w:rPr>
          <w:rFonts w:ascii="Tahoma" w:hAnsi="Tahoma" w:cs="Tahoma" w:hint="eastAsia"/>
          <w:sz w:val="18"/>
          <w:szCs w:val="18"/>
          <w:rtl/>
        </w:rPr>
        <w:t>בבנקים</w:t>
      </w:r>
      <w:r w:rsidRPr="00253609">
        <w:rPr>
          <w:rFonts w:ascii="Tahoma" w:hAnsi="Tahoma" w:cs="Tahoma"/>
          <w:sz w:val="18"/>
          <w:szCs w:val="18"/>
          <w:rtl/>
        </w:rPr>
        <w:t xml:space="preserve"> </w:t>
      </w:r>
      <w:r w:rsidRPr="00253609">
        <w:rPr>
          <w:rFonts w:ascii="Tahoma" w:hAnsi="Tahoma" w:cs="Tahoma" w:hint="eastAsia"/>
          <w:sz w:val="18"/>
          <w:szCs w:val="18"/>
          <w:rtl/>
        </w:rPr>
        <w:t>הייתה</w:t>
      </w:r>
      <w:r w:rsidRPr="00253609">
        <w:rPr>
          <w:rFonts w:ascii="Tahoma" w:hAnsi="Tahoma" w:cs="Tahoma"/>
          <w:sz w:val="18"/>
          <w:szCs w:val="18"/>
          <w:rtl/>
        </w:rPr>
        <w:t xml:space="preserve"> </w:t>
      </w:r>
      <w:r w:rsidRPr="00253609">
        <w:rPr>
          <w:rFonts w:ascii="Tahoma" w:hAnsi="Tahoma" w:cs="Tahoma" w:hint="eastAsia"/>
          <w:sz w:val="18"/>
          <w:szCs w:val="18"/>
          <w:rtl/>
        </w:rPr>
        <w:t>חלקית</w:t>
      </w:r>
      <w:r w:rsidRPr="00253609">
        <w:rPr>
          <w:rFonts w:ascii="Tahoma" w:hAnsi="Tahoma" w:cs="Tahoma"/>
          <w:sz w:val="18"/>
          <w:szCs w:val="18"/>
          <w:rtl/>
        </w:rPr>
        <w:t xml:space="preserve"> </w:t>
      </w:r>
      <w:r w:rsidRPr="00253609">
        <w:rPr>
          <w:rFonts w:ascii="Tahoma" w:hAnsi="Tahoma" w:cs="Tahoma" w:hint="eastAsia"/>
          <w:sz w:val="18"/>
          <w:szCs w:val="18"/>
          <w:rtl/>
        </w:rPr>
        <w:t>ועמדה</w:t>
      </w:r>
      <w:r w:rsidRPr="00253609">
        <w:rPr>
          <w:rFonts w:ascii="Tahoma" w:hAnsi="Tahoma" w:cs="Tahoma"/>
          <w:sz w:val="18"/>
          <w:szCs w:val="18"/>
          <w:rtl/>
        </w:rPr>
        <w:t xml:space="preserve"> </w:t>
      </w:r>
      <w:r w:rsidRPr="00253609">
        <w:rPr>
          <w:rFonts w:ascii="Tahoma" w:hAnsi="Tahoma" w:cs="Tahoma" w:hint="eastAsia"/>
          <w:sz w:val="18"/>
          <w:szCs w:val="18"/>
          <w:rtl/>
        </w:rPr>
        <w:t>על</w:t>
      </w:r>
      <w:r w:rsidRPr="00253609">
        <w:rPr>
          <w:rFonts w:ascii="Tahoma" w:hAnsi="Tahoma" w:cs="Tahoma"/>
          <w:sz w:val="18"/>
          <w:szCs w:val="18"/>
          <w:rtl/>
        </w:rPr>
        <w:t xml:space="preserve"> </w:t>
      </w:r>
      <w:r w:rsidRPr="00253609">
        <w:rPr>
          <w:rFonts w:ascii="Tahoma" w:hAnsi="Tahoma" w:cs="Tahoma" w:hint="eastAsia"/>
          <w:sz w:val="18"/>
          <w:szCs w:val="18"/>
          <w:rtl/>
        </w:rPr>
        <w:t>כ</w:t>
      </w:r>
      <w:r w:rsidRPr="00253609">
        <w:rPr>
          <w:rFonts w:ascii="Tahoma" w:hAnsi="Tahoma" w:cs="Tahoma"/>
          <w:sz w:val="18"/>
          <w:szCs w:val="18"/>
          <w:rtl/>
        </w:rPr>
        <w:t>-60%</w:t>
      </w:r>
      <w:r w:rsidRPr="00253609">
        <w:rPr>
          <w:rFonts w:ascii="Tahoma" w:hAnsi="Tahoma" w:cs="Tahoma" w:hint="cs"/>
          <w:sz w:val="18"/>
          <w:szCs w:val="18"/>
          <w:rtl/>
        </w:rPr>
        <w:t xml:space="preserve"> נכון לאוגוסט 2022. </w:t>
      </w:r>
    </w:p>
    <w:p w:rsidR="00027B76" w:rsidRPr="00253609" w:rsidP="00027B76" w14:paraId="6800ED25" w14:textId="77777777">
      <w:pPr>
        <w:widowControl w:val="0"/>
        <w:tabs>
          <w:tab w:val="left" w:pos="9604"/>
        </w:tabs>
        <w:spacing w:before="240" w:line="276" w:lineRule="auto"/>
        <w:ind w:left="-1"/>
        <w:rPr>
          <w:rFonts w:ascii="Tahoma" w:hAnsi="Tahoma" w:cs="Tahoma"/>
          <w:sz w:val="18"/>
          <w:szCs w:val="18"/>
          <w:rtl/>
        </w:rPr>
      </w:pPr>
      <w:r w:rsidRPr="00253609">
        <w:rPr>
          <w:rFonts w:ascii="Tahoma" w:hAnsi="Tahoma" w:cs="Tahoma" w:hint="cs"/>
          <w:sz w:val="18"/>
          <w:szCs w:val="18"/>
          <w:rtl/>
        </w:rPr>
        <w:t>מומלץ שמשרד האוצר ייערך לסביבת אינפלציה משתנה, תוך נקיטת צעדים ממוקדים שיקטינו את האפשרות לסחרור אינפלציוני מחד, ותמיכה באוכלוסיות ראויות לקידום שנפגעו מעליית האינפלציה מאידך. על הפיקוח על הבנקים להמשיך ולהבטיח את יציבות המערכת הבנקאית מחד ומאידך לפעול לכך שכתוצאה מעליית הריבית המערכת הבנקאית לא תרוויח רווחי עתק על חשבון החוסכים.</w:t>
      </w:r>
    </w:p>
    <w:p w:rsidR="00E56721" w:rsidP="004E71DD" w14:paraId="51216BE2" w14:textId="77777777">
      <w:pPr>
        <w:widowControl w:val="0"/>
        <w:tabs>
          <w:tab w:val="left" w:pos="9604"/>
        </w:tabs>
        <w:spacing w:before="240" w:line="276" w:lineRule="auto"/>
        <w:ind w:left="-1"/>
        <w:rPr>
          <w:rFonts w:ascii="Tahoma" w:hAnsi="Tahoma" w:cs="Tahoma"/>
          <w:sz w:val="18"/>
          <w:szCs w:val="18"/>
          <w:rtl/>
        </w:rPr>
      </w:pPr>
    </w:p>
    <w:p w:rsidR="00027B76" w:rsidP="004E71DD" w14:paraId="1B37DAFD" w14:textId="77777777">
      <w:pPr>
        <w:widowControl w:val="0"/>
        <w:tabs>
          <w:tab w:val="left" w:pos="9604"/>
        </w:tabs>
        <w:spacing w:before="240" w:line="276" w:lineRule="auto"/>
        <w:ind w:left="-1"/>
        <w:rPr>
          <w:rFonts w:ascii="Tahoma" w:hAnsi="Tahoma" w:cs="Tahoma"/>
          <w:sz w:val="18"/>
          <w:szCs w:val="18"/>
          <w:rtl/>
        </w:rPr>
        <w:sectPr w:rsidSect="00991F94">
          <w:headerReference w:type="even" r:id="rId30"/>
          <w:footerReference w:type="even" r:id="rId31"/>
          <w:pgSz w:w="11906" w:h="16838" w:code="9"/>
          <w:pgMar w:top="3062" w:right="2268" w:bottom="2552" w:left="2268" w:header="1134" w:footer="1361" w:gutter="0"/>
          <w:pgNumType w:start="13"/>
          <w:cols w:space="708"/>
          <w:bidi/>
          <w:rtlGutter/>
          <w:docGrid w:linePitch="360"/>
        </w:sectPr>
      </w:pPr>
    </w:p>
    <w:p w:rsidR="00027B76" w:rsidP="00991F94" w14:paraId="0B058FB2" w14:textId="4C675AAF">
      <w:pPr>
        <w:bidi w:val="0"/>
        <w:spacing w:after="200" w:line="276" w:lineRule="auto"/>
        <w:rPr>
          <w:rFonts w:ascii="Tahoma" w:hAnsi="Tahoma" w:cs="Tahoma"/>
          <w:b/>
          <w:bCs/>
          <w:noProof/>
          <w:color w:val="00305F"/>
          <w:sz w:val="40"/>
          <w:szCs w:val="36"/>
          <w:rtl/>
        </w:rPr>
      </w:pPr>
      <w:r>
        <w:rPr>
          <w:noProof/>
          <w:rtl/>
          <w:lang w:val="he-IL"/>
        </w:rPr>
        <mc:AlternateContent>
          <mc:Choice Requires="wps">
            <w:drawing>
              <wp:anchor distT="0" distB="0" distL="114300" distR="114300" simplePos="0" relativeHeight="251703296" behindDoc="0" locked="0" layoutInCell="1" allowOverlap="1">
                <wp:simplePos x="0" y="0"/>
                <wp:positionH relativeFrom="column">
                  <wp:posOffset>-1456509</wp:posOffset>
                </wp:positionH>
                <wp:positionV relativeFrom="paragraph">
                  <wp:posOffset>-760549</wp:posOffset>
                </wp:positionV>
                <wp:extent cx="6270172" cy="987879"/>
                <wp:effectExtent l="0" t="0" r="3810" b="3175"/>
                <wp:wrapNone/>
                <wp:docPr id="952647288"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6270172" cy="98787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1" o:spid="_x0000_s1038" style="width:493.7pt;height:77.8pt;margin-top:-59.9pt;margin-left:-114.7pt;mso-wrap-distance-bottom:0;mso-wrap-distance-left:9pt;mso-wrap-distance-right:9pt;mso-wrap-distance-top:0;mso-wrap-style:square;position:absolute;visibility:visible;v-text-anchor:middle;z-index:251704320" fillcolor="white" stroked="f" strokeweight="1.25pt"/>
            </w:pict>
          </mc:Fallback>
        </mc:AlternateContent>
      </w:r>
      <w:r>
        <w:rPr>
          <w:noProof/>
          <w:rtl/>
          <w:lang w:val="he-IL"/>
        </w:rPr>
        <mc:AlternateContent>
          <mc:Choice Requires="wps">
            <w:drawing>
              <wp:anchor distT="0" distB="0" distL="114300" distR="114300" simplePos="0" relativeHeight="251701248" behindDoc="0" locked="0" layoutInCell="1" allowOverlap="1">
                <wp:simplePos x="0" y="0"/>
                <wp:positionH relativeFrom="column">
                  <wp:posOffset>4177931</wp:posOffset>
                </wp:positionH>
                <wp:positionV relativeFrom="paragraph">
                  <wp:posOffset>7110525</wp:posOffset>
                </wp:positionV>
                <wp:extent cx="963213" cy="722671"/>
                <wp:effectExtent l="0" t="0" r="2540" b="1270"/>
                <wp:wrapNone/>
                <wp:docPr id="482775975" name="מלבן 3"/>
                <wp:cNvGraphicFramePr/>
                <a:graphic xmlns:a="http://schemas.openxmlformats.org/drawingml/2006/main">
                  <a:graphicData uri="http://schemas.microsoft.com/office/word/2010/wordprocessingShape">
                    <wps:wsp xmlns:wps="http://schemas.microsoft.com/office/word/2010/wordprocessingShape">
                      <wps:cNvSpPr/>
                      <wps:spPr>
                        <a:xfrm>
                          <a:off x="0" y="0"/>
                          <a:ext cx="963213" cy="72267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3" o:spid="_x0000_s1039" style="width:75.85pt;height:56.9pt;margin-top:559.9pt;margin-left:328.95pt;mso-width-percent:0;mso-width-relative:margin;mso-wrap-distance-bottom:0;mso-wrap-distance-left:9pt;mso-wrap-distance-right:9pt;mso-wrap-distance-top:0;mso-wrap-style:square;position:absolute;visibility:visible;v-text-anchor:middle;z-index:251702272" fillcolor="white" stroked="f" strokeweight="1.25pt"/>
            </w:pict>
          </mc:Fallback>
        </mc:AlternateContent>
      </w:r>
    </w:p>
    <w:sectPr w:rsidSect="00F35B8C">
      <w:headerReference w:type="default" r:id="rId32"/>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B1D73" w14:paraId="319FD6A0" w14:textId="77777777">
      <w:pPr>
        <w:spacing w:line="240" w:lineRule="auto"/>
      </w:pPr>
      <w:r>
        <w:separator/>
      </w:r>
    </w:p>
    <w:p w:rsidR="00EB1D73" w14:paraId="5BF9824D" w14:textId="77777777"/>
    <w:p w:rsidR="00EB1D73" w14:paraId="0E08BD6F" w14:textId="77777777"/>
    <w:p w:rsidR="00EB1D73" w14:paraId="00580FAA" w14:textId="77777777"/>
  </w:endnote>
  <w:endnote w:type="continuationSeparator" w:id="1">
    <w:p w:rsidR="00EB1D73" w14:paraId="19DF063C" w14:textId="77777777">
      <w:pPr>
        <w:spacing w:line="240" w:lineRule="auto"/>
      </w:pPr>
      <w:r>
        <w:continuationSeparator/>
      </w:r>
    </w:p>
    <w:p w:rsidR="00EB1D73" w14:paraId="1BFEE99E" w14:textId="77777777"/>
    <w:p w:rsidR="00EB1D73" w14:paraId="1D550042" w14:textId="77777777"/>
    <w:p w:rsidR="00EB1D73" w14:paraId="60F79DB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0E78" w14:paraId="5163ED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AC37C7" w14:paraId="0C89F632" w14:textId="07717369">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26654934" w14:textId="77777777">
    <w:pPr>
      <w:pStyle w:val="Footer"/>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0E78" w14:paraId="592B951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1DD" w:rsidP="004E71DD" w14:paraId="64C3D7BF" w14:textId="77777777">
    <w:pPr>
      <w:pStyle w:val="Footer"/>
      <w:spacing w:after="120" w:line="312" w:lineRule="auto"/>
      <w:ind w:left="-510"/>
      <w:jc w:val="left"/>
      <w:rPr>
        <w:rFonts w:ascii="Tahoma" w:hAnsi="Tahoma" w:cs="Tahoma"/>
        <w:sz w:val="18"/>
        <w:szCs w:val="18"/>
        <w:rtl/>
      </w:rPr>
    </w:pPr>
  </w:p>
  <w:p w:rsidR="004E71DD" w:rsidP="004E71DD" w14:paraId="4838AE27" w14:textId="77777777">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8B694B" w:rsidRPr="004E71DD" w:rsidP="004E71DD" w14:paraId="71472E75" w14:textId="77777777">
    <w:pPr>
      <w:pStyle w:val="Footer"/>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1D73" w:rsidP="00E7235E" w14:paraId="701B4D1A" w14:textId="77777777">
      <w:pPr>
        <w:spacing w:line="240" w:lineRule="auto"/>
      </w:pPr>
      <w:r>
        <w:separator/>
      </w:r>
    </w:p>
  </w:footnote>
  <w:footnote w:type="continuationSeparator" w:id="1">
    <w:p w:rsidR="00EB1D73" w:rsidP="00C23CC9" w14:paraId="1297F7BE" w14:textId="77777777">
      <w:pPr>
        <w:spacing w:line="240" w:lineRule="auto"/>
      </w:pPr>
      <w:r>
        <w:continuationSeparator/>
      </w:r>
    </w:p>
    <w:p w:rsidR="00EB1D73" w14:paraId="6B07E89F" w14:textId="77777777"/>
    <w:p w:rsidR="00EB1D73" w14:paraId="2974093C" w14:textId="77777777"/>
    <w:p w:rsidR="00EB1D73" w14:paraId="639304CF" w14:textId="77777777"/>
  </w:footnote>
  <w:footnote w:id="2">
    <w:p w:rsidR="00DB5014" w:rsidRPr="00DB5014" w:rsidP="000031E1" w14:paraId="0D2C273E" w14:textId="77777777">
      <w:pPr>
        <w:pStyle w:val="733"/>
        <w:rPr>
          <w:rtl/>
        </w:rPr>
      </w:pPr>
      <w:r w:rsidRPr="00DB5014">
        <w:rPr>
          <w:rStyle w:val="FootnoteReference2"/>
          <w:vertAlign w:val="baseline"/>
        </w:rPr>
        <w:footnoteRef/>
      </w:r>
      <w:r w:rsidRPr="00DB5014">
        <w:rPr>
          <w:rtl/>
        </w:rPr>
        <w:t xml:space="preserve"> </w:t>
      </w:r>
      <w:r w:rsidRPr="00DB5014">
        <w:rPr>
          <w:rtl/>
        </w:rPr>
        <w:tab/>
        <w:t>הפער שבין הריבית הממוצעת שהבנקים גובים בגין האשראי שהם נותנים ללקוחותיהם ובין הריבית הממוצעת שהם משלמים על יתרת הפיקדונות שלהם, המשקף את רווחיות הבנקים מפעילות הליבה הבנקאית.</w:t>
      </w:r>
    </w:p>
  </w:footnote>
  <w:footnote w:id="3">
    <w:p w:rsidR="00DB5014" w:rsidRPr="00DB5014" w:rsidP="000031E1" w14:paraId="2092953F" w14:textId="77777777">
      <w:pPr>
        <w:pStyle w:val="733"/>
      </w:pPr>
      <w:r w:rsidRPr="00DB5014">
        <w:rPr>
          <w:rStyle w:val="FootnoteReference2"/>
          <w:vertAlign w:val="baseline"/>
        </w:rPr>
        <w:footnoteRef/>
      </w:r>
      <w:r w:rsidRPr="00DB5014">
        <w:rPr>
          <w:rtl/>
        </w:rPr>
        <w:t xml:space="preserve"> </w:t>
      </w:r>
      <w:r w:rsidRPr="00DB5014">
        <w:rPr>
          <w:rtl/>
        </w:rPr>
        <w:tab/>
        <w:t>התמסורת מתייחסת לשיעור מעליית ריבית בנק ישראל שמגולגל אל העלייה בריבית שהבנקים משלמים על פיקדונות הציבור לזמן קצוב.</w:t>
      </w:r>
    </w:p>
  </w:footnote>
  <w:footnote w:id="4">
    <w:p w:rsidR="00DB5014" w:rsidRPr="00DB5014" w:rsidP="000031E1" w14:paraId="50FE62D9" w14:textId="77777777">
      <w:pPr>
        <w:pStyle w:val="733"/>
        <w:rPr>
          <w:rtl/>
        </w:rPr>
      </w:pPr>
      <w:r w:rsidRPr="00DB5014">
        <w:rPr>
          <w:rStyle w:val="FootnoteReference2"/>
          <w:vertAlign w:val="baseline"/>
        </w:rPr>
        <w:footnoteRef/>
      </w:r>
      <w:r w:rsidRPr="00DB5014">
        <w:rPr>
          <w:rtl/>
        </w:rPr>
        <w:t xml:space="preserve"> </w:t>
      </w:r>
      <w:r w:rsidRPr="00DB5014">
        <w:rPr>
          <w:rtl/>
        </w:rPr>
        <w:tab/>
        <w:t>ביום 24.2.23 אישרה הממשלה את הצעת תקציב המדינה לשנים 2023 - 2024 בהחלטת ממשלה 237. הצעת התקציב הונחה על שולחן הכנסת ביום 23.3.23. חוק התקציב אושר בכנסת בחודש מאי 2023.</w:t>
      </w:r>
    </w:p>
  </w:footnote>
  <w:footnote w:id="5">
    <w:p w:rsidR="00DB5014" w:rsidRPr="00DB5014" w:rsidP="000031E1" w14:paraId="59146A08" w14:textId="77777777">
      <w:pPr>
        <w:pStyle w:val="733"/>
      </w:pPr>
      <w:r w:rsidRPr="00DB5014">
        <w:rPr>
          <w:rStyle w:val="FootnoteReference2"/>
          <w:vertAlign w:val="baseline"/>
        </w:rPr>
        <w:footnoteRef/>
      </w:r>
      <w:r w:rsidRPr="00DB5014">
        <w:rPr>
          <w:rtl/>
        </w:rPr>
        <w:t xml:space="preserve"> </w:t>
      </w:r>
      <w:r w:rsidRPr="00DB5014">
        <w:rPr>
          <w:rtl/>
        </w:rPr>
        <w:tab/>
        <w:t>תקציבים אלו אינם מוצמדים באופן אוטומטי בבניית התקציב, וניתן להם מקדם מעבר "0" משנה לשנה.</w:t>
      </w:r>
    </w:p>
  </w:footnote>
  <w:footnote w:id="6">
    <w:p w:rsidR="00DB5014" w:rsidRPr="00DB5014" w:rsidP="000031E1" w14:paraId="344A180A" w14:textId="77777777">
      <w:pPr>
        <w:pStyle w:val="733"/>
        <w:rPr>
          <w:rtl/>
        </w:rPr>
      </w:pPr>
      <w:r w:rsidRPr="00DB5014">
        <w:rPr>
          <w:rStyle w:val="FootnoteReference2"/>
          <w:vertAlign w:val="baseline"/>
        </w:rPr>
        <w:footnoteRef/>
      </w:r>
      <w:r w:rsidRPr="00DB5014">
        <w:rPr>
          <w:rtl/>
        </w:rPr>
        <w:t xml:space="preserve"> </w:t>
      </w:r>
      <w:r w:rsidRPr="00DB5014">
        <w:rPr>
          <w:rtl/>
        </w:rPr>
        <w:tab/>
        <w:t>פרויקטים תשתיתיים שמבוצעים על ידי הממשלה בשיתוף המגזר הפרטי.</w:t>
      </w:r>
    </w:p>
  </w:footnote>
  <w:footnote w:id="7">
    <w:p w:rsidR="00DB5014" w:rsidRPr="00DB5014" w:rsidP="000031E1" w14:paraId="0E3BF992" w14:textId="77777777">
      <w:pPr>
        <w:pStyle w:val="733"/>
        <w:rPr>
          <w:rtl/>
        </w:rPr>
      </w:pPr>
      <w:r w:rsidRPr="00DB5014">
        <w:rPr>
          <w:rStyle w:val="FootnoteReference2"/>
          <w:vertAlign w:val="baseline"/>
        </w:rPr>
        <w:footnoteRef/>
      </w:r>
      <w:r w:rsidRPr="00DB5014">
        <w:rPr>
          <w:rtl/>
        </w:rPr>
        <w:t xml:space="preserve"> </w:t>
      </w:r>
      <w:r w:rsidRPr="00DB5014">
        <w:rPr>
          <w:rtl/>
        </w:rPr>
        <w:tab/>
        <w:t>בהקשר זה יש לציין כי משבר האנרגיה חריף יותר במדינות הנסקרות ביחס לישראל, וכי מחירי האנרגיה בהן, כמו ביתר מדינות אירופה, עלו באופן חד יותר באופן משמעותי ביחס לעליית מחירי האנרגיה בישראל.</w:t>
      </w:r>
    </w:p>
  </w:footnote>
  <w:footnote w:id="8">
    <w:p w:rsidR="00DB5014" w:rsidRPr="00DB5014" w:rsidP="000031E1" w14:paraId="7D76125E" w14:textId="77777777">
      <w:pPr>
        <w:pStyle w:val="733"/>
        <w:rPr>
          <w:rtl/>
        </w:rPr>
      </w:pPr>
      <w:r w:rsidRPr="00DB5014">
        <w:rPr>
          <w:rStyle w:val="FootnoteReference2"/>
          <w:vertAlign w:val="baseline"/>
        </w:rPr>
        <w:footnoteRef/>
      </w:r>
      <w:r w:rsidRPr="00DB5014">
        <w:rPr>
          <w:rtl/>
        </w:rPr>
        <w:t xml:space="preserve"> </w:t>
      </w:r>
      <w:r w:rsidRPr="00DB5014">
        <w:rPr>
          <w:rtl/>
        </w:rPr>
        <w:tab/>
        <w:t>לתקופות פירעון שונות.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1526AC" w14:paraId="1C6E1265" w14:textId="57D3164D">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DB5014" w14:textId="1041D06D">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DB5014" w:rsidR="00DB5014">
                            <w:rPr>
                              <w:rFonts w:ascii="Tahoma" w:hAnsi="Tahoma" w:cs="Tahoma"/>
                              <w:b/>
                              <w:bCs/>
                              <w:rtl/>
                            </w:rPr>
                            <w:t>היערכות להתפרצות אינפלציה</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DB5014" w14:paraId="77809697" w14:textId="1041D06D">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DB5014" w:rsidR="00DB5014">
                      <w:rPr>
                        <w:rFonts w:ascii="Tahoma" w:hAnsi="Tahoma" w:cs="Tahoma"/>
                        <w:b/>
                        <w:bCs/>
                        <w:rtl/>
                      </w:rPr>
                      <w:t>היערכות להתפרצות אינפלציה</w:t>
                    </w:r>
                  </w:p>
                </w:txbxContent>
              </v:textbox>
              <w10:wrap type="square"/>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926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4"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406429" w:rsidRPr="00136A3E" w:rsidP="00406429" w14:textId="77777777">
                          <w:pPr>
                            <w:jc w:val="right"/>
                            <w:rPr>
                              <w:color w:val="0D0D0D" w:themeColor="text1" w:themeTint="F2"/>
                              <w:sz w:val="16"/>
                              <w:szCs w:val="16"/>
                            </w:rPr>
                          </w:pPr>
                          <w:r w:rsidRPr="004B579F">
                            <w:rPr>
                              <w:rFonts w:ascii="Tahoma" w:hAnsi="Tahoma" w:cs="Tahoma"/>
                              <w:color w:val="0D0D0D"/>
                              <w:sz w:val="16"/>
                              <w:szCs w:val="16"/>
                              <w:rtl/>
                            </w:rPr>
                            <w:t>מבקר המדינה | היבטים בהתמודדות עם יוקר המחיה</w:t>
                          </w:r>
                          <w:r>
                            <w:rPr>
                              <w:rFonts w:ascii="Tahoma" w:hAnsi="Tahoma" w:cs="Tahoma" w:hint="cs"/>
                              <w:color w:val="0D0D0D"/>
                              <w:sz w:val="16"/>
                              <w:szCs w:val="16"/>
                              <w:rtl/>
                            </w:rPr>
                            <w:t xml:space="preserve"> </w:t>
                          </w:r>
                          <w:r w:rsidRPr="00AF3B73">
                            <w:rPr>
                              <w:rFonts w:ascii="Tahoma" w:hAnsi="Tahoma" w:cs="Tahoma"/>
                              <w:color w:val="0D0D0D"/>
                              <w:sz w:val="16"/>
                              <w:szCs w:val="16"/>
                              <w:rtl/>
                            </w:rPr>
                            <w:t xml:space="preserve">| </w:t>
                          </w:r>
                          <w:r>
                            <w:rPr>
                              <w:rFonts w:ascii="Tahoma" w:hAnsi="Tahoma" w:cs="Tahoma" w:hint="cs"/>
                              <w:color w:val="0D0D0D"/>
                              <w:sz w:val="16"/>
                              <w:szCs w:val="16"/>
                              <w:rtl/>
                            </w:rPr>
                            <w:t>טבת</w:t>
                          </w:r>
                          <w:r w:rsidRPr="00AF3B73">
                            <w:rPr>
                              <w:rFonts w:ascii="Tahoma" w:hAnsi="Tahoma" w:cs="Tahoma"/>
                              <w:color w:val="0D0D0D"/>
                              <w:sz w:val="16"/>
                              <w:szCs w:val="16"/>
                              <w:rtl/>
                            </w:rPr>
                            <w:t xml:space="preserve"> </w:t>
                          </w:r>
                          <w:r w:rsidRPr="00AF3B73">
                            <w:rPr>
                              <w:rFonts w:ascii="Tahoma" w:hAnsi="Tahoma" w:cs="Tahoma"/>
                              <w:color w:val="0D0D0D"/>
                              <w:sz w:val="16"/>
                              <w:szCs w:val="16"/>
                              <w:rtl/>
                            </w:rPr>
                            <w:t>התשפ"ד</w:t>
                          </w:r>
                          <w:r w:rsidRPr="00AF3B73">
                            <w:rPr>
                              <w:rFonts w:ascii="Tahoma" w:hAnsi="Tahoma" w:cs="Tahoma"/>
                              <w:color w:val="0D0D0D"/>
                              <w:sz w:val="16"/>
                              <w:szCs w:val="16"/>
                              <w:rtl/>
                            </w:rPr>
                            <w:t xml:space="preserve"> | </w:t>
                          </w:r>
                          <w:r>
                            <w:rPr>
                              <w:rFonts w:ascii="Tahoma" w:hAnsi="Tahoma" w:cs="Tahoma" w:hint="cs"/>
                              <w:color w:val="0D0D0D"/>
                              <w:sz w:val="16"/>
                              <w:szCs w:val="16"/>
                              <w:rtl/>
                            </w:rPr>
                            <w:t>ינואר</w:t>
                          </w:r>
                          <w:r w:rsidRPr="00AF3B73">
                            <w:rPr>
                              <w:rFonts w:ascii="Tahoma" w:hAnsi="Tahoma" w:cs="Tahoma"/>
                              <w:color w:val="0D0D0D"/>
                              <w:sz w:val="16"/>
                              <w:szCs w:val="16"/>
                              <w:rtl/>
                            </w:rPr>
                            <w:t xml:space="preserve"> </w:t>
                          </w:r>
                          <w:r>
                            <w:rPr>
                              <w:rFonts w:ascii="Tahoma" w:hAnsi="Tahoma" w:cs="Tahoma" w:hint="cs"/>
                              <w:color w:val="0D0D0D"/>
                              <w:sz w:val="16"/>
                              <w:szCs w:val="16"/>
                              <w:rtl/>
                            </w:rPr>
                            <w:t>2024</w:t>
                          </w:r>
                        </w:p>
                        <w:p w:rsidR="00F73EE0" w:rsidRPr="00406429" w:rsidP="00B244B0" w14:textId="61F870BF">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53" type="#_x0000_t202" alt="&quot;&quot;" style="width:351.16pt;height:23.27pt;margin-top:27.7pt;margin-left:21.41pt;mso-height-percent:0;mso-height-relative:margin;mso-width-percent:0;mso-width-relative:margin;mso-wrap-distance-bottom:3.6pt;mso-wrap-distance-left:9pt;mso-wrap-distance-right:9pt;mso-wrap-distance-top:3.6pt;position:absolute;v-text-anchor:top;z-index:251658240" fillcolor="white" stroked="t" strokecolor="white" strokeweight="0.75pt">
              <v:textbox>
                <w:txbxContent>
                  <w:p w:rsidR="00406429" w:rsidRPr="00136A3E" w:rsidP="00406429" w14:paraId="130A476D" w14:textId="77777777">
                    <w:pPr>
                      <w:jc w:val="right"/>
                      <w:rPr>
                        <w:color w:val="0D0D0D" w:themeColor="text1" w:themeTint="F2"/>
                        <w:sz w:val="16"/>
                        <w:szCs w:val="16"/>
                      </w:rPr>
                    </w:pPr>
                    <w:r w:rsidRPr="004B579F">
                      <w:rPr>
                        <w:rFonts w:ascii="Tahoma" w:hAnsi="Tahoma" w:cs="Tahoma"/>
                        <w:color w:val="0D0D0D"/>
                        <w:sz w:val="16"/>
                        <w:szCs w:val="16"/>
                        <w:rtl/>
                      </w:rPr>
                      <w:t>מבקר המדינה | היבטים בהתמודדות עם יוקר המחיה</w:t>
                    </w:r>
                    <w:r>
                      <w:rPr>
                        <w:rFonts w:ascii="Tahoma" w:hAnsi="Tahoma" w:cs="Tahoma" w:hint="cs"/>
                        <w:color w:val="0D0D0D"/>
                        <w:sz w:val="16"/>
                        <w:szCs w:val="16"/>
                        <w:rtl/>
                      </w:rPr>
                      <w:t xml:space="preserve"> </w:t>
                    </w:r>
                    <w:r w:rsidRPr="00AF3B73">
                      <w:rPr>
                        <w:rFonts w:ascii="Tahoma" w:hAnsi="Tahoma" w:cs="Tahoma"/>
                        <w:color w:val="0D0D0D"/>
                        <w:sz w:val="16"/>
                        <w:szCs w:val="16"/>
                        <w:rtl/>
                      </w:rPr>
                      <w:t xml:space="preserve">| </w:t>
                    </w:r>
                    <w:r>
                      <w:rPr>
                        <w:rFonts w:ascii="Tahoma" w:hAnsi="Tahoma" w:cs="Tahoma" w:hint="cs"/>
                        <w:color w:val="0D0D0D"/>
                        <w:sz w:val="16"/>
                        <w:szCs w:val="16"/>
                        <w:rtl/>
                      </w:rPr>
                      <w:t>טבת</w:t>
                    </w:r>
                    <w:r w:rsidRPr="00AF3B73">
                      <w:rPr>
                        <w:rFonts w:ascii="Tahoma" w:hAnsi="Tahoma" w:cs="Tahoma"/>
                        <w:color w:val="0D0D0D"/>
                        <w:sz w:val="16"/>
                        <w:szCs w:val="16"/>
                        <w:rtl/>
                      </w:rPr>
                      <w:t xml:space="preserve"> </w:t>
                    </w:r>
                    <w:r w:rsidRPr="00AF3B73">
                      <w:rPr>
                        <w:rFonts w:ascii="Tahoma" w:hAnsi="Tahoma" w:cs="Tahoma"/>
                        <w:color w:val="0D0D0D"/>
                        <w:sz w:val="16"/>
                        <w:szCs w:val="16"/>
                        <w:rtl/>
                      </w:rPr>
                      <w:t>התשפ"ד</w:t>
                    </w:r>
                    <w:r w:rsidRPr="00AF3B73">
                      <w:rPr>
                        <w:rFonts w:ascii="Tahoma" w:hAnsi="Tahoma" w:cs="Tahoma"/>
                        <w:color w:val="0D0D0D"/>
                        <w:sz w:val="16"/>
                        <w:szCs w:val="16"/>
                        <w:rtl/>
                      </w:rPr>
                      <w:t xml:space="preserve"> | </w:t>
                    </w:r>
                    <w:r>
                      <w:rPr>
                        <w:rFonts w:ascii="Tahoma" w:hAnsi="Tahoma" w:cs="Tahoma" w:hint="cs"/>
                        <w:color w:val="0D0D0D"/>
                        <w:sz w:val="16"/>
                        <w:szCs w:val="16"/>
                        <w:rtl/>
                      </w:rPr>
                      <w:t>ינואר</w:t>
                    </w:r>
                    <w:r w:rsidRPr="00AF3B73">
                      <w:rPr>
                        <w:rFonts w:ascii="Tahoma" w:hAnsi="Tahoma" w:cs="Tahoma"/>
                        <w:color w:val="0D0D0D"/>
                        <w:sz w:val="16"/>
                        <w:szCs w:val="16"/>
                        <w:rtl/>
                      </w:rPr>
                      <w:t xml:space="preserve"> </w:t>
                    </w:r>
                    <w:r>
                      <w:rPr>
                        <w:rFonts w:ascii="Tahoma" w:hAnsi="Tahoma" w:cs="Tahoma" w:hint="cs"/>
                        <w:color w:val="0D0D0D"/>
                        <w:sz w:val="16"/>
                        <w:szCs w:val="16"/>
                        <w:rtl/>
                      </w:rPr>
                      <w:t>2024</w:t>
                    </w:r>
                  </w:p>
                  <w:p w:rsidR="00F73EE0" w:rsidRPr="00406429" w:rsidP="00B244B0" w14:paraId="1CF273F4" w14:textId="61F870BF">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1DD" w:rsidP="004E71DD" w14:paraId="0388F2AD" w14:textId="77777777">
    <w:pPr>
      <w:pStyle w:val="Header"/>
      <w:rPr>
        <w:rtl/>
      </w:rPr>
    </w:pPr>
    <w:r>
      <w:rPr>
        <w:noProof/>
        <w:rtl/>
        <w:lang w:val="he-IL"/>
      </w:rPr>
      <mc:AlternateContent>
        <mc:Choice Requires="wps">
          <w:drawing>
            <wp:anchor distT="0" distB="0" distL="114300" distR="114300" simplePos="0" relativeHeight="25167769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4E71DD" w:rsidRPr="00FD02CC" w:rsidP="004E71DD"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7760" filled="f" strokecolor="#a5a5a5" strokeweight="0.25pt">
              <v:stroke dashstyle="longDash"/>
              <v:textbox>
                <w:txbxContent>
                  <w:p w:rsidR="004E71DD" w:rsidRPr="00FD02CC" w:rsidP="004E71DD" w14:paraId="6FF7767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4E71DD" w:rsidP="004E71DD" w14:paraId="79E8F3BE" w14:textId="77777777">
    <w:pPr>
      <w:pStyle w:val="Header"/>
      <w:ind w:firstLine="720"/>
      <w:rPr>
        <w:rtl/>
      </w:rPr>
    </w:pPr>
  </w:p>
  <w:p w:rsidR="004E71DD" w:rsidP="004E71DD" w14:paraId="78DBB37C" w14:textId="77777777">
    <w:pPr>
      <w:pStyle w:val="Header"/>
      <w:rPr>
        <w:rtl/>
      </w:rPr>
    </w:pPr>
  </w:p>
  <w:p w:rsidR="004E71DD" w:rsidP="004E71DD" w14:paraId="1F8198CE"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1792"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4E71DD" w:rsidRPr="003D62C4" w:rsidP="004E71DD" w14:textId="00B77EAF">
                          <w:pPr>
                            <w:pStyle w:val="Heading1"/>
                            <w:spacing w:line="269" w:lineRule="auto"/>
                            <w:jc w:val="left"/>
                            <w:rPr>
                              <w:rFonts w:ascii="Tahoma" w:hAnsi="Tahoma" w:eastAsiaTheme="minorHAnsi" w:cs="Tahoma"/>
                              <w:bCs w:val="0"/>
                              <w:color w:val="0D0D0D" w:themeColor="text1" w:themeTint="F2"/>
                              <w:sz w:val="16"/>
                              <w:szCs w:val="16"/>
                              <w:u w:val="none"/>
                            </w:rPr>
                          </w:pPr>
                          <w:r w:rsidRPr="00DB5014">
                            <w:rPr>
                              <w:rFonts w:ascii="Tahoma" w:hAnsi="Tahoma" w:eastAsiaTheme="minorHAnsi" w:cs="Tahoma"/>
                              <w:bCs w:val="0"/>
                              <w:color w:val="0D0D0D" w:themeColor="text1" w:themeTint="F2"/>
                              <w:sz w:val="16"/>
                              <w:szCs w:val="16"/>
                              <w:u w:val="none"/>
                              <w:rtl/>
                            </w:rPr>
                            <w:t>היערכות להתפרצות אינפלציה</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9" type="#_x0000_t202" alt="&quot;&quot;" style="width:357.2pt;height:22.1pt;margin-top:16.15pt;margin-left:-8.4pt;mso-width-percent:0;mso-width-relative:margin;mso-wrap-distance-bottom:0;mso-wrap-distance-left:9pt;mso-wrap-distance-right:9pt;mso-wrap-distance-top:0;mso-wrap-style:square;position:absolute;visibility:visible;v-text-anchor:top;z-index:251682816" stroked="f">
              <v:textbox style="mso-fit-shape-to-text:t">
                <w:txbxContent>
                  <w:p w:rsidR="004E71DD" w:rsidRPr="003D62C4" w:rsidP="004E71DD" w14:paraId="66EBAA16" w14:textId="00B77EAF">
                    <w:pPr>
                      <w:pStyle w:val="Heading1"/>
                      <w:spacing w:line="269" w:lineRule="auto"/>
                      <w:jc w:val="left"/>
                      <w:rPr>
                        <w:rFonts w:ascii="Tahoma" w:hAnsi="Tahoma" w:eastAsiaTheme="minorHAnsi" w:cs="Tahoma"/>
                        <w:bCs w:val="0"/>
                        <w:color w:val="0D0D0D" w:themeColor="text1" w:themeTint="F2"/>
                        <w:sz w:val="16"/>
                        <w:szCs w:val="16"/>
                        <w:u w:val="none"/>
                      </w:rPr>
                    </w:pPr>
                    <w:r w:rsidRPr="00DB5014">
                      <w:rPr>
                        <w:rFonts w:ascii="Tahoma" w:hAnsi="Tahoma" w:eastAsiaTheme="minorHAnsi" w:cs="Tahoma"/>
                        <w:bCs w:val="0"/>
                        <w:color w:val="0D0D0D" w:themeColor="text1" w:themeTint="F2"/>
                        <w:sz w:val="16"/>
                        <w:szCs w:val="16"/>
                        <w:u w:val="none"/>
                        <w:rtl/>
                      </w:rPr>
                      <w:t>היערכות להתפרצות אינפלציה</w:t>
                    </w:r>
                  </w:p>
                </w:txbxContent>
              </v:textbox>
              <w10:wrap type="square"/>
            </v:shape>
          </w:pict>
        </mc:Fallback>
      </mc:AlternateContent>
    </w:r>
  </w:p>
  <w:p w:rsidR="004E71DD" w:rsidP="004E71DD" w14:paraId="49CFDAF2" w14:textId="77777777">
    <w:pPr>
      <w:pStyle w:val="Header"/>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48" name="Picture 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9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0" style="flip:x;mso-height-percent:0;mso-height-relative:margin;mso-width-percent:0;mso-width-relative:margin;mso-wrap-distance-bottom:0;mso-wrap-distance-left:9pt;mso-wrap-distance-right:9pt;mso-wrap-distance-top:0;mso-wrap-style:square;position:absolute;visibility:visible;z-index:251680768" from="-109.7pt,27.8pt" to="367.9pt,27.8pt" strokecolor="#0d0d0d" strokeweight="0.25pt"/>
          </w:pict>
        </mc:Fallback>
      </mc:AlternateContent>
    </w:r>
  </w:p>
  <w:p w:rsidR="008B694B" w:rsidRPr="004E71DD" w:rsidP="004E71DD" w14:paraId="4E47EA6D" w14:textId="324E80B4">
    <w:pPr>
      <w:pStyle w:val="Header"/>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721" w:rsidP="001526AC" w14:paraId="1AA96B7A"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92032"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3424"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P="00DB5014" w14:textId="37CCDE8B">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DB5014" w:rsidR="00DB5014">
                            <w:rPr>
                              <w:rFonts w:ascii="Tahoma" w:hAnsi="Tahoma" w:cs="Tahoma"/>
                              <w:b/>
                              <w:bCs/>
                              <w:rtl/>
                            </w:rPr>
                            <w:t>היערכות להתפרצות אינפלציה</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9984" fillcolor="#00305f" strokecolor="#00305f">
              <v:textbox style="layout-flow:vertical;mso-layout-flow-alt:bottom-to-top" inset="0,0,0,0">
                <w:txbxContent>
                  <w:p w:rsidR="00E56721" w:rsidRPr="009B7D1B" w:rsidP="00DB5014" w14:paraId="3B4CCAD6" w14:textId="37CCDE8B">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DB5014" w:rsidR="00DB5014">
                      <w:rPr>
                        <w:rFonts w:ascii="Tahoma" w:hAnsi="Tahoma" w:cs="Tahoma"/>
                        <w:b/>
                        <w:bCs/>
                        <w:rtl/>
                      </w:rPr>
                      <w:t>היערכות להתפרצות אינפלציה</w:t>
                    </w:r>
                  </w:p>
                </w:txbxContent>
              </v:textbox>
              <w10:wrap type="square"/>
            </v:shape>
          </w:pict>
        </mc:Fallback>
      </mc:AlternateContent>
    </w:r>
  </w:p>
  <w:p w:rsidR="00E56721" w:rsidP="001526AC" w14:paraId="708CEE93"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69A973A3"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486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P="00B244B0" w14:textId="74EFD10D">
                          <w:pPr>
                            <w:jc w:val="right"/>
                            <w:rPr>
                              <w:color w:val="0D0D0D" w:themeColor="text1" w:themeTint="F2"/>
                              <w:sz w:val="16"/>
                              <w:szCs w:val="16"/>
                            </w:rPr>
                          </w:pPr>
                          <w:r w:rsidRPr="00AF3B73">
                            <w:rPr>
                              <w:rFonts w:ascii="Tahoma" w:hAnsi="Tahoma" w:cs="Tahoma"/>
                              <w:color w:val="0D0D0D"/>
                              <w:sz w:val="16"/>
                              <w:szCs w:val="16"/>
                              <w:rtl/>
                            </w:rPr>
                            <w:t xml:space="preserve">דוח מבקר המדינה | חשוון </w:t>
                          </w:r>
                          <w:r w:rsidRPr="00AF3B73">
                            <w:rPr>
                              <w:rFonts w:ascii="Tahoma" w:hAnsi="Tahoma" w:cs="Tahoma"/>
                              <w:color w:val="0D0D0D"/>
                              <w:sz w:val="16"/>
                              <w:szCs w:val="16"/>
                              <w:rtl/>
                            </w:rPr>
                            <w:t>התשפ"ד</w:t>
                          </w:r>
                          <w:r w:rsidRPr="00AF3B73">
                            <w:rPr>
                              <w:rFonts w:ascii="Tahoma" w:hAnsi="Tahoma" w:cs="Tahoma"/>
                              <w:color w:val="0D0D0D"/>
                              <w:sz w:val="16"/>
                              <w:szCs w:val="16"/>
                              <w:rtl/>
                            </w:rPr>
                            <w:t xml:space="preserve"> | אוקטובר 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3"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85888" strokecolor="white">
              <v:textbox>
                <w:txbxContent>
                  <w:p w:rsidR="00E56721" w:rsidRPr="00C55DC9" w:rsidP="00B244B0" w14:paraId="0C0E463E" w14:textId="74EFD10D">
                    <w:pPr>
                      <w:jc w:val="right"/>
                      <w:rPr>
                        <w:color w:val="0D0D0D" w:themeColor="text1" w:themeTint="F2"/>
                        <w:sz w:val="16"/>
                        <w:szCs w:val="16"/>
                      </w:rPr>
                    </w:pPr>
                    <w:r w:rsidRPr="00AF3B73">
                      <w:rPr>
                        <w:rFonts w:ascii="Tahoma" w:hAnsi="Tahoma" w:cs="Tahoma"/>
                        <w:color w:val="0D0D0D"/>
                        <w:sz w:val="16"/>
                        <w:szCs w:val="16"/>
                        <w:rtl/>
                      </w:rPr>
                      <w:t xml:space="preserve">דוח מבקר המדינה | חשוון </w:t>
                    </w:r>
                    <w:r w:rsidRPr="00AF3B73">
                      <w:rPr>
                        <w:rFonts w:ascii="Tahoma" w:hAnsi="Tahoma" w:cs="Tahoma"/>
                        <w:color w:val="0D0D0D"/>
                        <w:sz w:val="16"/>
                        <w:szCs w:val="16"/>
                        <w:rtl/>
                      </w:rPr>
                      <w:t>התשפ"ד</w:t>
                    </w:r>
                    <w:r w:rsidRPr="00AF3B73">
                      <w:rPr>
                        <w:rFonts w:ascii="Tahoma" w:hAnsi="Tahoma" w:cs="Tahoma"/>
                        <w:color w:val="0D0D0D"/>
                        <w:sz w:val="16"/>
                        <w:szCs w:val="16"/>
                        <w:rtl/>
                      </w:rPr>
                      <w:t xml:space="preserve"> | אוקטובר 2023</w:t>
                    </w:r>
                  </w:p>
                </w:txbxContent>
              </v:textbox>
            </v:shape>
          </w:pict>
        </mc:Fallback>
      </mc:AlternateContent>
    </w:r>
    <w:r>
      <w:rPr>
        <w:rFonts w:ascii="Tahoma" w:hAnsi="Tahoma" w:cs="Tahoma"/>
        <w:noProof/>
        <w:sz w:val="22"/>
        <w:szCs w:val="22"/>
        <w:rtl/>
        <w:lang w:val="he-IL"/>
      </w:rPr>
      <w:drawing>
        <wp:anchor distT="0" distB="0" distL="114300" distR="114300" simplePos="0" relativeHeight="25169100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4" style="flip:x;mso-height-percent:0;mso-height-relative:margin;mso-width-percent:0;mso-width-relative:margin;mso-wrap-distance-bottom:0;mso-wrap-distance-left:9pt;mso-wrap-distance-right:9pt;mso-wrap-distance-top:0;mso-wrap-style:square;position:absolute;visibility:visible;z-index:251687936"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3">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5">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6">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8">
    <w:nsid w:val="797B29DB"/>
    <w:multiLevelType w:val="hybridMultilevel"/>
    <w:tmpl w:val="5A144C60"/>
    <w:lvl w:ilvl="0">
      <w:start w:val="1"/>
      <w:numFmt w:val="bullet"/>
      <w:lvlText w:val=""/>
      <w:lvlJc w:val="left"/>
      <w:pPr>
        <w:ind w:left="284" w:hanging="28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16cid:durableId="1722511313">
    <w:abstractNumId w:val="5"/>
  </w:num>
  <w:num w:numId="2" w16cid:durableId="159808484">
    <w:abstractNumId w:val="2"/>
  </w:num>
  <w:num w:numId="3" w16cid:durableId="2074310673">
    <w:abstractNumId w:val="3"/>
  </w:num>
  <w:num w:numId="4" w16cid:durableId="1596554476">
    <w:abstractNumId w:val="9"/>
  </w:num>
  <w:num w:numId="5" w16cid:durableId="781269690">
    <w:abstractNumId w:val="0"/>
  </w:num>
  <w:num w:numId="6" w16cid:durableId="1087919862">
    <w:abstractNumId w:val="4"/>
  </w:num>
  <w:num w:numId="7" w16cid:durableId="1266497691">
    <w:abstractNumId w:val="7"/>
  </w:num>
  <w:num w:numId="8" w16cid:durableId="1873692319">
    <w:abstractNumId w:val="1"/>
  </w:num>
  <w:num w:numId="9" w16cid:durableId="1057507424">
    <w:abstractNumId w:val="6"/>
  </w:num>
  <w:num w:numId="10" w16cid:durableId="204455111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6"/>
  <w:displayBackgroundShape/>
  <w:gutterAtTop/>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1E1"/>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76"/>
    <w:rsid w:val="00027BF3"/>
    <w:rsid w:val="0003001D"/>
    <w:rsid w:val="000303C9"/>
    <w:rsid w:val="00031C68"/>
    <w:rsid w:val="00031C69"/>
    <w:rsid w:val="00031CEB"/>
    <w:rsid w:val="00032932"/>
    <w:rsid w:val="00033124"/>
    <w:rsid w:val="0003410F"/>
    <w:rsid w:val="00034327"/>
    <w:rsid w:val="0003494D"/>
    <w:rsid w:val="00034E03"/>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4FB"/>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9E0"/>
    <w:rsid w:val="00077B79"/>
    <w:rsid w:val="00080072"/>
    <w:rsid w:val="000803F2"/>
    <w:rsid w:val="000804E7"/>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3F"/>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DCE"/>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37A"/>
    <w:rsid w:val="001443F9"/>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1E8"/>
    <w:rsid w:val="0019399F"/>
    <w:rsid w:val="00194286"/>
    <w:rsid w:val="00194332"/>
    <w:rsid w:val="00195732"/>
    <w:rsid w:val="00195BC7"/>
    <w:rsid w:val="00195DCC"/>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4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1DD5"/>
    <w:rsid w:val="00212144"/>
    <w:rsid w:val="002127FD"/>
    <w:rsid w:val="00212B04"/>
    <w:rsid w:val="00212EEA"/>
    <w:rsid w:val="002130B4"/>
    <w:rsid w:val="00213453"/>
    <w:rsid w:val="0021348C"/>
    <w:rsid w:val="00214BC0"/>
    <w:rsid w:val="00214CAA"/>
    <w:rsid w:val="002154D1"/>
    <w:rsid w:val="00215ABE"/>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60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6E5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2C27"/>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628"/>
    <w:rsid w:val="002F5A80"/>
    <w:rsid w:val="002F5B51"/>
    <w:rsid w:val="002F5CEC"/>
    <w:rsid w:val="002F5E06"/>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65"/>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0B24"/>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75"/>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851"/>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6C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29"/>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40"/>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79F"/>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49AE"/>
    <w:rsid w:val="006A4C49"/>
    <w:rsid w:val="006A52FF"/>
    <w:rsid w:val="006A5837"/>
    <w:rsid w:val="006A5A4C"/>
    <w:rsid w:val="006A5EE2"/>
    <w:rsid w:val="006A6846"/>
    <w:rsid w:val="006A7121"/>
    <w:rsid w:val="006A75AC"/>
    <w:rsid w:val="006A7632"/>
    <w:rsid w:val="006A7897"/>
    <w:rsid w:val="006A7E76"/>
    <w:rsid w:val="006A7F23"/>
    <w:rsid w:val="006B0109"/>
    <w:rsid w:val="006B056A"/>
    <w:rsid w:val="006B0630"/>
    <w:rsid w:val="006B094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B7DDA"/>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3"/>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E78"/>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3A22"/>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73F"/>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0CA4"/>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1F4"/>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295"/>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1F94"/>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24B"/>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9E6"/>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A79A1"/>
    <w:rsid w:val="00AB0541"/>
    <w:rsid w:val="00AB09EE"/>
    <w:rsid w:val="00AB1065"/>
    <w:rsid w:val="00AB1717"/>
    <w:rsid w:val="00AB19B4"/>
    <w:rsid w:val="00AB2400"/>
    <w:rsid w:val="00AB25DF"/>
    <w:rsid w:val="00AB2F78"/>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024"/>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2BEB"/>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1FFE"/>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37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325"/>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4727"/>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DD8"/>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D0"/>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4F29"/>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47E8"/>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014"/>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49C"/>
    <w:rsid w:val="00DE0569"/>
    <w:rsid w:val="00DE0797"/>
    <w:rsid w:val="00DE08C3"/>
    <w:rsid w:val="00DE094A"/>
    <w:rsid w:val="00DE17FA"/>
    <w:rsid w:val="00DE1971"/>
    <w:rsid w:val="00DE1ACD"/>
    <w:rsid w:val="00DE1DAB"/>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1"/>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D73"/>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5B70"/>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38E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7DF"/>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AB"/>
    <w:rsid w:val="00FA42BC"/>
    <w:rsid w:val="00FA4635"/>
    <w:rsid w:val="00FA4731"/>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5C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D84"/>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034E03"/>
    <w:pPr>
      <w:keepNext/>
      <w:keepLines/>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35">
    <w:name w:val="73א הזחה ראשונה מספר"/>
    <w:basedOn w:val="ListParagraph"/>
    <w:link w:val="7337"/>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034E03"/>
    <w:pPr>
      <w:keepNext w:val="0"/>
      <w:keepLines w:val="0"/>
      <w:widowControl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EC5B70"/>
    <w:pPr>
      <w:keepLines/>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semiHidden/>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5"/>
    <w:link w:val="7328"/>
    <w:qFormat/>
    <w:rsid w:val="006F49D3"/>
    <w:pPr>
      <w:keepNext/>
      <w:keepLines/>
      <w:pBdr>
        <w:top w:val="single" w:sz="12" w:space="5" w:color="auto"/>
      </w:pBdr>
      <w:spacing w:before="360" w:after="240"/>
      <w:outlineLvl w:val="9"/>
    </w:pPr>
    <w:rPr>
      <w:sz w:val="31"/>
      <w:szCs w:val="31"/>
    </w:rPr>
  </w:style>
  <w:style w:type="character" w:customStyle="1" w:styleId="7328">
    <w:name w:val="73א תמונת המצב העולה מן הביקורת תו"/>
    <w:basedOn w:val="21Char1"/>
    <w:link w:val="7327"/>
    <w:rsid w:val="006F49D3"/>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034E03"/>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034E03"/>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4"/>
    <w:link w:val="7333"/>
    <w:qFormat/>
    <w:rsid w:val="00524400"/>
    <w:pPr>
      <w:keepNext/>
      <w:keepLines/>
      <w:spacing w:before="0"/>
    </w:pPr>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5"/>
    <w:link w:val="7332"/>
    <w:rsid w:val="00524400"/>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91353C"/>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0">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222C5D"/>
    <w:rPr>
      <w:color w:val="0D0D0D" w:themeColor="text1" w:themeTint="F2"/>
      <w:sz w:val="18"/>
    </w:rPr>
  </w:style>
  <w:style w:type="character" w:customStyle="1" w:styleId="7393">
    <w:name w:val="73א טקסט רץ 9 תו"/>
    <w:basedOn w:val="Char4"/>
    <w:link w:val="7392"/>
    <w:rsid w:val="00222C5D"/>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9"/>
      </w:numPr>
      <w:ind w:left="850" w:right="284" w:hanging="425"/>
    </w:pPr>
    <w:rPr>
      <w:noProof/>
      <w:lang w:val="he-IL"/>
    </w:rPr>
  </w:style>
  <w:style w:type="paragraph" w:customStyle="1" w:styleId="711">
    <w:name w:val="71ג קוביה כחולה עם מספרים מוזחים"/>
    <w:basedOn w:val="Normal"/>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2507E8"/>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0">
    <w:name w:val="סגנון8"/>
    <w:basedOn w:val="7327"/>
    <w:qFormat/>
    <w:rsid w:val="00AB2F78"/>
  </w:style>
  <w:style w:type="paragraph" w:customStyle="1" w:styleId="a34">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Normal"/>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DefaultParagraphFont"/>
    <w:link w:val="0-"/>
    <w:rsid w:val="002D5684"/>
    <w:rPr>
      <w:rFonts w:ascii="Tahoma" w:hAnsi="Tahoma" w:cs="Tahoma"/>
      <w:b/>
      <w:bCs/>
      <w:color w:val="0D0D0D" w:themeColor="text1" w:themeTint="F2"/>
      <w:sz w:val="18"/>
      <w:szCs w:val="18"/>
    </w:rPr>
  </w:style>
  <w:style w:type="character" w:styleId="FootnoteReference2">
    <w:name w:val="footnote reference"/>
    <w:aliases w:val="Footnote Reference_0,Footnote Reference_0_0,Footnote Reference_0_0_0,Footnote Reference_1,Footnote Reference_1_0,Footnote Reference_2,Footnote Reference_2_0,Footnote Reference_3,Footnote Reference_4,fr,הפניה להערת שוליים חדש,מ"/>
    <w:basedOn w:val="DefaultParagraphFont"/>
    <w:uiPriority w:val="99"/>
    <w:unhideWhenUsed/>
    <w:rsid w:val="00DB5014"/>
    <w:rPr>
      <w:vertAlign w:val="superscript"/>
    </w:rPr>
  </w:style>
  <w:style w:type="character" w:styleId="CommentReference">
    <w:name w:val="annotation reference"/>
    <w:basedOn w:val="DefaultParagraphFont"/>
    <w:uiPriority w:val="99"/>
    <w:semiHidden/>
    <w:unhideWhenUsed/>
    <w:rsid w:val="000031E1"/>
    <w:rPr>
      <w:sz w:val="16"/>
      <w:szCs w:val="16"/>
    </w:rPr>
  </w:style>
  <w:style w:type="character" w:customStyle="1" w:styleId="ms-rtefontsize-3">
    <w:name w:val="ms-rtefontsize-3"/>
    <w:basedOn w:val="DefaultParagraphFont"/>
    <w:rsid w:val="000031E1"/>
  </w:style>
  <w:style w:type="paragraph" w:customStyle="1" w:styleId="71R">
    <w:name w:val="71ג טבלה טקסט R"/>
    <w:basedOn w:val="Normal"/>
    <w:qFormat/>
    <w:rsid w:val="000031E1"/>
    <w:pPr>
      <w:spacing w:before="120" w:after="120" w:line="240" w:lineRule="exact"/>
      <w:jc w:val="left"/>
    </w:pPr>
    <w:rPr>
      <w:rFonts w:ascii="Tahoma" w:hAnsi="Tahoma" w:eastAsiaTheme="minorEastAsia" w:cs="Tahoma"/>
      <w:color w:val="000000" w:themeColor="text1"/>
      <w:sz w:val="16"/>
      <w:szCs w:val="16"/>
    </w:rPr>
  </w:style>
  <w:style w:type="paragraph" w:customStyle="1" w:styleId="71HEADER">
    <w:name w:val="71ג טבלה HEADER"/>
    <w:basedOn w:val="Normal"/>
    <w:qFormat/>
    <w:rsid w:val="000031E1"/>
    <w:pPr>
      <w:spacing w:before="60" w:after="60" w:line="180" w:lineRule="exact"/>
      <w:jc w:val="left"/>
    </w:pPr>
    <w:rPr>
      <w:rFonts w:ascii="Tahoma" w:hAnsi="Tahoma" w:eastAsiaTheme="minorEastAsia" w:cs="Tahoma"/>
      <w:b/>
      <w:color w:val="0D0D0D" w:themeColor="text1" w:themeTint="F2"/>
      <w:sz w:val="16"/>
      <w:szCs w:val="16"/>
    </w:rPr>
  </w:style>
  <w:style w:type="character" w:customStyle="1" w:styleId="Bodytext2Exact">
    <w:name w:val="Body text (2) Exact"/>
    <w:basedOn w:val="Bodytext2"/>
    <w:rsid w:val="000031E1"/>
    <w:rPr>
      <w:rFonts w:ascii="Segoe UI" w:eastAsia="Segoe UI" w:hAnsi="Segoe UI" w:cs="Segoe UI"/>
      <w:color w:val="000000"/>
      <w:spacing w:val="0"/>
      <w:w w:val="100"/>
      <w:position w:val="0"/>
      <w:sz w:val="17"/>
      <w:szCs w:val="17"/>
      <w:shd w:val="clear" w:color="auto" w:fill="FFFFFF"/>
      <w:lang w:val="he-IL" w:eastAsia="he-IL" w:bidi="he-IL"/>
    </w:rPr>
  </w:style>
  <w:style w:type="character" w:customStyle="1" w:styleId="Footnote">
    <w:name w:val="Footnote_"/>
    <w:basedOn w:val="DefaultParagraphFont"/>
    <w:rsid w:val="000031E1"/>
    <w:rPr>
      <w:rFonts w:ascii="Segoe UI" w:eastAsia="Segoe UI" w:hAnsi="Segoe UI" w:cs="Segoe UI"/>
      <w:b w:val="0"/>
      <w:bCs w:val="0"/>
      <w:i w:val="0"/>
      <w:iCs w:val="0"/>
      <w:smallCaps w:val="0"/>
      <w:strike w:val="0"/>
      <w:sz w:val="13"/>
      <w:szCs w:val="13"/>
      <w:u w:val="none"/>
    </w:rPr>
  </w:style>
  <w:style w:type="character" w:customStyle="1" w:styleId="Footnote0">
    <w:name w:val="Footnote"/>
    <w:basedOn w:val="Footnote"/>
    <w:rsid w:val="000031E1"/>
    <w:rPr>
      <w:rFonts w:ascii="Segoe UI" w:eastAsia="Segoe UI" w:hAnsi="Segoe UI" w:cs="Segoe UI"/>
      <w:b w:val="0"/>
      <w:bCs w:val="0"/>
      <w:i w:val="0"/>
      <w:iCs w:val="0"/>
      <w:smallCaps w:val="0"/>
      <w:strike w:val="0"/>
      <w:color w:val="000000"/>
      <w:spacing w:val="0"/>
      <w:w w:val="100"/>
      <w:position w:val="0"/>
      <w:sz w:val="13"/>
      <w:szCs w:val="13"/>
      <w:u w:val="none"/>
      <w:lang w:val="he-IL" w:eastAsia="he-IL" w:bidi="he-IL"/>
    </w:rPr>
  </w:style>
  <w:style w:type="character" w:customStyle="1" w:styleId="Bodytext3Exact">
    <w:name w:val="Body text (3) Exact"/>
    <w:basedOn w:val="DefaultParagraphFont"/>
    <w:rsid w:val="000031E1"/>
    <w:rPr>
      <w:rFonts w:ascii="Lucida Sans Unicode" w:eastAsia="Lucida Sans Unicode" w:hAnsi="Lucida Sans Unicode" w:cs="Lucida Sans Unicode"/>
      <w:b/>
      <w:bCs/>
      <w:i w:val="0"/>
      <w:iCs w:val="0"/>
      <w:smallCaps w:val="0"/>
      <w:strike w:val="0"/>
      <w:color w:val="FFFFFF"/>
      <w:spacing w:val="-10"/>
      <w:w w:val="100"/>
      <w:position w:val="0"/>
      <w:sz w:val="28"/>
      <w:szCs w:val="28"/>
      <w:u w:val="none"/>
      <w:lang w:val="he-IL" w:eastAsia="he-IL" w:bidi="he-IL"/>
    </w:rPr>
  </w:style>
  <w:style w:type="character" w:customStyle="1" w:styleId="Bodytext10">
    <w:name w:val="Body text (10)_"/>
    <w:basedOn w:val="DefaultParagraphFont"/>
    <w:rsid w:val="000031E1"/>
    <w:rPr>
      <w:rFonts w:ascii="Segoe UI" w:eastAsia="Segoe UI" w:hAnsi="Segoe UI" w:cs="Segoe UI"/>
      <w:b/>
      <w:bCs/>
      <w:i w:val="0"/>
      <w:iCs w:val="0"/>
      <w:smallCaps w:val="0"/>
      <w:strike w:val="0"/>
      <w:sz w:val="17"/>
      <w:szCs w:val="17"/>
      <w:u w:val="none"/>
    </w:rPr>
  </w:style>
  <w:style w:type="character" w:customStyle="1" w:styleId="Bodytext18Exact">
    <w:name w:val="Body text (18) Exact"/>
    <w:basedOn w:val="DefaultParagraphFont"/>
    <w:link w:val="Bodytext18"/>
    <w:rsid w:val="000031E1"/>
    <w:rPr>
      <w:rFonts w:ascii="Segoe UI" w:eastAsia="Segoe UI" w:hAnsi="Segoe UI" w:cs="Segoe UI"/>
      <w:sz w:val="13"/>
      <w:szCs w:val="13"/>
      <w:shd w:val="clear" w:color="auto" w:fill="FFFFFF"/>
      <w:lang w:bidi="en-US"/>
    </w:rPr>
  </w:style>
  <w:style w:type="paragraph" w:customStyle="1" w:styleId="Bodytext18">
    <w:name w:val="Body text (18)"/>
    <w:basedOn w:val="Normal"/>
    <w:link w:val="Bodytext18Exact"/>
    <w:rsid w:val="000031E1"/>
    <w:pPr>
      <w:widowControl w:val="0"/>
      <w:shd w:val="clear" w:color="auto" w:fill="FFFFFF"/>
      <w:bidi w:val="0"/>
      <w:spacing w:line="0" w:lineRule="atLeast"/>
      <w:jc w:val="left"/>
    </w:pPr>
    <w:rPr>
      <w:rFonts w:ascii="Segoe UI" w:eastAsia="Segoe UI" w:hAnsi="Segoe UI" w:cs="Segoe UI"/>
      <w:sz w:val="13"/>
      <w:szCs w:val="13"/>
      <w:lang w:bidi="en-US"/>
    </w:rPr>
  </w:style>
  <w:style w:type="character" w:customStyle="1" w:styleId="Bodytext100">
    <w:name w:val="Body text (10)"/>
    <w:basedOn w:val="Bodytext10"/>
    <w:rsid w:val="000031E1"/>
    <w:rPr>
      <w:rFonts w:ascii="Segoe UI" w:eastAsia="Segoe UI" w:hAnsi="Segoe UI" w:cs="Segoe UI"/>
      <w:b/>
      <w:bCs/>
      <w:i w:val="0"/>
      <w:iCs w:val="0"/>
      <w:smallCaps w:val="0"/>
      <w:strike w:val="0"/>
      <w:color w:val="000000"/>
      <w:spacing w:val="0"/>
      <w:w w:val="100"/>
      <w:position w:val="0"/>
      <w:sz w:val="17"/>
      <w:szCs w:val="17"/>
      <w:u w:val="none"/>
      <w:lang w:val="he-IL" w:eastAsia="he-IL" w:bidi="he-IL"/>
    </w:rPr>
  </w:style>
  <w:style w:type="paragraph" w:customStyle="1" w:styleId="29">
    <w:name w:val="סעיף רמה 2"/>
    <w:basedOn w:val="Normal"/>
    <w:qFormat/>
    <w:rsid w:val="000031E1"/>
    <w:pPr>
      <w:spacing w:line="360" w:lineRule="auto"/>
      <w:ind w:left="567" w:hanging="567"/>
    </w:pPr>
    <w:rPr>
      <w:rFonts w:ascii="Arial" w:eastAsia="Times New Roman" w:hAnsi="Arial" w:cstheme="minorBidi"/>
      <w:sz w:val="22"/>
      <w:szCs w:val="22"/>
    </w:rPr>
  </w:style>
  <w:style w:type="paragraph" w:customStyle="1" w:styleId="35">
    <w:name w:val="סעיף רמה 3"/>
    <w:basedOn w:val="Normal"/>
    <w:qFormat/>
    <w:rsid w:val="000031E1"/>
    <w:pPr>
      <w:tabs>
        <w:tab w:val="left" w:pos="1371"/>
      </w:tabs>
      <w:spacing w:line="360" w:lineRule="auto"/>
      <w:ind w:left="1371" w:hanging="804"/>
    </w:pPr>
    <w:rPr>
      <w:rFonts w:ascii="Arial" w:eastAsia="Times New Roman" w:hAnsi="Arial" w:cstheme="minorBidi"/>
      <w:sz w:val="22"/>
      <w:szCs w:val="22"/>
    </w:rPr>
  </w:style>
  <w:style w:type="paragraph" w:customStyle="1" w:styleId="42">
    <w:name w:val="סעיף רמה 4"/>
    <w:basedOn w:val="35"/>
    <w:link w:val="43"/>
    <w:qFormat/>
    <w:rsid w:val="000031E1"/>
    <w:pPr>
      <w:tabs>
        <w:tab w:val="left" w:pos="2268"/>
      </w:tabs>
      <w:ind w:left="2268" w:hanging="964"/>
    </w:pPr>
  </w:style>
  <w:style w:type="character" w:customStyle="1" w:styleId="43">
    <w:name w:val="סעיף רמה 4 תו"/>
    <w:basedOn w:val="DefaultParagraphFont"/>
    <w:link w:val="42"/>
    <w:rsid w:val="000031E1"/>
    <w:rPr>
      <w:rFonts w:ascii="Arial" w:eastAsia="Times New Roman" w:hAnsi="Arial" w:cstheme="minorBidi"/>
      <w:sz w:val="22"/>
      <w:szCs w:val="22"/>
    </w:rPr>
  </w:style>
  <w:style w:type="paragraph" w:customStyle="1" w:styleId="52">
    <w:name w:val="סעיף רמה 5"/>
    <w:basedOn w:val="42"/>
    <w:qFormat/>
    <w:rsid w:val="000031E1"/>
    <w:pPr>
      <w:tabs>
        <w:tab w:val="num" w:pos="360"/>
        <w:tab w:val="clear" w:pos="2268"/>
        <w:tab w:val="left" w:pos="3402"/>
      </w:tabs>
      <w:ind w:left="3402" w:hanging="1134"/>
    </w:pPr>
  </w:style>
  <w:style w:type="paragraph" w:customStyle="1" w:styleId="62">
    <w:name w:val="סעיף רמה 6"/>
    <w:basedOn w:val="52"/>
    <w:qFormat/>
    <w:rsid w:val="000031E1"/>
    <w:pPr>
      <w:ind w:left="4820" w:hanging="1418"/>
    </w:pPr>
  </w:style>
  <w:style w:type="character" w:customStyle="1" w:styleId="124">
    <w:name w:val="אזכור לא מזוהה1"/>
    <w:basedOn w:val="DefaultParagraphFont"/>
    <w:uiPriority w:val="99"/>
    <w:semiHidden/>
    <w:unhideWhenUsed/>
    <w:rsid w:val="000031E1"/>
    <w:rPr>
      <w:color w:val="605E5C"/>
      <w:shd w:val="clear" w:color="auto" w:fill="E1DFDD"/>
    </w:rPr>
  </w:style>
  <w:style w:type="character" w:customStyle="1" w:styleId="217">
    <w:name w:val="אזכור לא מזוהה2"/>
    <w:basedOn w:val="DefaultParagraphFont"/>
    <w:uiPriority w:val="99"/>
    <w:semiHidden/>
    <w:unhideWhenUsed/>
    <w:rsid w:val="000031E1"/>
    <w:rPr>
      <w:color w:val="605E5C"/>
      <w:shd w:val="clear" w:color="auto" w:fill="E1DFDD"/>
    </w:rPr>
  </w:style>
  <w:style w:type="character" w:customStyle="1" w:styleId="36">
    <w:name w:val="אזכור לא מזוהה3"/>
    <w:basedOn w:val="DefaultParagraphFont"/>
    <w:uiPriority w:val="99"/>
    <w:semiHidden/>
    <w:unhideWhenUsed/>
    <w:rsid w:val="000031E1"/>
    <w:rPr>
      <w:color w:val="605E5C"/>
      <w:shd w:val="clear" w:color="auto" w:fill="E1DFDD"/>
    </w:rPr>
  </w:style>
  <w:style w:type="character" w:customStyle="1" w:styleId="44">
    <w:name w:val="אזכור לא מזוהה4"/>
    <w:basedOn w:val="DefaultParagraphFont"/>
    <w:uiPriority w:val="99"/>
    <w:semiHidden/>
    <w:unhideWhenUsed/>
    <w:rsid w:val="000031E1"/>
    <w:rPr>
      <w:color w:val="605E5C"/>
      <w:shd w:val="clear" w:color="auto" w:fill="E1DFDD"/>
    </w:rPr>
  </w:style>
  <w:style w:type="table" w:styleId="GridTable6ColorfulAccent3">
    <w:name w:val="Grid Table 6 Colorful Accent 3"/>
    <w:basedOn w:val="TableNormal"/>
    <w:uiPriority w:val="51"/>
    <w:rsid w:val="000031E1"/>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character" w:customStyle="1" w:styleId="53">
    <w:name w:val="אזכור לא מזוהה5"/>
    <w:basedOn w:val="DefaultParagraphFont"/>
    <w:uiPriority w:val="99"/>
    <w:semiHidden/>
    <w:unhideWhenUsed/>
    <w:rsid w:val="000031E1"/>
    <w:rPr>
      <w:color w:val="605E5C"/>
      <w:shd w:val="clear" w:color="auto" w:fill="E1DFDD"/>
    </w:rPr>
  </w:style>
  <w:style w:type="character" w:customStyle="1" w:styleId="63">
    <w:name w:val="אזכור לא מזוהה6"/>
    <w:basedOn w:val="DefaultParagraphFont"/>
    <w:uiPriority w:val="99"/>
    <w:semiHidden/>
    <w:unhideWhenUsed/>
    <w:rsid w:val="000031E1"/>
    <w:rPr>
      <w:color w:val="605E5C"/>
      <w:shd w:val="clear" w:color="auto" w:fill="E1DFDD"/>
    </w:rPr>
  </w:style>
  <w:style w:type="character" w:styleId="UnresolvedMention">
    <w:name w:val="Unresolved Mention"/>
    <w:basedOn w:val="DefaultParagraphFont"/>
    <w:uiPriority w:val="99"/>
    <w:semiHidden/>
    <w:unhideWhenUsed/>
    <w:rsid w:val="00F81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image" Target="media/image4.jpeg" /><Relationship Id="rId2" Type="http://schemas.openxmlformats.org/officeDocument/2006/relationships/endnotes" Target="endnote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image" Target="media/image9.jpeg" /><Relationship Id="rId25" Type="http://schemas.openxmlformats.org/officeDocument/2006/relationships/image" Target="media/image10.jpeg" /><Relationship Id="rId26" Type="http://schemas.openxmlformats.org/officeDocument/2006/relationships/image" Target="media/image11.jpeg" /><Relationship Id="rId27" Type="http://schemas.openxmlformats.org/officeDocument/2006/relationships/image" Target="media/image12.emf" /><Relationship Id="rId28" Type="http://schemas.openxmlformats.org/officeDocument/2006/relationships/image" Target="media/image13.png" /><Relationship Id="rId29" Type="http://schemas.openxmlformats.org/officeDocument/2006/relationships/image" Target="media/image14.jpeg" /><Relationship Id="rId3" Type="http://schemas.openxmlformats.org/officeDocument/2006/relationships/settings" Target="settings.xml" /><Relationship Id="rId30" Type="http://schemas.openxmlformats.org/officeDocument/2006/relationships/header" Target="header5.xml" /><Relationship Id="rId31" Type="http://schemas.openxmlformats.org/officeDocument/2006/relationships/footer" Target="footer4.xml" /><Relationship Id="rId32" Type="http://schemas.openxmlformats.org/officeDocument/2006/relationships/header" Target="header6.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3.jpeg" /></Relationships>
</file>

<file path=word/_rels/header6.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4.bf9036f0-ae5b-49e9-9588-9ebcf46a600d.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2.xml><?xml version="1.0" encoding="utf-8"?>
<ds:datastoreItem xmlns:ds="http://schemas.openxmlformats.org/officeDocument/2006/customXml" ds:itemID="{3D47CC1C-642A-4C4F-83B3-C7FD3FD7C729}"/>
</file>

<file path=customXml/itemProps3.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4.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11</TotalTime>
  <Pages>12</Pages>
  <Words>1999</Words>
  <Characters>9999</Characters>
  <Application>Microsoft Office Word</Application>
  <DocSecurity>0</DocSecurity>
  <Lines>83</Lines>
  <Paragraphs>23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סטודיו אי.אר.</cp:lastModifiedBy>
  <cp:revision>7</cp:revision>
  <cp:lastPrinted>2023-07-16T07:57:00Z</cp:lastPrinted>
  <dcterms:created xsi:type="dcterms:W3CDTF">2023-09-05T12:31:00Z</dcterms:created>
  <dcterms:modified xsi:type="dcterms:W3CDTF">2024-01-03T21:02:00Z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