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651E6B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3064351</wp:posOffset>
                </wp:positionH>
                <wp:positionV relativeFrom="paragraph">
                  <wp:posOffset>264794</wp:posOffset>
                </wp:positionV>
                <wp:extent cx="0" cy="3007519"/>
                <wp:effectExtent l="25400" t="0" r="25400" b="279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00751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pt,20.85pt" to="241.3pt,257.6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2076768</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3.55pt" to="231.5pt,163.5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109855</wp:posOffset>
                </wp:positionH>
                <wp:positionV relativeFrom="paragraph">
                  <wp:posOffset>335915</wp:posOffset>
                </wp:positionV>
                <wp:extent cx="4362450" cy="4273550"/>
                <wp:effectExtent l="0" t="0" r="635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6245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40B39C4B">
                            <w:pPr>
                              <w:pStyle w:val="a33"/>
                              <w:bidi/>
                              <w:rPr>
                                <w:rtl/>
                              </w:rPr>
                            </w:pPr>
                            <w:r w:rsidRPr="006B6929">
                              <w:rPr>
                                <w:rtl/>
                              </w:rPr>
                              <w:t>מבקר המדינה | היבטים בהתמודדות עם יוקר המחיה</w:t>
                            </w:r>
                            <w:r>
                              <w:rPr>
                                <w:rFonts w:hint="cs"/>
                                <w:rtl/>
                              </w:rPr>
                              <w:t xml:space="preserve"> </w:t>
                            </w:r>
                            <w:r w:rsidRPr="0052031E">
                              <w:rPr>
                                <w:rtl/>
                              </w:rPr>
                              <w:t>|</w:t>
                            </w:r>
                            <w:r>
                              <w:rPr>
                                <w:rFonts w:hint="cs"/>
                                <w:rtl/>
                              </w:rPr>
                              <w:t xml:space="preserve"> </w:t>
                            </w:r>
                            <w:r w:rsidR="00BE5DAE">
                              <w:rPr>
                                <w:rFonts w:hint="cs"/>
                                <w:rtl/>
                              </w:rPr>
                              <w:t>טבת</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BE5DAE">
                              <w:rPr>
                                <w:rFonts w:hint="cs"/>
                                <w:rtl/>
                              </w:rPr>
                              <w:t>ינואר</w:t>
                            </w:r>
                            <w:r>
                              <w:rPr>
                                <w:rFonts w:hint="cs"/>
                                <w:rtl/>
                              </w:rPr>
                              <w:t xml:space="preserve"> </w:t>
                            </w:r>
                            <w:r w:rsidR="00BE5DAE">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DAE457A">
                            <w:pPr>
                              <w:pStyle w:val="-1"/>
                              <w:rPr>
                                <w:rtl/>
                              </w:rPr>
                            </w:pPr>
                            <w:r>
                              <w:rPr>
                                <w:rFonts w:hint="cs"/>
                                <w:rtl/>
                              </w:rPr>
                              <w:t>בנק ישראל</w:t>
                            </w:r>
                          </w:p>
                          <w:p w:rsidR="00F73EE0" w:rsidRPr="000F5023" w:rsidP="0072357A" w14:textId="4A71514C">
                            <w:pPr>
                              <w:pStyle w:val="a32"/>
                              <w:bidi/>
                              <w:spacing w:before="120"/>
                              <w:rPr>
                                <w:rtl/>
                              </w:rPr>
                            </w:pPr>
                            <w:r w:rsidRPr="00DF3A65">
                              <w:rPr>
                                <w:rtl/>
                              </w:rPr>
                              <w:t>מאגר נתוני אשראי</w:t>
                            </w:r>
                            <w:r w:rsidR="00147605">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43.5pt;height:336.5pt;margin-top:26.45pt;margin-left:8.6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40B39C4B">
                      <w:pPr>
                        <w:pStyle w:val="a33"/>
                        <w:bidi/>
                        <w:rPr>
                          <w:rtl/>
                        </w:rPr>
                      </w:pPr>
                      <w:r w:rsidRPr="006B6929">
                        <w:rPr>
                          <w:rtl/>
                        </w:rPr>
                        <w:t>מבקר המדינה | היבטים בהתמודדות עם יוקר המחיה</w:t>
                      </w:r>
                      <w:r>
                        <w:rPr>
                          <w:rFonts w:hint="cs"/>
                          <w:rtl/>
                        </w:rPr>
                        <w:t xml:space="preserve"> </w:t>
                      </w:r>
                      <w:r w:rsidRPr="0052031E">
                        <w:rPr>
                          <w:rtl/>
                        </w:rPr>
                        <w:t>|</w:t>
                      </w:r>
                      <w:r>
                        <w:rPr>
                          <w:rFonts w:hint="cs"/>
                          <w:rtl/>
                        </w:rPr>
                        <w:t xml:space="preserve"> </w:t>
                      </w:r>
                      <w:r w:rsidR="00BE5DAE">
                        <w:rPr>
                          <w:rFonts w:hint="cs"/>
                          <w:rtl/>
                        </w:rPr>
                        <w:t>טבת</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BE5DAE">
                        <w:rPr>
                          <w:rFonts w:hint="cs"/>
                          <w:rtl/>
                        </w:rPr>
                        <w:t>ינואר</w:t>
                      </w:r>
                      <w:r>
                        <w:rPr>
                          <w:rFonts w:hint="cs"/>
                          <w:rtl/>
                        </w:rPr>
                        <w:t xml:space="preserve"> </w:t>
                      </w:r>
                      <w:r w:rsidR="00BE5DAE">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DAE457A">
                      <w:pPr>
                        <w:pStyle w:val="-1"/>
                        <w:rPr>
                          <w:rtl/>
                        </w:rPr>
                      </w:pPr>
                      <w:r>
                        <w:rPr>
                          <w:rFonts w:hint="cs"/>
                          <w:rtl/>
                        </w:rPr>
                        <w:t>בנק ישראל</w:t>
                      </w:r>
                    </w:p>
                    <w:p w:rsidR="00F73EE0" w:rsidRPr="000F5023" w:rsidP="0072357A" w14:paraId="5464BE8D" w14:textId="4A71514C">
                      <w:pPr>
                        <w:pStyle w:val="a32"/>
                        <w:bidi/>
                        <w:spacing w:before="120"/>
                        <w:rPr>
                          <w:rtl/>
                        </w:rPr>
                      </w:pPr>
                      <w:r w:rsidRPr="00DF3A65">
                        <w:rPr>
                          <w:rtl/>
                        </w:rPr>
                        <w:t>מאגר נתוני אשראי</w:t>
                      </w:r>
                      <w:r w:rsidR="00147605">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04B2FE7D">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AF3B73" w14:paraId="4ED3AA37" w14:textId="460BE50E">
      <w:pPr>
        <w:pStyle w:val="7329"/>
        <w:spacing w:after="1080"/>
        <w:rPr>
          <w:rtl/>
        </w:rPr>
      </w:pPr>
      <w:r w:rsidRPr="00802F2E">
        <w:rPr>
          <w:noProof/>
          <w:rtl/>
        </w:rPr>
        <w:drawing>
          <wp:anchor distT="0" distB="0" distL="114300" distR="114300" simplePos="0" relativeHeight="251683840" behindDoc="0" locked="0" layoutInCell="1" allowOverlap="1">
            <wp:simplePos x="0" y="0"/>
            <wp:positionH relativeFrom="column">
              <wp:posOffset>3293110</wp:posOffset>
            </wp:positionH>
            <wp:positionV relativeFrom="paragraph">
              <wp:posOffset>595154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DF3A65" w:rsidR="00DF3A65">
        <w:rPr>
          <w:noProof/>
          <w:rtl/>
        </w:rPr>
        <w:t>מאגר נתוני אשראי</w:t>
      </w:r>
      <w:r w:rsidR="00DF3A65">
        <w:rPr>
          <w:rFonts w:hint="cs"/>
          <w:rtl/>
        </w:rPr>
        <w:t xml:space="preserve"> </w:t>
      </w:r>
    </w:p>
    <w:p w:rsidR="00E862D6" w:rsidRPr="00757A56" w:rsidP="00E862D6" w14:paraId="41F64D3F" w14:textId="77777777">
      <w:pPr>
        <w:pStyle w:val="7392"/>
        <w:rPr>
          <w:rtl/>
        </w:rPr>
      </w:pPr>
      <w:r w:rsidRPr="00757A56">
        <w:rPr>
          <w:rtl/>
        </w:rPr>
        <w:t>מאגר נתוני אשראי של בנק ישראל הוא מאגר מידע מרכזי אשר החל לפעול באפריל 2019. המאגר הוקם על ידי בנק ישראל מתוקף חוק נתוני אשראי, התשע"ו-2016 (החוק), כאחד מן הצעדים לקידום התחרות בשוק האשראי בישראל. מאגר המידע אוסף נתונים לגבי התחייבויות האשראי של יחידים שהם אזרחי ישראל ותושביה וכן לגבי אופן פירעונן. מקורות המידע המעבירים את הנתונים למאגר הם בעיקר גופים העוסקים במתן אשראי, למשל: תאגידים בנקאיים, חברות כרטיסי אשראי ונותני אשראי חוץ-בנקאי, וכן רשויות ציבוריות שונות: הממונה על הליכי חדלות פירעון ושיקום כלכלי, לשכות ההוצאה לפועל ומדור חשבונות מוגבלים שבבנק ישראל.</w:t>
      </w:r>
      <w:r w:rsidRPr="00757A56">
        <w:rPr>
          <w:rFonts w:hint="cs"/>
          <w:rtl/>
        </w:rPr>
        <w:t xml:space="preserve"> כמו כן פועלות כיום שתי לשכות אשראי שהן חברות אשר קיבלו רישיון להפעלת שירות נתוני אשראי ורשאיות להעניק שירותים שונים, כגון דוחות אשראי, דירוגי אשראי ושירותי ייעוץ שונים.</w:t>
      </w:r>
    </w:p>
    <w:p w:rsidR="00E862D6" w:rsidRPr="00757A56" w:rsidP="00E862D6" w14:paraId="20FE4B98" w14:textId="77777777">
      <w:pPr>
        <w:pStyle w:val="7392"/>
        <w:rPr>
          <w:rtl/>
        </w:rPr>
      </w:pPr>
      <w:r w:rsidRPr="00757A56">
        <w:rPr>
          <w:rtl/>
        </w:rPr>
        <w:t>נקודת המוצא שעמדה בבסיס הקמת המאגר היא שהשליטה של התאגידים הבנקאיים בתחום האשראי למשקי הבית נובעת בין היתר מהמידע הרב שיש ברשותם על לקוחותיהם, המנהלים אצלם את חשבון הבנק. מידע זה מאפשר לתאגידים הבנקאיים לנתח במדויק את הסיכון של הלקוח ואת כדאיות מתן האשראי לו. כדי לאפשר לשחקנים נוספים להיכנס לשוק האשראי ולצמצם את היתרון של התאגידים הבנקאיים הגדולים על פניהם, הוחלט להקים מאגר מידע הפתוח לכלל נותני האשראי במשק. מאגר זה עשוי לסייע לתמחור נכון יותר של האשראי ולשפר את היכולת של נותני אשראי אחרים להתחרות בתאגידים הבנקאיים. יצוין כי במועד סיום הדוח סביבת הריבית בישראל ובעולם עלתה</w:t>
      </w:r>
      <w:r w:rsidRPr="00757A56">
        <w:rPr>
          <w:rFonts w:hint="cs"/>
          <w:rtl/>
        </w:rPr>
        <w:t>,</w:t>
      </w:r>
      <w:r w:rsidRPr="00757A56">
        <w:rPr>
          <w:rtl/>
        </w:rPr>
        <w:t xml:space="preserve"> </w:t>
      </w:r>
      <w:r w:rsidRPr="00757A56">
        <w:rPr>
          <w:rFonts w:hint="cs"/>
          <w:rtl/>
        </w:rPr>
        <w:t>ולפיכך</w:t>
      </w:r>
      <w:r w:rsidRPr="00757A56">
        <w:rPr>
          <w:rtl/>
        </w:rPr>
        <w:t xml:space="preserve"> חשיבות המאגר והשפעתו גדלה.</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7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6"/>
        <w:gridCol w:w="237"/>
        <w:gridCol w:w="1530"/>
        <w:gridCol w:w="237"/>
        <w:gridCol w:w="1531"/>
        <w:gridCol w:w="268"/>
        <w:gridCol w:w="1531"/>
      </w:tblGrid>
      <w:tr w14:paraId="58B4726B" w14:textId="77777777" w:rsidTr="00E862D6">
        <w:tblPrEx>
          <w:tblW w:w="7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176" w:type="dxa"/>
            <w:tcBorders>
              <w:bottom w:val="single" w:sz="12" w:space="0" w:color="000000" w:themeColor="text1"/>
            </w:tcBorders>
            <w:vAlign w:val="bottom"/>
          </w:tcPr>
          <w:p w:rsidR="00E862D6" w:rsidRPr="00E862D6" w:rsidP="00E862D6" w14:paraId="23EB689E" w14:textId="2B0D1417">
            <w:pPr>
              <w:spacing w:after="60" w:line="240" w:lineRule="auto"/>
              <w:jc w:val="left"/>
              <w:rPr>
                <w:b/>
                <w:bCs/>
                <w:spacing w:val="-28"/>
                <w:rtl/>
              </w:rPr>
            </w:pPr>
            <w:r w:rsidRPr="00E862D6">
              <w:rPr>
                <w:rFonts w:ascii="Tahoma" w:hAnsi="Tahoma" w:eastAsiaTheme="minorEastAsia" w:cs="Tahoma" w:hint="cs"/>
                <w:b/>
                <w:bCs/>
                <w:color w:val="0D0D0D" w:themeColor="text1" w:themeTint="F2"/>
                <w:spacing w:val="-10"/>
                <w:sz w:val="36"/>
                <w:szCs w:val="36"/>
                <w:rtl/>
              </w:rPr>
              <w:t xml:space="preserve">770 </w:t>
            </w:r>
            <w:r>
              <w:rPr>
                <w:rFonts w:ascii="Tahoma" w:hAnsi="Tahoma" w:eastAsiaTheme="minorEastAsia" w:cs="Tahoma"/>
                <w:b/>
                <w:bCs/>
                <w:color w:val="0D0D0D" w:themeColor="text1" w:themeTint="F2"/>
                <w:spacing w:val="-10"/>
                <w:sz w:val="26"/>
                <w:szCs w:val="26"/>
                <w:rtl/>
              </w:rPr>
              <w:br/>
            </w:r>
            <w:r w:rsidRPr="00E862D6">
              <w:rPr>
                <w:rFonts w:ascii="Tahoma" w:hAnsi="Tahoma" w:eastAsiaTheme="minorEastAsia" w:cs="Tahoma" w:hint="cs"/>
                <w:b/>
                <w:bCs/>
                <w:color w:val="0D0D0D" w:themeColor="text1" w:themeTint="F2"/>
                <w:spacing w:val="-10"/>
                <w:sz w:val="26"/>
                <w:szCs w:val="26"/>
                <w:rtl/>
              </w:rPr>
              <w:t>מיליארד ש"ח</w:t>
            </w:r>
          </w:p>
        </w:tc>
        <w:tc>
          <w:tcPr>
            <w:tcW w:w="237" w:type="dxa"/>
            <w:vAlign w:val="bottom"/>
          </w:tcPr>
          <w:p w:rsidR="00E862D6" w:rsidRPr="00E862D6" w:rsidP="00E862D6" w14:paraId="19192EA5" w14:textId="77777777">
            <w:pPr>
              <w:spacing w:before="120" w:after="60" w:line="240" w:lineRule="auto"/>
              <w:jc w:val="left"/>
              <w:rPr>
                <w:b/>
                <w:bCs/>
                <w:rtl/>
              </w:rPr>
            </w:pPr>
          </w:p>
        </w:tc>
        <w:tc>
          <w:tcPr>
            <w:tcW w:w="1530" w:type="dxa"/>
            <w:tcBorders>
              <w:bottom w:val="single" w:sz="12" w:space="0" w:color="000000" w:themeColor="text1"/>
            </w:tcBorders>
            <w:vAlign w:val="bottom"/>
          </w:tcPr>
          <w:p w:rsidR="00E862D6" w:rsidRPr="00E862D6" w:rsidP="00E862D6" w14:paraId="761F4116" w14:textId="744496AE">
            <w:pPr>
              <w:pStyle w:val="2021"/>
              <w:spacing w:before="0" w:after="60"/>
              <w:rPr>
                <w:spacing w:val="-10"/>
                <w:rtl/>
              </w:rPr>
            </w:pPr>
            <w:r w:rsidRPr="00E862D6">
              <w:rPr>
                <w:rFonts w:hint="cs"/>
                <w:spacing w:val="-10"/>
                <w:rtl/>
              </w:rPr>
              <w:t>97%</w:t>
            </w:r>
          </w:p>
        </w:tc>
        <w:tc>
          <w:tcPr>
            <w:tcW w:w="237" w:type="dxa"/>
            <w:vAlign w:val="bottom"/>
          </w:tcPr>
          <w:p w:rsidR="00E862D6" w:rsidRPr="00E862D6" w:rsidP="00E862D6" w14:paraId="2810DE55" w14:textId="77777777">
            <w:pPr>
              <w:spacing w:before="120" w:after="60" w:line="240" w:lineRule="auto"/>
              <w:jc w:val="left"/>
              <w:rPr>
                <w:b/>
                <w:bCs/>
                <w:rtl/>
              </w:rPr>
            </w:pPr>
          </w:p>
        </w:tc>
        <w:tc>
          <w:tcPr>
            <w:tcW w:w="1531" w:type="dxa"/>
            <w:tcBorders>
              <w:bottom w:val="single" w:sz="12" w:space="0" w:color="000000" w:themeColor="text1"/>
            </w:tcBorders>
            <w:vAlign w:val="bottom"/>
          </w:tcPr>
          <w:p w:rsidR="00E862D6" w:rsidRPr="00E862D6" w:rsidP="00E862D6" w14:paraId="2A2E27BD" w14:textId="1987DA67">
            <w:pPr>
              <w:pStyle w:val="2021"/>
              <w:spacing w:before="0" w:after="60"/>
              <w:rPr>
                <w:spacing w:val="-20"/>
                <w:sz w:val="24"/>
                <w:rtl/>
              </w:rPr>
            </w:pPr>
            <w:r w:rsidRPr="00E862D6">
              <w:rPr>
                <w:rFonts w:hint="cs"/>
                <w:spacing w:val="-10"/>
                <w:rtl/>
              </w:rPr>
              <w:t>22%</w:t>
            </w:r>
          </w:p>
        </w:tc>
        <w:tc>
          <w:tcPr>
            <w:tcW w:w="268" w:type="dxa"/>
            <w:vAlign w:val="bottom"/>
          </w:tcPr>
          <w:p w:rsidR="00E862D6" w:rsidRPr="00E862D6" w:rsidP="00E862D6" w14:paraId="47B754BA" w14:textId="77777777">
            <w:pPr>
              <w:pStyle w:val="2021"/>
              <w:spacing w:before="0" w:after="60"/>
              <w:rPr>
                <w:spacing w:val="-10"/>
                <w:rtl/>
              </w:rPr>
            </w:pPr>
          </w:p>
        </w:tc>
        <w:tc>
          <w:tcPr>
            <w:tcW w:w="1531" w:type="dxa"/>
            <w:tcBorders>
              <w:bottom w:val="single" w:sz="12" w:space="0" w:color="000000" w:themeColor="text1"/>
            </w:tcBorders>
            <w:vAlign w:val="bottom"/>
          </w:tcPr>
          <w:p w:rsidR="00E862D6" w:rsidRPr="00E862D6" w:rsidP="00E862D6" w14:paraId="5F3A3FF5" w14:textId="1EB0CB22">
            <w:pPr>
              <w:pStyle w:val="2021"/>
              <w:spacing w:before="0" w:after="60"/>
              <w:rPr>
                <w:spacing w:val="-10"/>
                <w:rtl/>
              </w:rPr>
            </w:pPr>
            <w:r w:rsidRPr="00E862D6">
              <w:rPr>
                <w:rFonts w:hint="cs"/>
                <w:spacing w:val="-10"/>
                <w:rtl/>
              </w:rPr>
              <w:t xml:space="preserve">13 - 15 </w:t>
            </w:r>
            <w:r w:rsidRPr="00E862D6">
              <w:rPr>
                <w:rFonts w:hint="cs"/>
                <w:spacing w:val="-10"/>
                <w:sz w:val="26"/>
                <w:szCs w:val="26"/>
                <w:rtl/>
              </w:rPr>
              <w:t>נקודות בסיס בלבד</w:t>
            </w:r>
          </w:p>
        </w:tc>
      </w:tr>
      <w:tr w14:paraId="6DFAF81C" w14:textId="77777777" w:rsidTr="00E862D6">
        <w:tblPrEx>
          <w:tblW w:w="7510" w:type="dxa"/>
          <w:tblLayout w:type="fixed"/>
          <w:tblLook w:val="04A0"/>
        </w:tblPrEx>
        <w:tc>
          <w:tcPr>
            <w:tcW w:w="2176" w:type="dxa"/>
            <w:tcBorders>
              <w:top w:val="single" w:sz="12" w:space="0" w:color="000000" w:themeColor="text1"/>
            </w:tcBorders>
          </w:tcPr>
          <w:p w:rsidR="00E862D6" w:rsidRPr="00E52143" w:rsidP="00E862D6" w14:paraId="1D96599A" w14:textId="00B033B3">
            <w:pPr>
              <w:pStyle w:val="732021"/>
              <w:spacing w:before="0"/>
              <w:rPr>
                <w:rtl/>
              </w:rPr>
            </w:pPr>
            <w:r w:rsidRPr="00757A56">
              <w:rPr>
                <w:rFonts w:hint="cs"/>
                <w:rtl/>
              </w:rPr>
              <w:t>יתרת החוב של משקי הבית למגזר הפיננסי נכון לסוף שנת 2022 (גידול של כ-49% לעומת שנת 2017)</w:t>
            </w:r>
          </w:p>
        </w:tc>
        <w:tc>
          <w:tcPr>
            <w:tcW w:w="237" w:type="dxa"/>
          </w:tcPr>
          <w:p w:rsidR="00E862D6" w:rsidRPr="00E52143" w:rsidP="00E862D6" w14:paraId="2BF81D8C" w14:textId="77777777">
            <w:pPr>
              <w:pStyle w:val="732021"/>
              <w:spacing w:before="0"/>
              <w:rPr>
                <w:rtl/>
              </w:rPr>
            </w:pPr>
          </w:p>
        </w:tc>
        <w:tc>
          <w:tcPr>
            <w:tcW w:w="1530" w:type="dxa"/>
            <w:tcBorders>
              <w:top w:val="single" w:sz="12" w:space="0" w:color="000000" w:themeColor="text1"/>
            </w:tcBorders>
          </w:tcPr>
          <w:p w:rsidR="00E862D6" w:rsidRPr="00E52143" w:rsidP="00E862D6" w14:paraId="68924AF7" w14:textId="442C5D06">
            <w:pPr>
              <w:pStyle w:val="732021"/>
              <w:spacing w:before="0"/>
              <w:rPr>
                <w:rtl/>
              </w:rPr>
            </w:pPr>
            <w:r w:rsidRPr="00757A56">
              <w:rPr>
                <w:rFonts w:hint="cs"/>
                <w:rtl/>
              </w:rPr>
              <w:t>מיתרות החוב לדיור של משקי הבית למגזר הפיננסי בשנת 2022 הם לתאגידים הבנקאיים</w:t>
            </w:r>
            <w:r>
              <w:rPr>
                <w:rtl/>
              </w:rPr>
              <w:br/>
            </w:r>
            <w:r w:rsidRPr="00757A56">
              <w:rPr>
                <w:rFonts w:hint="cs"/>
                <w:rtl/>
              </w:rPr>
              <w:t>והיתר לגופים מוסדיים</w:t>
            </w:r>
          </w:p>
        </w:tc>
        <w:tc>
          <w:tcPr>
            <w:tcW w:w="237" w:type="dxa"/>
          </w:tcPr>
          <w:p w:rsidR="00E862D6" w:rsidRPr="00E52143" w:rsidP="00E862D6" w14:paraId="4F52CE08" w14:textId="77777777">
            <w:pPr>
              <w:pStyle w:val="732021"/>
              <w:spacing w:before="0"/>
              <w:rPr>
                <w:rtl/>
              </w:rPr>
            </w:pPr>
          </w:p>
        </w:tc>
        <w:tc>
          <w:tcPr>
            <w:tcW w:w="1531" w:type="dxa"/>
            <w:tcBorders>
              <w:top w:val="single" w:sz="12" w:space="0" w:color="000000" w:themeColor="text1"/>
            </w:tcBorders>
          </w:tcPr>
          <w:p w:rsidR="00E862D6" w:rsidRPr="00757A56" w:rsidP="00E862D6" w14:paraId="5CF41FDD" w14:textId="77777777">
            <w:pPr>
              <w:pStyle w:val="732021"/>
              <w:spacing w:before="0"/>
              <w:rPr>
                <w:rtl/>
              </w:rPr>
            </w:pPr>
            <w:r w:rsidRPr="00757A56">
              <w:rPr>
                <w:rFonts w:hint="eastAsia"/>
                <w:rtl/>
              </w:rPr>
              <w:t>שיעור</w:t>
            </w:r>
            <w:r w:rsidRPr="00757A56">
              <w:rPr>
                <w:rtl/>
              </w:rPr>
              <w:t xml:space="preserve"> </w:t>
            </w:r>
            <w:r w:rsidRPr="00757A56">
              <w:rPr>
                <w:rFonts w:hint="eastAsia"/>
                <w:rtl/>
              </w:rPr>
              <w:t>נ</w:t>
            </w:r>
            <w:r w:rsidRPr="00757A56">
              <w:rPr>
                <w:rFonts w:hint="cs"/>
                <w:rtl/>
              </w:rPr>
              <w:t>ו</w:t>
            </w:r>
            <w:r w:rsidRPr="00757A56">
              <w:rPr>
                <w:rFonts w:hint="eastAsia"/>
                <w:rtl/>
              </w:rPr>
              <w:t>טלי</w:t>
            </w:r>
            <w:r w:rsidRPr="00757A56">
              <w:rPr>
                <w:rtl/>
              </w:rPr>
              <w:t xml:space="preserve"> </w:t>
            </w:r>
            <w:r w:rsidRPr="00757A56">
              <w:rPr>
                <w:rFonts w:hint="eastAsia"/>
                <w:rtl/>
              </w:rPr>
              <w:t>האשראי</w:t>
            </w:r>
            <w:r w:rsidRPr="00757A56">
              <w:rPr>
                <w:rFonts w:hint="cs"/>
                <w:rtl/>
              </w:rPr>
              <w:t xml:space="preserve"> בשנת 2020</w:t>
            </w:r>
            <w:r w:rsidRPr="00757A56">
              <w:rPr>
                <w:rtl/>
              </w:rPr>
              <w:t xml:space="preserve"> שלקחו הלוואה צרכנית מנותן אשראי שאין הם מנהלים אצלו את חשבון העובר ושב</w:t>
            </w:r>
          </w:p>
          <w:p w:rsidR="00E862D6" w:rsidRPr="00E52143" w:rsidP="00E862D6" w14:paraId="203F9568" w14:textId="1AAC3EDB">
            <w:pPr>
              <w:pStyle w:val="732021"/>
              <w:spacing w:before="0"/>
              <w:rPr>
                <w:rtl/>
              </w:rPr>
            </w:pPr>
          </w:p>
        </w:tc>
        <w:tc>
          <w:tcPr>
            <w:tcW w:w="268" w:type="dxa"/>
          </w:tcPr>
          <w:p w:rsidR="00E862D6" w:rsidRPr="00E52143" w:rsidP="00E862D6" w14:paraId="42538096" w14:textId="77777777">
            <w:pPr>
              <w:pStyle w:val="732021"/>
              <w:spacing w:before="0"/>
              <w:rPr>
                <w:rtl/>
              </w:rPr>
            </w:pPr>
          </w:p>
        </w:tc>
        <w:tc>
          <w:tcPr>
            <w:tcW w:w="1531" w:type="dxa"/>
            <w:tcBorders>
              <w:top w:val="single" w:sz="12" w:space="0" w:color="000000" w:themeColor="text1"/>
            </w:tcBorders>
          </w:tcPr>
          <w:p w:rsidR="00E862D6" w:rsidRPr="00E52143" w:rsidP="00E862D6" w14:paraId="1878D11D" w14:textId="7EB883EC">
            <w:pPr>
              <w:pStyle w:val="732021"/>
              <w:spacing w:before="0"/>
              <w:rPr>
                <w:rtl/>
              </w:rPr>
            </w:pPr>
            <w:r w:rsidRPr="00757A56">
              <w:rPr>
                <w:rFonts w:hint="cs"/>
                <w:rtl/>
              </w:rPr>
              <w:t xml:space="preserve">היקף </w:t>
            </w:r>
            <w:r w:rsidRPr="00757A56">
              <w:rPr>
                <w:rFonts w:hint="eastAsia"/>
                <w:rtl/>
              </w:rPr>
              <w:t>הקיטון</w:t>
            </w:r>
            <w:r w:rsidRPr="00757A56">
              <w:rPr>
                <w:rFonts w:hint="cs"/>
                <w:rtl/>
              </w:rPr>
              <w:t xml:space="preserve"> ב"פרמיית הלקוח השבוי"</w:t>
            </w:r>
            <w:r>
              <w:rPr>
                <w:vertAlign w:val="superscript"/>
                <w:rtl/>
              </w:rPr>
              <w:footnoteReference w:id="2"/>
            </w:r>
            <w:r w:rsidRPr="00757A56">
              <w:rPr>
                <w:rFonts w:hint="cs"/>
                <w:rtl/>
              </w:rPr>
              <w:t xml:space="preserve"> בעקבות הקמת המאגר</w:t>
            </w:r>
          </w:p>
        </w:tc>
      </w:tr>
      <w:tr w14:paraId="1BD5A20C" w14:textId="77777777" w:rsidTr="00E862D6">
        <w:tblPrEx>
          <w:tblW w:w="7510" w:type="dxa"/>
          <w:tblLayout w:type="fixed"/>
          <w:tblLook w:val="04A0"/>
        </w:tblPrEx>
        <w:tc>
          <w:tcPr>
            <w:tcW w:w="2176" w:type="dxa"/>
            <w:tcBorders>
              <w:bottom w:val="single" w:sz="12" w:space="0" w:color="000000" w:themeColor="text1"/>
            </w:tcBorders>
            <w:vAlign w:val="bottom"/>
          </w:tcPr>
          <w:p w:rsidR="00E862D6" w:rsidRPr="00E862D6" w:rsidP="00E862D6" w14:paraId="500D3B50" w14:textId="59AE0094">
            <w:pPr>
              <w:spacing w:line="240" w:lineRule="auto"/>
              <w:jc w:val="left"/>
              <w:rPr>
                <w:rFonts w:ascii="Tahoma" w:hAnsi="Tahoma" w:eastAsiaTheme="minorEastAsia" w:cs="Tahoma"/>
                <w:b/>
                <w:bCs/>
                <w:color w:val="0D0D0D" w:themeColor="text1" w:themeTint="F2"/>
                <w:spacing w:val="-10"/>
                <w:sz w:val="36"/>
                <w:szCs w:val="36"/>
                <w:rtl/>
              </w:rPr>
            </w:pPr>
            <w:r w:rsidRPr="00E862D6">
              <w:rPr>
                <w:rFonts w:ascii="Tahoma" w:hAnsi="Tahoma" w:eastAsiaTheme="minorEastAsia" w:cs="Tahoma" w:hint="cs"/>
                <w:b/>
                <w:bCs/>
                <w:color w:val="0D0D0D" w:themeColor="text1" w:themeTint="F2"/>
                <w:spacing w:val="-10"/>
                <w:sz w:val="36"/>
                <w:szCs w:val="36"/>
                <w:rtl/>
              </w:rPr>
              <w:t>12,352,776</w:t>
            </w:r>
          </w:p>
        </w:tc>
        <w:tc>
          <w:tcPr>
            <w:tcW w:w="237" w:type="dxa"/>
            <w:vAlign w:val="bottom"/>
          </w:tcPr>
          <w:p w:rsidR="00E862D6" w:rsidRPr="00E862D6" w:rsidP="00E862D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530" w:type="dxa"/>
            <w:tcBorders>
              <w:bottom w:val="single" w:sz="12" w:space="0" w:color="000000" w:themeColor="text1"/>
            </w:tcBorders>
            <w:vAlign w:val="bottom"/>
          </w:tcPr>
          <w:p w:rsidR="00E862D6" w:rsidRPr="00E862D6" w:rsidP="00E862D6" w14:paraId="48896DF7" w14:textId="087D22E2">
            <w:pPr>
              <w:pStyle w:val="2021"/>
              <w:spacing w:before="0" w:after="60"/>
              <w:rPr>
                <w:spacing w:val="-10"/>
                <w:rtl/>
              </w:rPr>
            </w:pPr>
            <w:r w:rsidRPr="00E862D6">
              <w:rPr>
                <w:rFonts w:hint="cs"/>
                <w:spacing w:val="-10"/>
                <w:rtl/>
              </w:rPr>
              <w:t>36%</w:t>
            </w:r>
            <w:r w:rsidRPr="00E862D6">
              <w:rPr>
                <w:spacing w:val="-10"/>
                <w:rtl/>
              </w:rPr>
              <w:t xml:space="preserve"> </w:t>
            </w:r>
          </w:p>
        </w:tc>
        <w:tc>
          <w:tcPr>
            <w:tcW w:w="237" w:type="dxa"/>
            <w:vAlign w:val="bottom"/>
          </w:tcPr>
          <w:p w:rsidR="00E862D6" w:rsidRPr="00E862D6" w:rsidP="00E862D6" w14:paraId="5B4C8A80" w14:textId="77777777">
            <w:pPr>
              <w:spacing w:after="120" w:line="240" w:lineRule="auto"/>
              <w:jc w:val="left"/>
              <w:rPr>
                <w:b/>
                <w:bCs/>
                <w:rtl/>
              </w:rPr>
            </w:pPr>
          </w:p>
        </w:tc>
        <w:tc>
          <w:tcPr>
            <w:tcW w:w="1531" w:type="dxa"/>
            <w:tcBorders>
              <w:bottom w:val="single" w:sz="12" w:space="0" w:color="000000" w:themeColor="text1"/>
            </w:tcBorders>
            <w:vAlign w:val="bottom"/>
          </w:tcPr>
          <w:p w:rsidR="00E862D6" w:rsidRPr="00E862D6" w:rsidP="00E862D6" w14:paraId="226A2E50" w14:textId="4E2FA6F9">
            <w:pPr>
              <w:spacing w:after="60" w:line="192" w:lineRule="auto"/>
              <w:jc w:val="left"/>
              <w:rPr>
                <w:rFonts w:ascii="Tahoma" w:hAnsi="Tahoma" w:eastAsiaTheme="minorEastAsia" w:cs="Tahoma"/>
                <w:b/>
                <w:bCs/>
                <w:color w:val="0D0D0D" w:themeColor="text1" w:themeTint="F2"/>
                <w:spacing w:val="-10"/>
                <w:sz w:val="36"/>
                <w:szCs w:val="36"/>
                <w:rtl/>
              </w:rPr>
            </w:pPr>
            <w:r w:rsidRPr="00E862D6">
              <w:rPr>
                <w:rFonts w:ascii="Tahoma" w:hAnsi="Tahoma" w:eastAsiaTheme="minorEastAsia" w:cs="Tahoma" w:hint="cs"/>
                <w:b/>
                <w:bCs/>
                <w:color w:val="0D0D0D" w:themeColor="text1" w:themeTint="F2"/>
                <w:spacing w:val="-10"/>
                <w:sz w:val="36"/>
                <w:szCs w:val="36"/>
                <w:rtl/>
              </w:rPr>
              <w:t xml:space="preserve">163 </w:t>
            </w:r>
            <w:r w:rsidRPr="00E862D6">
              <w:rPr>
                <w:rFonts w:ascii="Tahoma" w:hAnsi="Tahoma" w:eastAsiaTheme="minorEastAsia" w:cs="Tahoma" w:hint="cs"/>
                <w:b/>
                <w:bCs/>
                <w:color w:val="0D0D0D" w:themeColor="text1" w:themeTint="F2"/>
                <w:spacing w:val="-10"/>
                <w:sz w:val="26"/>
                <w:szCs w:val="26"/>
                <w:rtl/>
              </w:rPr>
              <w:t>מיליון ש"ח</w:t>
            </w:r>
            <w:r w:rsidRPr="00E862D6">
              <w:rPr>
                <w:rFonts w:ascii="Tahoma" w:hAnsi="Tahoma" w:eastAsiaTheme="minorEastAsia" w:cs="Tahoma" w:hint="cs"/>
                <w:b/>
                <w:bCs/>
                <w:color w:val="0D0D0D" w:themeColor="text1" w:themeTint="F2"/>
                <w:spacing w:val="-10"/>
                <w:sz w:val="36"/>
                <w:szCs w:val="36"/>
                <w:rtl/>
              </w:rPr>
              <w:t xml:space="preserve"> </w:t>
            </w:r>
          </w:p>
        </w:tc>
        <w:tc>
          <w:tcPr>
            <w:tcW w:w="268" w:type="dxa"/>
            <w:vAlign w:val="bottom"/>
          </w:tcPr>
          <w:p w:rsidR="00E862D6" w:rsidRPr="00E862D6" w:rsidP="00E862D6"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531" w:type="dxa"/>
            <w:tcBorders>
              <w:bottom w:val="single" w:sz="12" w:space="0" w:color="000000" w:themeColor="text1"/>
            </w:tcBorders>
            <w:vAlign w:val="bottom"/>
          </w:tcPr>
          <w:p w:rsidR="00E862D6" w:rsidRPr="00E862D6" w:rsidP="00E862D6" w14:paraId="5AEEF263" w14:textId="59F7C81B">
            <w:pPr>
              <w:spacing w:after="60" w:line="240" w:lineRule="auto"/>
              <w:jc w:val="left"/>
              <w:rPr>
                <w:rFonts w:ascii="Tahoma" w:hAnsi="Tahoma" w:eastAsiaTheme="minorEastAsia" w:cs="Tahoma"/>
                <w:b/>
                <w:bCs/>
                <w:color w:val="0D0D0D" w:themeColor="text1" w:themeTint="F2"/>
                <w:spacing w:val="-10"/>
                <w:sz w:val="36"/>
                <w:szCs w:val="36"/>
                <w:rtl/>
              </w:rPr>
            </w:pPr>
            <w:r w:rsidRPr="00E862D6">
              <w:rPr>
                <w:rFonts w:ascii="Tahoma" w:hAnsi="Tahoma" w:eastAsiaTheme="minorEastAsia" w:cs="Tahoma" w:hint="cs"/>
                <w:b/>
                <w:bCs/>
                <w:color w:val="0D0D0D" w:themeColor="text1" w:themeTint="F2"/>
                <w:spacing w:val="-10"/>
                <w:sz w:val="36"/>
                <w:szCs w:val="36"/>
                <w:rtl/>
              </w:rPr>
              <w:t xml:space="preserve"> 30 </w:t>
            </w:r>
            <w:r w:rsidRPr="00E862D6">
              <w:rPr>
                <w:rFonts w:ascii="Tahoma" w:hAnsi="Tahoma" w:eastAsiaTheme="minorEastAsia" w:cs="Tahoma" w:hint="eastAsia"/>
                <w:b/>
                <w:bCs/>
                <w:color w:val="0D0D0D" w:themeColor="text1" w:themeTint="F2"/>
                <w:spacing w:val="-10"/>
                <w:sz w:val="26"/>
                <w:szCs w:val="26"/>
                <w:rtl/>
              </w:rPr>
              <w:t>מיליון</w:t>
            </w:r>
            <w:r w:rsidRPr="00E862D6">
              <w:rPr>
                <w:rFonts w:ascii="Tahoma" w:hAnsi="Tahoma" w:eastAsiaTheme="minorEastAsia" w:cs="Tahoma"/>
                <w:b/>
                <w:bCs/>
                <w:color w:val="0D0D0D" w:themeColor="text1" w:themeTint="F2"/>
                <w:spacing w:val="-10"/>
                <w:sz w:val="26"/>
                <w:szCs w:val="26"/>
                <w:rtl/>
              </w:rPr>
              <w:t xml:space="preserve"> </w:t>
            </w:r>
            <w:r w:rsidRPr="00E862D6">
              <w:rPr>
                <w:rFonts w:ascii="Tahoma" w:hAnsi="Tahoma" w:eastAsiaTheme="minorEastAsia" w:cs="Tahoma" w:hint="eastAsia"/>
                <w:b/>
                <w:bCs/>
                <w:color w:val="0D0D0D" w:themeColor="text1" w:themeTint="F2"/>
                <w:spacing w:val="-10"/>
                <w:sz w:val="26"/>
                <w:szCs w:val="26"/>
                <w:rtl/>
              </w:rPr>
              <w:t>ש</w:t>
            </w:r>
            <w:r w:rsidRPr="00E862D6">
              <w:rPr>
                <w:rFonts w:ascii="Tahoma" w:hAnsi="Tahoma" w:eastAsiaTheme="minorEastAsia" w:cs="Tahoma"/>
                <w:b/>
                <w:bCs/>
                <w:color w:val="0D0D0D" w:themeColor="text1" w:themeTint="F2"/>
                <w:spacing w:val="-10"/>
                <w:sz w:val="26"/>
                <w:szCs w:val="26"/>
                <w:rtl/>
              </w:rPr>
              <w:t>"ח</w:t>
            </w:r>
          </w:p>
        </w:tc>
      </w:tr>
      <w:tr w14:paraId="54154FA5" w14:textId="77777777" w:rsidTr="00E862D6">
        <w:tblPrEx>
          <w:tblW w:w="7510" w:type="dxa"/>
          <w:tblLayout w:type="fixed"/>
          <w:tblLook w:val="04A0"/>
        </w:tblPrEx>
        <w:tc>
          <w:tcPr>
            <w:tcW w:w="2176" w:type="dxa"/>
            <w:tcBorders>
              <w:top w:val="single" w:sz="12" w:space="0" w:color="000000" w:themeColor="text1"/>
            </w:tcBorders>
          </w:tcPr>
          <w:p w:rsidR="00E862D6" w:rsidRPr="00757A56" w:rsidP="00E862D6" w14:paraId="53892CF2" w14:textId="77777777">
            <w:pPr>
              <w:pStyle w:val="732021"/>
              <w:spacing w:before="0"/>
              <w:rPr>
                <w:rtl/>
              </w:rPr>
            </w:pPr>
            <w:r w:rsidRPr="00757A56">
              <w:rPr>
                <w:rFonts w:hint="cs"/>
                <w:rtl/>
              </w:rPr>
              <w:t xml:space="preserve">מספר הפניות </w:t>
            </w:r>
            <w:r w:rsidRPr="00757A56">
              <w:rPr>
                <w:rFonts w:hint="eastAsia"/>
                <w:b/>
                <w:bCs/>
                <w:rtl/>
              </w:rPr>
              <w:t>של</w:t>
            </w:r>
            <w:r w:rsidRPr="00757A56">
              <w:rPr>
                <w:b/>
                <w:bCs/>
                <w:rtl/>
              </w:rPr>
              <w:t xml:space="preserve"> </w:t>
            </w:r>
            <w:r w:rsidRPr="00757A56">
              <w:rPr>
                <w:rFonts w:hint="eastAsia"/>
                <w:b/>
                <w:bCs/>
                <w:rtl/>
              </w:rPr>
              <w:t>לשכות</w:t>
            </w:r>
            <w:r w:rsidRPr="00757A56">
              <w:rPr>
                <w:b/>
                <w:bCs/>
                <w:rtl/>
              </w:rPr>
              <w:t xml:space="preserve"> </w:t>
            </w:r>
            <w:r w:rsidRPr="00757A56">
              <w:rPr>
                <w:rFonts w:hint="eastAsia"/>
                <w:b/>
                <w:bCs/>
                <w:rtl/>
              </w:rPr>
              <w:t>האשראי</w:t>
            </w:r>
            <w:r w:rsidRPr="00757A56">
              <w:rPr>
                <w:rFonts w:hint="cs"/>
                <w:rtl/>
              </w:rPr>
              <w:t xml:space="preserve"> למאגר נתוני אשראי לשם קבלת מידע בשנת 2022 (עלייה של כ-210% לעומת שנת 2019)</w:t>
            </w:r>
          </w:p>
          <w:p w:rsidR="00E862D6" w:rsidRPr="004562F8" w:rsidP="00E862D6" w14:paraId="6DB67748" w14:textId="4BD55E22">
            <w:pPr>
              <w:pStyle w:val="732021"/>
              <w:spacing w:before="0" w:after="0"/>
              <w:rPr>
                <w:rtl/>
              </w:rPr>
            </w:pPr>
          </w:p>
        </w:tc>
        <w:tc>
          <w:tcPr>
            <w:tcW w:w="237" w:type="dxa"/>
          </w:tcPr>
          <w:p w:rsidR="00E862D6" w:rsidRPr="008D750B" w:rsidP="00E862D6" w14:paraId="0C0AE598" w14:textId="77777777">
            <w:pPr>
              <w:pStyle w:val="732021"/>
              <w:spacing w:before="0" w:after="0"/>
              <w:rPr>
                <w:rtl/>
              </w:rPr>
            </w:pPr>
          </w:p>
        </w:tc>
        <w:tc>
          <w:tcPr>
            <w:tcW w:w="1530" w:type="dxa"/>
            <w:tcBorders>
              <w:top w:val="single" w:sz="12" w:space="0" w:color="000000" w:themeColor="text1"/>
            </w:tcBorders>
          </w:tcPr>
          <w:p w:rsidR="00E862D6" w:rsidRPr="004562F8" w:rsidP="00E862D6" w14:paraId="1916A301" w14:textId="0708F22C">
            <w:pPr>
              <w:pStyle w:val="732021"/>
              <w:spacing w:before="0" w:after="0"/>
              <w:rPr>
                <w:rtl/>
              </w:rPr>
            </w:pPr>
            <w:r w:rsidRPr="00757A56">
              <w:rPr>
                <w:rFonts w:hint="cs"/>
                <w:rtl/>
              </w:rPr>
              <w:t xml:space="preserve">שיעור הפניות </w:t>
            </w:r>
            <w:r w:rsidRPr="00757A56">
              <w:rPr>
                <w:rFonts w:hint="eastAsia"/>
                <w:b/>
                <w:bCs/>
                <w:rtl/>
              </w:rPr>
              <w:t>של</w:t>
            </w:r>
            <w:r w:rsidRPr="00757A56">
              <w:rPr>
                <w:b/>
                <w:bCs/>
                <w:rtl/>
              </w:rPr>
              <w:t xml:space="preserve"> </w:t>
            </w:r>
            <w:r w:rsidRPr="00757A56">
              <w:rPr>
                <w:rFonts w:hint="eastAsia"/>
                <w:b/>
                <w:bCs/>
                <w:rtl/>
              </w:rPr>
              <w:t>הציבור</w:t>
            </w:r>
            <w:r w:rsidRPr="00757A56">
              <w:rPr>
                <w:rFonts w:hint="cs"/>
                <w:rtl/>
              </w:rPr>
              <w:t xml:space="preserve"> בערוצים החינמיים למאגר נתוני אשראי </w:t>
            </w:r>
            <w:r w:rsidR="00E45648">
              <w:rPr>
                <w:rtl/>
              </w:rPr>
              <w:br/>
            </w:r>
            <w:r w:rsidRPr="00757A56">
              <w:rPr>
                <w:rFonts w:hint="cs"/>
                <w:rtl/>
              </w:rPr>
              <w:t xml:space="preserve">(כ-387,000 מתוך כ-1.09 מיליון פניות). יתר הפניות </w:t>
            </w:r>
            <w:r w:rsidR="00E45648">
              <w:rPr>
                <w:rtl/>
              </w:rPr>
              <w:br/>
            </w:r>
            <w:r w:rsidRPr="00757A56">
              <w:rPr>
                <w:rFonts w:hint="cs"/>
                <w:rtl/>
              </w:rPr>
              <w:t xml:space="preserve">(כ-700,000) בוצעו בערוצים שהם בתשלום </w:t>
            </w:r>
          </w:p>
        </w:tc>
        <w:tc>
          <w:tcPr>
            <w:tcW w:w="237" w:type="dxa"/>
          </w:tcPr>
          <w:p w:rsidR="00E862D6" w:rsidP="00E862D6" w14:paraId="14782C57" w14:textId="77777777">
            <w:pPr>
              <w:pStyle w:val="732021"/>
              <w:spacing w:before="0" w:after="0"/>
              <w:rPr>
                <w:rtl/>
              </w:rPr>
            </w:pPr>
          </w:p>
        </w:tc>
        <w:tc>
          <w:tcPr>
            <w:tcW w:w="1531" w:type="dxa"/>
            <w:tcBorders>
              <w:top w:val="single" w:sz="12" w:space="0" w:color="000000" w:themeColor="text1"/>
            </w:tcBorders>
          </w:tcPr>
          <w:p w:rsidR="00E862D6" w:rsidRPr="00757A56" w:rsidP="00E862D6" w14:paraId="5EA5CEFD" w14:textId="77777777">
            <w:pPr>
              <w:pStyle w:val="732021"/>
              <w:spacing w:before="0"/>
              <w:rPr>
                <w:rtl/>
              </w:rPr>
            </w:pPr>
            <w:r w:rsidRPr="00757A56">
              <w:rPr>
                <w:rFonts w:hint="cs"/>
                <w:rtl/>
              </w:rPr>
              <w:t>היקף החריגה בעלות הישירה להקמת מאגר נתוני אשראי על ידי בנק ישראל (כ-255 מיליון ש"ח לעומת כ-92 מיליון ש"ח, אומדן העלות הראשוני)</w:t>
            </w:r>
          </w:p>
          <w:p w:rsidR="00E862D6" w:rsidRPr="0062456C" w:rsidP="00E862D6" w14:paraId="6149CA50" w14:textId="60B6C4B9">
            <w:pPr>
              <w:pStyle w:val="732021"/>
              <w:spacing w:before="0" w:after="0"/>
              <w:rPr>
                <w:rtl/>
              </w:rPr>
            </w:pPr>
          </w:p>
        </w:tc>
        <w:tc>
          <w:tcPr>
            <w:tcW w:w="268" w:type="dxa"/>
          </w:tcPr>
          <w:p w:rsidR="00E862D6" w:rsidRPr="00C92141" w:rsidP="00E862D6" w14:paraId="66E34E8E" w14:textId="77777777">
            <w:pPr>
              <w:pStyle w:val="732021"/>
              <w:spacing w:before="0" w:after="0"/>
              <w:rPr>
                <w:rtl/>
              </w:rPr>
            </w:pPr>
          </w:p>
        </w:tc>
        <w:tc>
          <w:tcPr>
            <w:tcW w:w="1531" w:type="dxa"/>
            <w:tcBorders>
              <w:top w:val="single" w:sz="12" w:space="0" w:color="000000" w:themeColor="text1"/>
            </w:tcBorders>
          </w:tcPr>
          <w:p w:rsidR="00E862D6" w:rsidRPr="00757A56" w:rsidP="00E862D6" w14:paraId="710D89B4" w14:textId="77777777">
            <w:pPr>
              <w:pStyle w:val="732021"/>
              <w:spacing w:before="0"/>
              <w:rPr>
                <w:rtl/>
              </w:rPr>
            </w:pPr>
            <w:r w:rsidRPr="00757A56">
              <w:rPr>
                <w:rFonts w:hint="cs"/>
                <w:rtl/>
              </w:rPr>
              <w:t>היקף החריגה בעלות התפעול השוטף של השנה הראשונה של מאגר נתוני אשראי (כ-60 מיליון ש"ח לעומת כ-30 מיליון ש"ח, אומדן העלות הראשוני)</w:t>
            </w:r>
          </w:p>
          <w:p w:rsidR="00E862D6" w:rsidRPr="00C92141" w:rsidP="00E862D6" w14:paraId="39498237" w14:textId="1A029B53">
            <w:pPr>
              <w:pStyle w:val="732021"/>
              <w:spacing w:before="0" w:after="0"/>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RPr="00816BDF" w:rsidP="00EB672B" w14:paraId="21608E70" w14:textId="47614418">
      <w:pPr>
        <w:pStyle w:val="7317"/>
        <w:rPr>
          <w:rtl/>
        </w:rPr>
      </w:pPr>
      <w:r w:rsidRPr="00816BDF">
        <w:rPr>
          <w:noProof/>
        </w:rPr>
        <w:drawing>
          <wp:anchor distT="0" distB="0" distL="71755" distR="71755" simplePos="0" relativeHeight="25168281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7A56" w:rsidR="00816BDF">
        <w:rPr>
          <w:noProof/>
          <w:rtl/>
        </w:rPr>
        <w:t>בחודשים יולי 2022 עד מרץ 2023 בדק משרד מבקר המדינה היבטים שונים הנוגעים להקמה ולתפעול של מאגר נתוני אשראי, ובהם בחינה של יישום הוראות החוק, בחינה של העמידה במטרות החוק ובחינת הממשקים השונים בין לשכות האשראי לבין מקורות המידע. כן נבדקו עלויות של ההקמה והתפעול של המאגר, מבנהו המינהלתי וטיפולו בתלונות הציבור. הבדיקה התמקדה באגף הממונה על השיתוף בנתוני אשראי בבנק ישראל</w:t>
      </w:r>
      <w:r w:rsidRPr="00816BDF">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4F033FFE">
      <w:pPr>
        <w:pStyle w:val="7317"/>
        <w:rPr>
          <w:rtl/>
        </w:rPr>
      </w:pPr>
      <w:r w:rsidRPr="007040FD">
        <w:rPr>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sidR="007040FD">
        <w:rPr>
          <w:rFonts w:hint="cs"/>
          <w:bCs/>
          <w:rtl/>
        </w:rPr>
        <w:t xml:space="preserve">הגברת התחרות בשוק האשראי </w:t>
      </w:r>
      <w:r w:rsidRPr="007040FD" w:rsidR="007040FD">
        <w:rPr>
          <w:rFonts w:hint="eastAsia"/>
          <w:bCs/>
          <w:rtl/>
        </w:rPr>
        <w:t>הקמעונאי</w:t>
      </w:r>
      <w:r w:rsidRPr="007040FD" w:rsidR="007040FD">
        <w:rPr>
          <w:bCs/>
          <w:rtl/>
        </w:rPr>
        <w:t xml:space="preserve"> </w:t>
      </w:r>
      <w:r w:rsidRPr="007040FD" w:rsidR="007040FD">
        <w:rPr>
          <w:rFonts w:hint="cs"/>
          <w:bCs/>
          <w:rtl/>
        </w:rPr>
        <w:t xml:space="preserve">- </w:t>
      </w:r>
      <w:r w:rsidRPr="00757A56" w:rsidR="007040FD">
        <w:rPr>
          <w:rFonts w:hint="cs"/>
          <w:rtl/>
        </w:rPr>
        <w:t>מאגר נתוני אשראי מהווה תשתית הכרחית לפיתוח תחרות בשוק האשראי, ופעילותו הכרחית לקיום ולפיתוח של נותני אשראי חוץ בנקאיים, ולהשתלבות של גופים פיננסיים טכנולוגים בפעילויות האשראי. על אף השימוש הגובר של הציבור ושל נותני האשראי במאגר ה</w:t>
      </w:r>
      <w:r w:rsidRPr="00757A56" w:rsidR="007040FD">
        <w:rPr>
          <w:rtl/>
        </w:rPr>
        <w:t>בחינות שביצע בנק ישראל הראו כי לא חל שינוי מהותי בניידות הסל הבנקאי (שינוי של כ-2% בשיעור הלווים שפתחו חשבון עובר ושב בבנק חדש לאחר הקמת המאגר ביחס לשיעור לווים אלה ברבעון הראשון של שנת 2018) או בפריקות הסל הבנקאי</w:t>
      </w:r>
      <w:r>
        <w:rPr>
          <w:vertAlign w:val="superscript"/>
          <w:rtl/>
        </w:rPr>
        <w:footnoteReference w:id="3"/>
      </w:r>
      <w:r w:rsidRPr="00757A56" w:rsidR="007040FD">
        <w:rPr>
          <w:rtl/>
        </w:rPr>
        <w:t xml:space="preserve"> (שיעור נוטלי האשראי שלקחו הלוואה צרכנית מנותן אשראי שאין הם מנהלים אצלו את חשבון העובר ושב (בניכוי ספקי האשראי החוץ-בנקאיים) עמד על כ-17% ונותר ללא שינוי מהותי עד סוף דצמבר 2020). </w:t>
      </w:r>
      <w:r w:rsidRPr="00757A56" w:rsidR="007040FD">
        <w:rPr>
          <w:rFonts w:hint="cs"/>
          <w:rtl/>
        </w:rPr>
        <w:t xml:space="preserve">יחד עם זאת, </w:t>
      </w:r>
      <w:r w:rsidRPr="00757A56" w:rsidR="007040FD">
        <w:rPr>
          <w:rtl/>
        </w:rPr>
        <w:t xml:space="preserve">לפי בנק ישראל, </w:t>
      </w:r>
      <w:r w:rsidRPr="00757A56" w:rsidR="007040FD">
        <w:rPr>
          <w:rFonts w:hint="cs"/>
          <w:rtl/>
        </w:rPr>
        <w:t xml:space="preserve">הנתונים מצביעים על קשר סיבתי בין המאגר ושיפור התחרות, אך אין בהם כדי לכמת את מלוא ההשפעה של המאגר על התחרות וכי </w:t>
      </w:r>
      <w:r w:rsidRPr="00757A56" w:rsidR="007040FD">
        <w:rPr>
          <w:rtl/>
        </w:rPr>
        <w:t>עצם האפשרות לניוד יצרה שינוי בתחרות באמצעות הקטנת פרמיית הלקוח השבוי, אך גם שינוי זה לא השפיע במידה רבה על השוק בכללותו, שכן לאחר הקמת המאגר הצטמצמה פרמיית הלקוח השבוי בכ-10 עד 13 נקודות בסיס בלבד (בכ-13 עד 15 נקודות בסיס לפי עדכון המחקר במרץ 2023</w:t>
      </w:r>
      <w:r w:rsidRPr="00E45648" w:rsidR="00E45648">
        <w:rPr>
          <w:sz w:val="2"/>
          <w:szCs w:val="2"/>
        </w:rPr>
        <w:t xml:space="preserve"> </w:t>
      </w:r>
      <w:r w:rsidR="00E45648">
        <w:t>(</w:t>
      </w:r>
      <w:r w:rsidR="00E45648">
        <w:rPr>
          <w:rFonts w:hint="cs"/>
          <w:rtl/>
        </w:rPr>
        <w:t>.</w:t>
      </w:r>
    </w:p>
    <w:p w:rsidR="00EB672B" w:rsidRPr="00AF3B73" w:rsidP="00EB672B" w14:paraId="61697365" w14:textId="02BF513C">
      <w:pPr>
        <w:pStyle w:val="7317"/>
      </w:pPr>
      <w:r w:rsidRPr="007040FD">
        <w:rPr>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sidR="007040FD">
        <w:rPr>
          <w:rFonts w:hint="cs"/>
          <w:bCs/>
          <w:rtl/>
        </w:rPr>
        <w:t>צמצום ההפליה במתן אשראי והפערים הכלכליים -</w:t>
      </w:r>
      <w:r w:rsidRPr="00757A56" w:rsidR="007040FD">
        <w:rPr>
          <w:rFonts w:hint="cs"/>
          <w:rtl/>
        </w:rPr>
        <w:t xml:space="preserve"> עלה כי בנק ישראל הציג בדיווח השנתי של הנגיד לוועדת הכלכלה של הכנסת עבור שנת 2020 </w:t>
      </w:r>
      <w:r w:rsidRPr="00757A56" w:rsidR="007040FD">
        <w:rPr>
          <w:rtl/>
        </w:rPr>
        <w:t>כי ייתכן שהמאגר היטיב עם יישובים שדירוגם בינוני ובינוני-נמוך אך לא היטיב באופן מובהק עם תושבי היישובים שדירוגם הנמוך</w:t>
      </w:r>
      <w:r w:rsidRPr="00757A56" w:rsidR="007040FD">
        <w:rPr>
          <w:rFonts w:hint="cs"/>
          <w:rtl/>
        </w:rPr>
        <w:t xml:space="preserve"> (בעדכון המחקר במרץ 2023 הציג בנק ישראל כי יישובים בדירוג הנמוך ביותר שילמו את הפרמיה העודפת הגבוהה ביותר, וכי לאחר הקמת המאגר, פרמיית הלקוח השבוי הצטמצמה באופן מובהק גם ביישובים המדורגים בדירוג הנמוך ביותר, אך עדיין נותרה הפרמיה העודפת הגבוהה ביותר מבין קבוצות הדירוג)</w:t>
      </w:r>
      <w:r w:rsidRPr="00757A56" w:rsidR="007040FD">
        <w:rPr>
          <w:rtl/>
        </w:rPr>
        <w:t xml:space="preserve">. עוד עולה מהצגת בנק ישראל </w:t>
      </w:r>
      <w:r w:rsidRPr="00757A56" w:rsidR="007040FD">
        <w:rPr>
          <w:rtl/>
        </w:rPr>
        <w:t xml:space="preserve">כי </w:t>
      </w:r>
      <w:r w:rsidRPr="00757A56" w:rsidR="007040FD">
        <w:rPr>
          <w:rFonts w:hint="cs"/>
          <w:rtl/>
        </w:rPr>
        <w:t xml:space="preserve">נכון לרבעון השלישי של שנת 2021 </w:t>
      </w:r>
      <w:r w:rsidRPr="00757A56" w:rsidR="007040FD">
        <w:rPr>
          <w:rtl/>
        </w:rPr>
        <w:t>שיעור הפרטים שנטלו הלוואה צרכנית ביישובים לא-יהודיים גבוה ביחס ליישובים אחרים (כ-52% ו-57% ביישובים לא-יהודיים בדירוג נמוך ובינוני, בהתאמה, לעומת כ-41% ו-39% ביישובים יהודיים לא-חרדיים, בהתאמה), נתון אשר מחזק את ההשערה שבקרב החברה הערבית נפוץ השימוש בהלוואות צרכניות לצורך מימון רכישת דירה. עוד עולה כי מתוך כלל קבוצות האוכלוסייה, האוכלוסייה החרדית היא בעלת השיעור הגבוה ביותר של נוטלי הלוואה לדיור (כ-43%). מכאן עולה ספק בדבר הצלחתו של המאגר לעמוד במטרה של צמצום ההפליה במתן אשראי בין האוכלוסיות השונות</w:t>
      </w:r>
      <w:r w:rsidRPr="00AF3B73">
        <w:rPr>
          <w:rFonts w:hint="cs"/>
          <w:rtl/>
        </w:rPr>
        <w:t xml:space="preserve">. </w:t>
      </w:r>
    </w:p>
    <w:p w:rsidR="00EB672B" w:rsidRPr="00AF3B73" w:rsidP="00EB672B" w14:paraId="257CE09B" w14:textId="58E514B9">
      <w:pPr>
        <w:pStyle w:val="7317"/>
        <w:rPr>
          <w:rtl/>
        </w:rPr>
      </w:pPr>
      <w:r w:rsidRPr="007040FD">
        <w:rPr>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sidR="007040FD">
        <w:rPr>
          <w:rFonts w:hint="cs"/>
          <w:bCs/>
          <w:rtl/>
        </w:rPr>
        <w:t>חיווי בשאלה האם לתת אשראי ללקוח שמעבירה לשכת אשראי לנותן אשראי לצורך התקשרות בעסקת אשראי</w:t>
      </w:r>
      <w:r w:rsidRPr="007040FD" w:rsidR="007040FD">
        <w:rPr>
          <w:bCs/>
          <w:rtl/>
        </w:rPr>
        <w:t xml:space="preserve"> - </w:t>
      </w:r>
      <w:r w:rsidRPr="00757A56" w:rsidR="007040FD">
        <w:rPr>
          <w:rFonts w:hint="eastAsia"/>
          <w:rtl/>
        </w:rPr>
        <w:t>תקנות</w:t>
      </w:r>
      <w:r w:rsidRPr="00757A56" w:rsidR="007040FD">
        <w:rPr>
          <w:rtl/>
        </w:rPr>
        <w:t xml:space="preserve"> נתוני אשראי פירטו את הנסיבות שיש בהן להעיד באופן מובהק שהלקוח אינו עומד בפירעון תשלומים לעניין חיווי אשראי. בתקנות מצוינות בין היתר נסיבות אלה: קיומו של נתון על בקשה לפתיחת הליכים שהגיש החייב, מתן צו לפתיחת הליכים ובקשה להסדר חוב; קיומו של תיק הוצאה לפועל שסכום החוב בפתיחתו עולה על 5,000 ש"ח; קיומם של נתונים מאת מדור חשבונות מוגבלים בבנק ישראל שלפיהם הלקוח הוא לקוח מוגבל או לקוח מוגבל חמור ועוד. התקנות קובעות רשימה סגורה של נסיבות שיש בהן כדי להעיד באופן מובהק שהלקוח אינו עומד בפירעון תשלומים ואינן מאפשרות לתת תשובה מורכבת יותר על השאלה אם להעניק אשראי ללקוח אם לאו, כלומר תשובה של "כן" או "לא". </w:t>
      </w:r>
      <w:r w:rsidRPr="00757A56" w:rsidR="007040FD">
        <w:rPr>
          <w:rFonts w:hint="eastAsia"/>
          <w:rtl/>
        </w:rPr>
        <w:t>לכן</w:t>
      </w:r>
      <w:r w:rsidRPr="00757A56" w:rsidR="007040FD">
        <w:rPr>
          <w:rtl/>
        </w:rPr>
        <w:t xml:space="preserve"> עלולים להיפגע מכך כל אותם לקוחות המחזיקים במידע שלילי, וזאת אף שייתכן שהם מחזיקים במידע חיובי בעל ערך רב לנותן האשראי, למשל לקוחות אשר קיבלו חיווי שלילי בשל אחת מהנסיבות המצוינות בתקנות, ימשיכו לקבל חיווי שלילי למשך שלוש שנים אף שהם עומדים בהתחייבויותיהם האחרות. יתר על כן, חוק נתוני אשראי ביקש להימנע מרשימה "שחורה" של לקוחות אשר לא יקבלו אשראי, אלא לפתוח את השוק לקשת רחבה יותר של מקרים שבהם יוכלו הלקוחות לקבל אשראי. מצב שבו התשובה על שאלה היא "כן" או "לא", יוצר רשימה "שחורה" של מקבלי תשובה שלילית</w:t>
      </w:r>
      <w:r w:rsidRPr="00757A56" w:rsidR="007040FD">
        <w:rPr>
          <w:rFonts w:hint="cs"/>
          <w:rtl/>
        </w:rPr>
        <w:t>,</w:t>
      </w:r>
      <w:r w:rsidRPr="00757A56" w:rsidR="007040FD">
        <w:rPr>
          <w:rtl/>
        </w:rPr>
        <w:t xml:space="preserve"> וכך עשוי החוק לפגוע במטרתו</w:t>
      </w:r>
      <w:r w:rsidRPr="00AF3B73">
        <w:rPr>
          <w:rFonts w:hint="cs"/>
          <w:rtl/>
        </w:rPr>
        <w:t>.</w:t>
      </w:r>
    </w:p>
    <w:p w:rsidR="00EB672B" w:rsidRPr="00AF3B73" w:rsidP="00EB672B" w14:paraId="42C157E6" w14:textId="285E0FE9">
      <w:pPr>
        <w:pStyle w:val="7317"/>
      </w:pPr>
      <w:r w:rsidRPr="007040FD">
        <w:rPr>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sidR="007040FD">
        <w:rPr>
          <w:rFonts w:hint="eastAsia"/>
          <w:bCs/>
          <w:rtl/>
        </w:rPr>
        <w:t>העברת</w:t>
      </w:r>
      <w:r w:rsidRPr="007040FD" w:rsidR="007040FD">
        <w:rPr>
          <w:bCs/>
          <w:rtl/>
        </w:rPr>
        <w:t xml:space="preserve"> מידע למאגר נתוני אשראי </w:t>
      </w:r>
      <w:r w:rsidRPr="007040FD" w:rsidR="007040FD">
        <w:rPr>
          <w:rFonts w:hint="eastAsia"/>
          <w:bCs/>
          <w:rtl/>
        </w:rPr>
        <w:t>על</w:t>
      </w:r>
      <w:r w:rsidRPr="007040FD" w:rsidR="007040FD">
        <w:rPr>
          <w:bCs/>
          <w:rtl/>
        </w:rPr>
        <w:t xml:space="preserve"> ידי </w:t>
      </w:r>
      <w:r w:rsidRPr="007040FD" w:rsidR="007040FD">
        <w:rPr>
          <w:rFonts w:hint="eastAsia"/>
          <w:bCs/>
          <w:rtl/>
        </w:rPr>
        <w:t>גופים</w:t>
      </w:r>
      <w:r w:rsidRPr="007040FD" w:rsidR="007040FD">
        <w:rPr>
          <w:bCs/>
          <w:rtl/>
        </w:rPr>
        <w:t xml:space="preserve"> </w:t>
      </w:r>
      <w:r w:rsidRPr="007040FD" w:rsidR="007040FD">
        <w:rPr>
          <w:rFonts w:hint="eastAsia"/>
          <w:bCs/>
          <w:rtl/>
        </w:rPr>
        <w:t>ציבוריים</w:t>
      </w:r>
      <w:r w:rsidRPr="007040FD" w:rsidR="007040FD">
        <w:rPr>
          <w:bCs/>
          <w:rtl/>
        </w:rPr>
        <w:t xml:space="preserve"> -</w:t>
      </w:r>
      <w:r w:rsidRPr="00757A56" w:rsidR="007040FD">
        <w:rPr>
          <w:rtl/>
        </w:rPr>
        <w:t xml:space="preserve"> נמצא כי הממונה </w:t>
      </w:r>
      <w:r w:rsidRPr="00757A56" w:rsidR="007040FD">
        <w:rPr>
          <w:rFonts w:hint="cs"/>
          <w:rtl/>
        </w:rPr>
        <w:t>על הליכי</w:t>
      </w:r>
      <w:r w:rsidRPr="00757A56" w:rsidR="007040FD">
        <w:rPr>
          <w:rtl/>
        </w:rPr>
        <w:t xml:space="preserve"> חדלות פירעון ושיקום כלכלי מסרב לעיתים לקבל את בקשת הממונה </w:t>
      </w:r>
      <w:r w:rsidRPr="00757A56" w:rsidR="007040FD">
        <w:rPr>
          <w:rFonts w:hint="cs"/>
          <w:rtl/>
        </w:rPr>
        <w:t xml:space="preserve">על שיתוף בנתוני אשראי </w:t>
      </w:r>
      <w:r w:rsidRPr="00757A56" w:rsidR="007040FD">
        <w:rPr>
          <w:rtl/>
        </w:rPr>
        <w:t xml:space="preserve">לתקן נתונים המועברים למאגר. תיקון הנתונים נדרש לדוגמה במקרה </w:t>
      </w:r>
      <w:r w:rsidRPr="00757A56" w:rsidR="007040FD">
        <w:rPr>
          <w:rFonts w:hint="cs"/>
          <w:rtl/>
        </w:rPr>
        <w:t>ש</w:t>
      </w:r>
      <w:r w:rsidRPr="00757A56" w:rsidR="007040FD">
        <w:rPr>
          <w:rtl/>
        </w:rPr>
        <w:t>בו בית משפט נותן ללקוח צו לסיום ההליכים. הלקוח אמור לפנות (</w:t>
      </w:r>
      <w:r w:rsidRPr="00757A56" w:rsidR="007040FD">
        <w:rPr>
          <w:rFonts w:hint="cs"/>
          <w:rtl/>
        </w:rPr>
        <w:t>אם</w:t>
      </w:r>
      <w:r w:rsidRPr="00757A56" w:rsidR="007040FD">
        <w:rPr>
          <w:rtl/>
        </w:rPr>
        <w:t xml:space="preserve"> הוא מודע לכך) עם הצו לממונה על הליכי חדלות פירעון ושיקום כלכלי</w:t>
      </w:r>
      <w:r w:rsidRPr="00757A56" w:rsidR="007040FD">
        <w:rPr>
          <w:rFonts w:hint="cs"/>
          <w:rtl/>
        </w:rPr>
        <w:t>,</w:t>
      </w:r>
      <w:r w:rsidRPr="00757A56" w:rsidR="007040FD">
        <w:rPr>
          <w:rtl/>
        </w:rPr>
        <w:t xml:space="preserve"> </w:t>
      </w:r>
      <w:r w:rsidRPr="00757A56" w:rsidR="007040FD">
        <w:rPr>
          <w:rFonts w:hint="cs"/>
          <w:rtl/>
        </w:rPr>
        <w:t>והוא</w:t>
      </w:r>
      <w:r w:rsidRPr="00757A56" w:rsidR="007040FD">
        <w:rPr>
          <w:rtl/>
        </w:rPr>
        <w:t xml:space="preserve"> סוגר את התיק מהמועד שהצו הגיע אליו על ידי הלקוח, ומדווח מאותו המועד למאגר נתוני אשראי. </w:t>
      </w:r>
      <w:r w:rsidRPr="00757A56" w:rsidR="007040FD">
        <w:rPr>
          <w:rFonts w:hint="cs"/>
          <w:rtl/>
        </w:rPr>
        <w:t>לפי</w:t>
      </w:r>
      <w:r w:rsidRPr="00757A56" w:rsidR="007040FD">
        <w:rPr>
          <w:rtl/>
        </w:rPr>
        <w:t xml:space="preserve">כך, דיווח הממונה על הליכי חדלות פירעון ושיקום כלכלי למאגר נתוני אשראי מתבצע מהמועד </w:t>
      </w:r>
      <w:r w:rsidRPr="00757A56" w:rsidR="007040FD">
        <w:rPr>
          <w:rFonts w:hint="cs"/>
          <w:rtl/>
        </w:rPr>
        <w:t>ש</w:t>
      </w:r>
      <w:r w:rsidRPr="00757A56" w:rsidR="007040FD">
        <w:rPr>
          <w:rtl/>
        </w:rPr>
        <w:t xml:space="preserve">בו </w:t>
      </w:r>
      <w:r w:rsidRPr="00757A56" w:rsidR="007040FD">
        <w:rPr>
          <w:rFonts w:hint="cs"/>
          <w:rtl/>
        </w:rPr>
        <w:t xml:space="preserve">קיבל </w:t>
      </w:r>
      <w:r w:rsidRPr="00757A56" w:rsidR="007040FD">
        <w:rPr>
          <w:rtl/>
        </w:rPr>
        <w:t xml:space="preserve">הממונה את הצו מידי הלקוח ולא ממועד מתן הצו של בית המשפט המוקדם יותר, וכפועל יוצא הנתון השלילי </w:t>
      </w:r>
      <w:r w:rsidRPr="00757A56" w:rsidR="007040FD">
        <w:rPr>
          <w:rFonts w:hint="cs"/>
          <w:rtl/>
        </w:rPr>
        <w:t xml:space="preserve">על </w:t>
      </w:r>
      <w:r w:rsidRPr="00757A56" w:rsidR="007040FD">
        <w:rPr>
          <w:rtl/>
        </w:rPr>
        <w:t xml:space="preserve">אודות הלקוח נמצא במאגר למשך זמן רב יותר. פער הזמנים עלול להתארך עוד יותר בקרב לקוחות שאינם מודעים לצורך להגיש את הצו מטעמם לממונה על הליכי חדלות פירעון ושיקום כלכלי </w:t>
      </w:r>
      <w:r w:rsidRPr="00757A56" w:rsidR="007040FD">
        <w:rPr>
          <w:rFonts w:hint="cs"/>
          <w:rtl/>
        </w:rPr>
        <w:t>כדי</w:t>
      </w:r>
      <w:r w:rsidRPr="00757A56" w:rsidR="007040FD">
        <w:rPr>
          <w:rtl/>
        </w:rPr>
        <w:t xml:space="preserve"> לסגור את התיק ולעדכן בהתאם את מאגר נתוני האשראי בעניינם</w:t>
      </w:r>
      <w:r w:rsidRPr="00AF3B73">
        <w:rPr>
          <w:rFonts w:hint="cs"/>
          <w:rtl/>
        </w:rPr>
        <w:t xml:space="preserve">. </w:t>
      </w:r>
    </w:p>
    <w:p w:rsidR="00EB672B" w:rsidRPr="00AF3B73" w:rsidP="00EB672B" w14:paraId="0E55F83C" w14:textId="44D2999B">
      <w:pPr>
        <w:pStyle w:val="7317"/>
      </w:pPr>
      <w:r w:rsidRPr="007040FD">
        <w:rPr>
          <w:rFonts w:hint="cs"/>
          <w:bCs/>
          <w:noProof/>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sidR="007040FD">
        <w:rPr>
          <w:rFonts w:hint="eastAsia"/>
          <w:bCs/>
          <w:rtl/>
        </w:rPr>
        <w:t>שימוש</w:t>
      </w:r>
      <w:r w:rsidRPr="007040FD" w:rsidR="007040FD">
        <w:rPr>
          <w:bCs/>
          <w:rtl/>
        </w:rPr>
        <w:t xml:space="preserve"> </w:t>
      </w:r>
      <w:r w:rsidRPr="007040FD" w:rsidR="007040FD">
        <w:rPr>
          <w:rFonts w:hint="eastAsia"/>
          <w:bCs/>
          <w:rtl/>
        </w:rPr>
        <w:t>במאגר</w:t>
      </w:r>
      <w:r w:rsidRPr="007040FD" w:rsidR="007040FD">
        <w:rPr>
          <w:bCs/>
          <w:rtl/>
        </w:rPr>
        <w:t xml:space="preserve"> </w:t>
      </w:r>
      <w:r w:rsidRPr="007040FD" w:rsidR="007040FD">
        <w:rPr>
          <w:rFonts w:hint="eastAsia"/>
          <w:bCs/>
          <w:rtl/>
        </w:rPr>
        <w:t>נתוני</w:t>
      </w:r>
      <w:r w:rsidRPr="007040FD" w:rsidR="007040FD">
        <w:rPr>
          <w:bCs/>
          <w:rtl/>
        </w:rPr>
        <w:t xml:space="preserve"> </w:t>
      </w:r>
      <w:r w:rsidRPr="007040FD" w:rsidR="007040FD">
        <w:rPr>
          <w:rFonts w:hint="eastAsia"/>
          <w:bCs/>
          <w:rtl/>
        </w:rPr>
        <w:t>האשראי</w:t>
      </w:r>
      <w:r w:rsidRPr="007040FD" w:rsidR="007040FD">
        <w:rPr>
          <w:bCs/>
          <w:rtl/>
        </w:rPr>
        <w:t xml:space="preserve"> </w:t>
      </w:r>
      <w:r w:rsidRPr="007040FD" w:rsidR="007040FD">
        <w:rPr>
          <w:rFonts w:hint="eastAsia"/>
          <w:bCs/>
          <w:rtl/>
        </w:rPr>
        <w:t>על</w:t>
      </w:r>
      <w:r w:rsidRPr="007040FD" w:rsidR="007040FD">
        <w:rPr>
          <w:bCs/>
          <w:rtl/>
        </w:rPr>
        <w:t xml:space="preserve"> </w:t>
      </w:r>
      <w:r w:rsidRPr="007040FD" w:rsidR="007040FD">
        <w:rPr>
          <w:rFonts w:hint="eastAsia"/>
          <w:bCs/>
          <w:rtl/>
        </w:rPr>
        <w:t>ידי</w:t>
      </w:r>
      <w:r w:rsidRPr="007040FD" w:rsidR="007040FD">
        <w:rPr>
          <w:bCs/>
          <w:rtl/>
        </w:rPr>
        <w:t xml:space="preserve"> </w:t>
      </w:r>
      <w:r w:rsidRPr="007040FD" w:rsidR="007040FD">
        <w:rPr>
          <w:rFonts w:hint="eastAsia"/>
          <w:bCs/>
          <w:rtl/>
        </w:rPr>
        <w:t>הגופים</w:t>
      </w:r>
      <w:r w:rsidRPr="007040FD" w:rsidR="007040FD">
        <w:rPr>
          <w:bCs/>
          <w:rtl/>
        </w:rPr>
        <w:t xml:space="preserve"> </w:t>
      </w:r>
      <w:r w:rsidRPr="007040FD" w:rsidR="007040FD">
        <w:rPr>
          <w:rFonts w:hint="eastAsia"/>
          <w:bCs/>
          <w:rtl/>
        </w:rPr>
        <w:t>המוסדיים</w:t>
      </w:r>
      <w:r w:rsidRPr="007040FD" w:rsidR="007040FD">
        <w:rPr>
          <w:rFonts w:hint="cs"/>
          <w:bCs/>
          <w:rtl/>
        </w:rPr>
        <w:t xml:space="preserve"> -</w:t>
      </w:r>
      <w:r w:rsidRPr="00757A56" w:rsidR="007040FD">
        <w:rPr>
          <w:rFonts w:hint="cs"/>
          <w:rtl/>
        </w:rPr>
        <w:t xml:space="preserve"> </w:t>
      </w:r>
      <w:r w:rsidRPr="00757A56" w:rsidR="007040FD">
        <w:rPr>
          <w:rtl/>
        </w:rPr>
        <w:t xml:space="preserve">עלה כי הגם שהיקף האשראי </w:t>
      </w:r>
      <w:r w:rsidRPr="00757A56" w:rsidR="007040FD">
        <w:rPr>
          <w:rFonts w:hint="eastAsia"/>
          <w:rtl/>
        </w:rPr>
        <w:t>שאינו</w:t>
      </w:r>
      <w:r w:rsidRPr="00757A56" w:rsidR="007040FD">
        <w:rPr>
          <w:rtl/>
        </w:rPr>
        <w:t xml:space="preserve"> </w:t>
      </w:r>
      <w:r w:rsidRPr="00757A56" w:rsidR="007040FD">
        <w:rPr>
          <w:rFonts w:hint="eastAsia"/>
          <w:rtl/>
        </w:rPr>
        <w:t>לדיור</w:t>
      </w:r>
      <w:r w:rsidRPr="00757A56" w:rsidR="007040FD">
        <w:rPr>
          <w:rFonts w:hint="cs"/>
          <w:rtl/>
        </w:rPr>
        <w:t xml:space="preserve"> </w:t>
      </w:r>
      <w:r w:rsidRPr="00757A56" w:rsidR="007040FD">
        <w:rPr>
          <w:rtl/>
        </w:rPr>
        <w:t>שניתן על ידי גופים מוסדיים למשקי בית בשנת 2022 עמד על כ-33 מיליארד ש"ח (כ-14% מהיקף האשראי במגזר זה)</w:t>
      </w:r>
      <w:r w:rsidRPr="00757A56" w:rsidR="007040FD">
        <w:rPr>
          <w:rFonts w:hint="cs"/>
          <w:rtl/>
        </w:rPr>
        <w:t>,</w:t>
      </w:r>
      <w:r w:rsidRPr="00757A56" w:rsidR="007040FD">
        <w:rPr>
          <w:rtl/>
        </w:rPr>
        <w:t xml:space="preserve"> היקף בקשות דוחות האשראי של הגופים המוסדיים בשנה זו היה הנמוך ביותר מבין יתר הגופים (תאגידים בנקאיים, חברות </w:t>
      </w:r>
      <w:r w:rsidRPr="00757A56" w:rsidR="007040FD">
        <w:rPr>
          <w:rtl/>
        </w:rPr>
        <w:t>כרטיסי אשראי וגופים מוסדרים) ועמד על כ-15</w:t>
      </w:r>
      <w:r w:rsidRPr="00757A56" w:rsidR="007040FD">
        <w:rPr>
          <w:rFonts w:hint="cs"/>
          <w:rtl/>
        </w:rPr>
        <w:t>,000</w:t>
      </w:r>
      <w:r w:rsidRPr="00757A56" w:rsidR="007040FD">
        <w:rPr>
          <w:rtl/>
        </w:rPr>
        <w:t xml:space="preserve"> בקשות (כ-0.31% מסך הבקשות לדוחות האשראי</w:t>
      </w:r>
      <w:r w:rsidR="007040FD">
        <w:rPr>
          <w:rFonts w:hint="cs"/>
          <w:rtl/>
        </w:rPr>
        <w:t>)</w:t>
      </w:r>
      <w:r w:rsidRPr="00AF3B73">
        <w:rPr>
          <w:rFonts w:hint="cs"/>
          <w:rtl/>
        </w:rPr>
        <w:t xml:space="preserve">. </w:t>
      </w:r>
    </w:p>
    <w:p w:rsidR="007040FD" w:rsidRPr="00757A56" w:rsidP="007040FD" w14:paraId="06F0A7A8" w14:textId="3C280A69">
      <w:pPr>
        <w:pStyle w:val="7317"/>
      </w:pPr>
      <w:r w:rsidRPr="007040FD">
        <w:rPr>
          <w:rFonts w:hint="cs"/>
          <w:b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Pr>
          <w:rFonts w:hint="eastAsia"/>
          <w:bCs/>
          <w:rtl/>
        </w:rPr>
        <w:t>הבדלים</w:t>
      </w:r>
      <w:r w:rsidRPr="007040FD">
        <w:rPr>
          <w:bCs/>
          <w:rtl/>
        </w:rPr>
        <w:t xml:space="preserve"> בדירוג </w:t>
      </w:r>
      <w:r w:rsidRPr="007040FD">
        <w:rPr>
          <w:rFonts w:hint="eastAsia"/>
          <w:bCs/>
          <w:rtl/>
        </w:rPr>
        <w:t>בין</w:t>
      </w:r>
      <w:r w:rsidRPr="007040FD">
        <w:rPr>
          <w:bCs/>
          <w:rtl/>
        </w:rPr>
        <w:t xml:space="preserve"> לשכות האשראי -</w:t>
      </w:r>
      <w:r w:rsidRPr="00757A56">
        <w:rPr>
          <w:rtl/>
        </w:rPr>
        <w:t xml:space="preserve"> אחד השירותים העיקריים של לשכות האשראי הוא דירוג אשראי (</w:t>
      </w:r>
      <w:r w:rsidRPr="00757A56">
        <w:rPr>
          <w:rFonts w:hint="eastAsia"/>
          <w:rtl/>
        </w:rPr>
        <w:t>הערכת</w:t>
      </w:r>
      <w:r w:rsidRPr="00757A56">
        <w:rPr>
          <w:rtl/>
        </w:rPr>
        <w:t xml:space="preserve"> </w:t>
      </w:r>
      <w:r w:rsidRPr="00757A56">
        <w:rPr>
          <w:rFonts w:hint="eastAsia"/>
          <w:rtl/>
        </w:rPr>
        <w:t>הסיכוי</w:t>
      </w:r>
      <w:r w:rsidRPr="00757A56">
        <w:rPr>
          <w:rtl/>
        </w:rPr>
        <w:t xml:space="preserve"> </w:t>
      </w:r>
      <w:r w:rsidRPr="00757A56">
        <w:rPr>
          <w:rFonts w:hint="eastAsia"/>
          <w:rtl/>
        </w:rPr>
        <w:t>שלקוח</w:t>
      </w:r>
      <w:r w:rsidRPr="00757A56">
        <w:rPr>
          <w:rtl/>
        </w:rPr>
        <w:t xml:space="preserve"> </w:t>
      </w:r>
      <w:r w:rsidRPr="00757A56">
        <w:rPr>
          <w:rFonts w:hint="eastAsia"/>
          <w:rtl/>
        </w:rPr>
        <w:t>יפרע</w:t>
      </w:r>
      <w:r w:rsidRPr="00757A56">
        <w:rPr>
          <w:rtl/>
        </w:rPr>
        <w:t xml:space="preserve"> </w:t>
      </w:r>
      <w:r w:rsidRPr="00757A56">
        <w:rPr>
          <w:rFonts w:hint="eastAsia"/>
          <w:rtl/>
        </w:rPr>
        <w:t>כסדרם</w:t>
      </w:r>
      <w:r w:rsidRPr="00757A56">
        <w:rPr>
          <w:rtl/>
        </w:rPr>
        <w:t xml:space="preserve"> </w:t>
      </w:r>
      <w:r w:rsidRPr="00757A56">
        <w:rPr>
          <w:rFonts w:hint="eastAsia"/>
          <w:rtl/>
        </w:rPr>
        <w:t>תשלומים</w:t>
      </w:r>
      <w:r w:rsidRPr="00757A56">
        <w:rPr>
          <w:rtl/>
        </w:rPr>
        <w:t xml:space="preserve"> </w:t>
      </w:r>
      <w:r w:rsidRPr="00757A56">
        <w:rPr>
          <w:rFonts w:hint="eastAsia"/>
          <w:rtl/>
        </w:rPr>
        <w:t>שבהם</w:t>
      </w:r>
      <w:r w:rsidRPr="00757A56">
        <w:rPr>
          <w:rtl/>
        </w:rPr>
        <w:t xml:space="preserve"> </w:t>
      </w:r>
      <w:r w:rsidRPr="00757A56">
        <w:rPr>
          <w:rFonts w:hint="eastAsia"/>
          <w:rtl/>
        </w:rPr>
        <w:t>הוא</w:t>
      </w:r>
      <w:r w:rsidRPr="00757A56">
        <w:rPr>
          <w:rtl/>
        </w:rPr>
        <w:t xml:space="preserve"> </w:t>
      </w:r>
      <w:r w:rsidRPr="00757A56">
        <w:rPr>
          <w:rFonts w:hint="eastAsia"/>
          <w:rtl/>
        </w:rPr>
        <w:t>מתחייב</w:t>
      </w:r>
      <w:r w:rsidRPr="00757A56">
        <w:rPr>
          <w:rtl/>
        </w:rPr>
        <w:t>).</w:t>
      </w:r>
      <w:r w:rsidRPr="00757A56">
        <w:rPr>
          <w:rFonts w:hint="cs"/>
          <w:rtl/>
        </w:rPr>
        <w:t xml:space="preserve"> </w:t>
      </w:r>
      <w:r w:rsidRPr="00757A56">
        <w:rPr>
          <w:rtl/>
        </w:rPr>
        <w:t xml:space="preserve">שירות זה, אשר ניתן גם לנותני אשראי וגם ללקוחות פרטיים, מבוסס על מודל סטטיסטי של כל אחת מהלשכות. </w:t>
      </w:r>
      <w:r w:rsidRPr="00757A56">
        <w:rPr>
          <w:rFonts w:hint="eastAsia"/>
          <w:rtl/>
        </w:rPr>
        <w:t>עלה</w:t>
      </w:r>
      <w:r w:rsidRPr="00757A56">
        <w:rPr>
          <w:rtl/>
        </w:rPr>
        <w:t xml:space="preserve"> כי סולם הדירוג של כל אחת מהלשכות שונה</w:t>
      </w:r>
      <w:r w:rsidRPr="00757A56">
        <w:rPr>
          <w:rFonts w:hint="cs"/>
          <w:rtl/>
        </w:rPr>
        <w:t>,</w:t>
      </w:r>
      <w:r w:rsidRPr="00757A56">
        <w:rPr>
          <w:rtl/>
        </w:rPr>
        <w:t xml:space="preserve"> והשוני עלול להטעות את הציבור. לדוגמה: לקוח אשר דירוג האשראי שלו הוא 700 ייחשב כדירוג "סביר" בלשכת אשראי א' </w:t>
      </w:r>
      <w:r w:rsidRPr="00757A56">
        <w:rPr>
          <w:rFonts w:hint="eastAsia"/>
          <w:rtl/>
        </w:rPr>
        <w:t>לעומת</w:t>
      </w:r>
      <w:r w:rsidRPr="00757A56">
        <w:rPr>
          <w:rtl/>
        </w:rPr>
        <w:t xml:space="preserve"> דירוג "טוב" בלשכת אשראי ב'. </w:t>
      </w:r>
    </w:p>
    <w:tbl>
      <w:tblPr>
        <w:tblStyle w:val="GridTable5DarkAccent1"/>
        <w:bidiVisual/>
        <w:tblW w:w="4751" w:type="pct"/>
        <w:jc w:val="righ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tblPr>
      <w:tblGrid>
        <w:gridCol w:w="1563"/>
        <w:gridCol w:w="2018"/>
        <w:gridCol w:w="2018"/>
        <w:gridCol w:w="1394"/>
      </w:tblGrid>
      <w:tr w14:paraId="5D31EBEB" w14:textId="77777777" w:rsidTr="007040FD">
        <w:tblPrEx>
          <w:tblW w:w="4751" w:type="pct"/>
          <w:jc w:val="righ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tblPrEx>
        <w:trPr>
          <w:trHeight w:val="20"/>
          <w:jc w:val="right"/>
        </w:trPr>
        <w:tc>
          <w:tcPr>
            <w:tcW w:w="2560" w:type="pct"/>
            <w:gridSpan w:val="2"/>
            <w:tcBorders>
              <w:top w:val="none" w:sz="0" w:space="0" w:color="auto"/>
              <w:left w:val="none" w:sz="0" w:space="0" w:color="auto"/>
              <w:right w:val="none" w:sz="0" w:space="0" w:color="auto"/>
            </w:tcBorders>
            <w:shd w:val="clear" w:color="auto" w:fill="B6C9D2"/>
          </w:tcPr>
          <w:p w:rsidR="007040FD" w:rsidRPr="007040FD" w:rsidP="007040FD" w14:paraId="595C7C72" w14:textId="77777777">
            <w:pPr>
              <w:pStyle w:val="73R"/>
              <w:jc w:val="center"/>
              <w:rPr>
                <w:color w:val="000000" w:themeColor="text1"/>
                <w:rtl/>
              </w:rPr>
            </w:pPr>
            <w:r w:rsidRPr="007040FD">
              <w:rPr>
                <w:rFonts w:hint="eastAsia"/>
                <w:color w:val="000000" w:themeColor="text1"/>
                <w:rtl/>
              </w:rPr>
              <w:t>לשכה</w:t>
            </w:r>
            <w:r w:rsidRPr="007040FD">
              <w:rPr>
                <w:color w:val="000000" w:themeColor="text1"/>
                <w:rtl/>
              </w:rPr>
              <w:t xml:space="preserve"> </w:t>
            </w:r>
            <w:r w:rsidRPr="007040FD">
              <w:rPr>
                <w:rFonts w:hint="eastAsia"/>
                <w:color w:val="000000" w:themeColor="text1"/>
                <w:rtl/>
              </w:rPr>
              <w:t>א</w:t>
            </w:r>
            <w:r w:rsidRPr="007040FD">
              <w:rPr>
                <w:color w:val="000000" w:themeColor="text1"/>
                <w:rtl/>
              </w:rPr>
              <w:t>'</w:t>
            </w:r>
          </w:p>
        </w:tc>
        <w:tc>
          <w:tcPr>
            <w:tcW w:w="2440" w:type="pct"/>
            <w:gridSpan w:val="2"/>
            <w:tcBorders>
              <w:top w:val="none" w:sz="0" w:space="0" w:color="auto"/>
              <w:left w:val="none" w:sz="0" w:space="0" w:color="auto"/>
              <w:right w:val="none" w:sz="0" w:space="0" w:color="auto"/>
            </w:tcBorders>
            <w:shd w:val="clear" w:color="auto" w:fill="B6C9D2"/>
          </w:tcPr>
          <w:p w:rsidR="007040FD" w:rsidRPr="007040FD" w:rsidP="007040FD" w14:paraId="4C1F05E4" w14:textId="77777777">
            <w:pPr>
              <w:pStyle w:val="73R"/>
              <w:jc w:val="center"/>
              <w:rPr>
                <w:color w:val="000000" w:themeColor="text1"/>
                <w:rtl/>
              </w:rPr>
            </w:pPr>
            <w:r w:rsidRPr="007040FD">
              <w:rPr>
                <w:rFonts w:hint="eastAsia"/>
                <w:color w:val="000000" w:themeColor="text1"/>
                <w:rtl/>
              </w:rPr>
              <w:t>לשכה</w:t>
            </w:r>
            <w:r w:rsidRPr="007040FD">
              <w:rPr>
                <w:color w:val="000000" w:themeColor="text1"/>
                <w:rtl/>
              </w:rPr>
              <w:t xml:space="preserve"> </w:t>
            </w:r>
            <w:r w:rsidRPr="007040FD">
              <w:rPr>
                <w:rFonts w:hint="eastAsia"/>
                <w:color w:val="000000" w:themeColor="text1"/>
                <w:rtl/>
              </w:rPr>
              <w:t>ב</w:t>
            </w:r>
            <w:r w:rsidRPr="007040FD">
              <w:rPr>
                <w:color w:val="000000" w:themeColor="text1"/>
                <w:rtl/>
              </w:rPr>
              <w:t>'</w:t>
            </w:r>
          </w:p>
        </w:tc>
      </w:tr>
      <w:tr w14:paraId="6148D765" w14:textId="77777777" w:rsidTr="007040FD">
        <w:tblPrEx>
          <w:tblW w:w="4751" w:type="pct"/>
          <w:jc w:val="right"/>
          <w:tblLook w:val="04A0"/>
        </w:tblPrEx>
        <w:trPr>
          <w:trHeight w:val="20"/>
          <w:jc w:val="right"/>
        </w:trPr>
        <w:tc>
          <w:tcPr>
            <w:tcW w:w="1117" w:type="pct"/>
            <w:tcBorders>
              <w:left w:val="none" w:sz="0" w:space="0" w:color="auto"/>
            </w:tcBorders>
            <w:shd w:val="clear" w:color="auto" w:fill="C8DCE4"/>
          </w:tcPr>
          <w:p w:rsidR="007040FD" w:rsidRPr="007040FD" w:rsidP="007040FD" w14:paraId="5F348C62" w14:textId="77777777">
            <w:pPr>
              <w:pStyle w:val="73R"/>
              <w:rPr>
                <w:color w:val="000000" w:themeColor="text1"/>
                <w:rtl/>
              </w:rPr>
            </w:pPr>
            <w:r w:rsidRPr="007040FD">
              <w:rPr>
                <w:rFonts w:hint="cs"/>
                <w:color w:val="000000" w:themeColor="text1"/>
                <w:rtl/>
              </w:rPr>
              <w:t>הגדרת</w:t>
            </w:r>
            <w:r w:rsidRPr="007040FD">
              <w:rPr>
                <w:color w:val="000000" w:themeColor="text1"/>
                <w:rtl/>
              </w:rPr>
              <w:t xml:space="preserve"> </w:t>
            </w:r>
            <w:r w:rsidRPr="007040FD">
              <w:rPr>
                <w:rFonts w:hint="eastAsia"/>
                <w:color w:val="000000" w:themeColor="text1"/>
                <w:rtl/>
              </w:rPr>
              <w:t>הסולם</w:t>
            </w:r>
          </w:p>
        </w:tc>
        <w:tc>
          <w:tcPr>
            <w:tcW w:w="1443" w:type="pct"/>
            <w:shd w:val="clear" w:color="auto" w:fill="C8DCE4"/>
          </w:tcPr>
          <w:p w:rsidR="007040FD" w:rsidRPr="007040FD" w:rsidP="007040FD" w14:paraId="7DFA68A9" w14:textId="77777777">
            <w:pPr>
              <w:pStyle w:val="73R"/>
              <w:rPr>
                <w:b/>
                <w:bCs/>
                <w:color w:val="000000" w:themeColor="text1"/>
                <w:rtl/>
              </w:rPr>
            </w:pPr>
            <w:r w:rsidRPr="007040FD">
              <w:rPr>
                <w:rFonts w:hint="eastAsia"/>
                <w:b/>
                <w:bCs/>
                <w:color w:val="000000" w:themeColor="text1"/>
                <w:rtl/>
              </w:rPr>
              <w:t>טווח</w:t>
            </w:r>
            <w:r w:rsidRPr="007040FD">
              <w:rPr>
                <w:b/>
                <w:bCs/>
                <w:color w:val="000000" w:themeColor="text1"/>
                <w:rtl/>
              </w:rPr>
              <w:t xml:space="preserve"> </w:t>
            </w:r>
            <w:r w:rsidRPr="007040FD">
              <w:rPr>
                <w:rFonts w:hint="eastAsia"/>
                <w:b/>
                <w:bCs/>
                <w:color w:val="000000" w:themeColor="text1"/>
                <w:rtl/>
              </w:rPr>
              <w:t>הסולם</w:t>
            </w:r>
          </w:p>
        </w:tc>
        <w:tc>
          <w:tcPr>
            <w:tcW w:w="1443" w:type="pct"/>
            <w:shd w:val="clear" w:color="auto" w:fill="C8DCE4"/>
          </w:tcPr>
          <w:p w:rsidR="007040FD" w:rsidRPr="007040FD" w:rsidP="007040FD" w14:paraId="0A8E0C2A" w14:textId="77777777">
            <w:pPr>
              <w:pStyle w:val="73R"/>
              <w:rPr>
                <w:b/>
                <w:bCs/>
                <w:color w:val="000000" w:themeColor="text1"/>
                <w:rtl/>
              </w:rPr>
            </w:pPr>
            <w:r w:rsidRPr="007040FD">
              <w:rPr>
                <w:rFonts w:hint="cs"/>
                <w:b/>
                <w:bCs/>
                <w:color w:val="000000" w:themeColor="text1"/>
                <w:rtl/>
              </w:rPr>
              <w:t>הגדרת</w:t>
            </w:r>
            <w:r w:rsidRPr="007040FD">
              <w:rPr>
                <w:b/>
                <w:bCs/>
                <w:color w:val="000000" w:themeColor="text1"/>
                <w:rtl/>
              </w:rPr>
              <w:t xml:space="preserve"> </w:t>
            </w:r>
            <w:r w:rsidRPr="007040FD">
              <w:rPr>
                <w:rFonts w:hint="eastAsia"/>
                <w:b/>
                <w:bCs/>
                <w:color w:val="000000" w:themeColor="text1"/>
                <w:rtl/>
              </w:rPr>
              <w:t>הסולם</w:t>
            </w:r>
          </w:p>
        </w:tc>
        <w:tc>
          <w:tcPr>
            <w:tcW w:w="997" w:type="pct"/>
            <w:shd w:val="clear" w:color="auto" w:fill="C8DCE4"/>
          </w:tcPr>
          <w:p w:rsidR="007040FD" w:rsidRPr="007040FD" w:rsidP="007040FD" w14:paraId="067568F9" w14:textId="77777777">
            <w:pPr>
              <w:pStyle w:val="73R"/>
              <w:rPr>
                <w:b/>
                <w:bCs/>
                <w:color w:val="000000" w:themeColor="text1"/>
                <w:rtl/>
              </w:rPr>
            </w:pPr>
            <w:r w:rsidRPr="007040FD">
              <w:rPr>
                <w:rFonts w:hint="eastAsia"/>
                <w:b/>
                <w:bCs/>
                <w:color w:val="000000" w:themeColor="text1"/>
                <w:rtl/>
              </w:rPr>
              <w:t>טווח</w:t>
            </w:r>
            <w:r w:rsidRPr="007040FD">
              <w:rPr>
                <w:b/>
                <w:bCs/>
                <w:color w:val="000000" w:themeColor="text1"/>
                <w:rtl/>
              </w:rPr>
              <w:t xml:space="preserve"> </w:t>
            </w:r>
            <w:r w:rsidRPr="007040FD">
              <w:rPr>
                <w:rFonts w:hint="eastAsia"/>
                <w:b/>
                <w:bCs/>
                <w:color w:val="000000" w:themeColor="text1"/>
                <w:rtl/>
              </w:rPr>
              <w:t>הסולם</w:t>
            </w:r>
          </w:p>
        </w:tc>
      </w:tr>
      <w:tr w14:paraId="741441F3" w14:textId="77777777" w:rsidTr="00C42632">
        <w:tblPrEx>
          <w:tblW w:w="4751" w:type="pct"/>
          <w:jc w:val="right"/>
          <w:tblLook w:val="04A0"/>
        </w:tblPrEx>
        <w:trPr>
          <w:trHeight w:val="20"/>
          <w:jc w:val="right"/>
        </w:trPr>
        <w:tc>
          <w:tcPr>
            <w:tcW w:w="1117" w:type="pct"/>
            <w:tcBorders>
              <w:left w:val="none" w:sz="0" w:space="0" w:color="auto"/>
            </w:tcBorders>
            <w:shd w:val="clear" w:color="auto" w:fill="DFECEF"/>
          </w:tcPr>
          <w:p w:rsidR="007040FD" w:rsidRPr="007040FD" w:rsidP="007040FD" w14:paraId="427C2DB6" w14:textId="77777777">
            <w:pPr>
              <w:pStyle w:val="73R"/>
              <w:rPr>
                <w:color w:val="000000" w:themeColor="text1"/>
                <w:rtl/>
              </w:rPr>
            </w:pPr>
            <w:r w:rsidRPr="007040FD">
              <w:rPr>
                <w:rFonts w:hint="eastAsia"/>
                <w:color w:val="000000" w:themeColor="text1"/>
                <w:rtl/>
              </w:rPr>
              <w:t>מצוין</w:t>
            </w:r>
          </w:p>
        </w:tc>
        <w:tc>
          <w:tcPr>
            <w:tcW w:w="1443" w:type="pct"/>
            <w:shd w:val="clear" w:color="auto" w:fill="DFECEF"/>
          </w:tcPr>
          <w:p w:rsidR="007040FD" w:rsidRPr="007040FD" w:rsidP="007040FD" w14:paraId="30F267CD" w14:textId="77777777">
            <w:pPr>
              <w:pStyle w:val="73R"/>
              <w:rPr>
                <w:color w:val="000000" w:themeColor="text1"/>
                <w:rtl/>
              </w:rPr>
            </w:pPr>
            <w:r w:rsidRPr="007040FD">
              <w:rPr>
                <w:color w:val="000000" w:themeColor="text1"/>
                <w:rtl/>
              </w:rPr>
              <w:t>851 - 1000</w:t>
            </w:r>
          </w:p>
        </w:tc>
        <w:tc>
          <w:tcPr>
            <w:tcW w:w="1443" w:type="pct"/>
            <w:shd w:val="clear" w:color="auto" w:fill="DFECEF"/>
          </w:tcPr>
          <w:p w:rsidR="007040FD" w:rsidRPr="00E73983" w:rsidP="007040FD" w14:paraId="5E84DE4A" w14:textId="77777777">
            <w:pPr>
              <w:pStyle w:val="73R"/>
              <w:rPr>
                <w:b/>
                <w:bCs/>
                <w:color w:val="000000" w:themeColor="text1"/>
                <w:rtl/>
              </w:rPr>
            </w:pPr>
            <w:r w:rsidRPr="00E73983">
              <w:rPr>
                <w:rFonts w:hint="eastAsia"/>
                <w:b/>
                <w:bCs/>
                <w:color w:val="000000" w:themeColor="text1"/>
                <w:rtl/>
              </w:rPr>
              <w:t>טוב</w:t>
            </w:r>
            <w:r w:rsidRPr="00E73983">
              <w:rPr>
                <w:b/>
                <w:bCs/>
                <w:color w:val="000000" w:themeColor="text1"/>
                <w:rtl/>
              </w:rPr>
              <w:t xml:space="preserve"> </w:t>
            </w:r>
            <w:r w:rsidRPr="00E73983">
              <w:rPr>
                <w:rFonts w:hint="eastAsia"/>
                <w:b/>
                <w:bCs/>
                <w:color w:val="000000" w:themeColor="text1"/>
                <w:rtl/>
              </w:rPr>
              <w:t>מאוד</w:t>
            </w:r>
            <w:r w:rsidRPr="00E73983">
              <w:rPr>
                <w:b/>
                <w:bCs/>
                <w:color w:val="000000" w:themeColor="text1"/>
                <w:rtl/>
              </w:rPr>
              <w:t>/מצוין</w:t>
            </w:r>
          </w:p>
        </w:tc>
        <w:tc>
          <w:tcPr>
            <w:tcW w:w="997" w:type="pct"/>
            <w:shd w:val="clear" w:color="auto" w:fill="DFECEF"/>
          </w:tcPr>
          <w:p w:rsidR="007040FD" w:rsidRPr="007040FD" w:rsidP="007040FD" w14:paraId="2A50AD47" w14:textId="77777777">
            <w:pPr>
              <w:pStyle w:val="73R"/>
              <w:rPr>
                <w:color w:val="000000" w:themeColor="text1"/>
                <w:rtl/>
              </w:rPr>
            </w:pPr>
            <w:r w:rsidRPr="007040FD">
              <w:rPr>
                <w:color w:val="000000" w:themeColor="text1"/>
                <w:rtl/>
              </w:rPr>
              <w:t>720+</w:t>
            </w:r>
          </w:p>
        </w:tc>
      </w:tr>
      <w:tr w14:paraId="40439F49" w14:textId="77777777" w:rsidTr="007040FD">
        <w:tblPrEx>
          <w:tblW w:w="4751" w:type="pct"/>
          <w:jc w:val="right"/>
          <w:tblLook w:val="04A0"/>
        </w:tblPrEx>
        <w:trPr>
          <w:trHeight w:val="20"/>
          <w:jc w:val="right"/>
        </w:trPr>
        <w:tc>
          <w:tcPr>
            <w:tcW w:w="1117" w:type="pct"/>
            <w:tcBorders>
              <w:left w:val="none" w:sz="0" w:space="0" w:color="auto"/>
            </w:tcBorders>
            <w:shd w:val="clear" w:color="auto" w:fill="F0F8F9"/>
          </w:tcPr>
          <w:p w:rsidR="007040FD" w:rsidRPr="007040FD" w:rsidP="007040FD" w14:paraId="4832FA38" w14:textId="77777777">
            <w:pPr>
              <w:pStyle w:val="73R"/>
              <w:rPr>
                <w:color w:val="000000" w:themeColor="text1"/>
                <w:rtl/>
              </w:rPr>
            </w:pPr>
            <w:r w:rsidRPr="007040FD">
              <w:rPr>
                <w:rFonts w:hint="eastAsia"/>
                <w:color w:val="000000" w:themeColor="text1"/>
                <w:rtl/>
              </w:rPr>
              <w:t>טוב</w:t>
            </w:r>
          </w:p>
        </w:tc>
        <w:tc>
          <w:tcPr>
            <w:tcW w:w="1443" w:type="pct"/>
            <w:shd w:val="clear" w:color="auto" w:fill="F0F8F9"/>
          </w:tcPr>
          <w:p w:rsidR="007040FD" w:rsidRPr="007040FD" w:rsidP="007040FD" w14:paraId="66B60265" w14:textId="77777777">
            <w:pPr>
              <w:pStyle w:val="73R"/>
              <w:rPr>
                <w:color w:val="000000" w:themeColor="text1"/>
                <w:rtl/>
              </w:rPr>
            </w:pPr>
            <w:r w:rsidRPr="007040FD">
              <w:rPr>
                <w:color w:val="000000" w:themeColor="text1"/>
                <w:rtl/>
              </w:rPr>
              <w:t>731 -850</w:t>
            </w:r>
          </w:p>
        </w:tc>
        <w:tc>
          <w:tcPr>
            <w:tcW w:w="1443" w:type="pct"/>
            <w:shd w:val="clear" w:color="auto" w:fill="F0F8F9"/>
          </w:tcPr>
          <w:p w:rsidR="007040FD" w:rsidRPr="00E73983" w:rsidP="007040FD" w14:paraId="6F86C48A" w14:textId="77777777">
            <w:pPr>
              <w:pStyle w:val="73R"/>
              <w:rPr>
                <w:b/>
                <w:bCs/>
                <w:color w:val="000000" w:themeColor="text1"/>
                <w:rtl/>
              </w:rPr>
            </w:pPr>
            <w:r w:rsidRPr="00E73983">
              <w:rPr>
                <w:rFonts w:hint="eastAsia"/>
                <w:b/>
                <w:bCs/>
                <w:color w:val="000000" w:themeColor="text1"/>
                <w:rtl/>
              </w:rPr>
              <w:t>טוב</w:t>
            </w:r>
          </w:p>
        </w:tc>
        <w:tc>
          <w:tcPr>
            <w:tcW w:w="997" w:type="pct"/>
            <w:shd w:val="clear" w:color="auto" w:fill="F0F8F9"/>
          </w:tcPr>
          <w:p w:rsidR="007040FD" w:rsidRPr="007040FD" w:rsidP="007040FD" w14:paraId="202ED8E5" w14:textId="77777777">
            <w:pPr>
              <w:pStyle w:val="73R"/>
              <w:rPr>
                <w:color w:val="000000" w:themeColor="text1"/>
                <w:rtl/>
              </w:rPr>
            </w:pPr>
            <w:r w:rsidRPr="007040FD">
              <w:rPr>
                <w:color w:val="000000" w:themeColor="text1"/>
                <w:rtl/>
              </w:rPr>
              <w:t>660 - 719</w:t>
            </w:r>
          </w:p>
        </w:tc>
      </w:tr>
      <w:tr w14:paraId="2973FBDA" w14:textId="77777777" w:rsidTr="00C42632">
        <w:tblPrEx>
          <w:tblW w:w="4751" w:type="pct"/>
          <w:jc w:val="right"/>
          <w:tblLook w:val="04A0"/>
        </w:tblPrEx>
        <w:trPr>
          <w:trHeight w:val="20"/>
          <w:jc w:val="right"/>
        </w:trPr>
        <w:tc>
          <w:tcPr>
            <w:tcW w:w="1117" w:type="pct"/>
            <w:tcBorders>
              <w:left w:val="none" w:sz="0" w:space="0" w:color="auto"/>
            </w:tcBorders>
            <w:shd w:val="clear" w:color="auto" w:fill="DFECEF"/>
          </w:tcPr>
          <w:p w:rsidR="007040FD" w:rsidRPr="007040FD" w:rsidP="007040FD" w14:paraId="7D42820A" w14:textId="77777777">
            <w:pPr>
              <w:pStyle w:val="73R"/>
              <w:rPr>
                <w:color w:val="000000" w:themeColor="text1"/>
                <w:rtl/>
              </w:rPr>
            </w:pPr>
            <w:r w:rsidRPr="007040FD">
              <w:rPr>
                <w:rFonts w:hint="eastAsia"/>
                <w:color w:val="000000" w:themeColor="text1"/>
                <w:rtl/>
              </w:rPr>
              <w:t>סביר</w:t>
            </w:r>
          </w:p>
        </w:tc>
        <w:tc>
          <w:tcPr>
            <w:tcW w:w="1443" w:type="pct"/>
            <w:shd w:val="clear" w:color="auto" w:fill="DFECEF"/>
          </w:tcPr>
          <w:p w:rsidR="007040FD" w:rsidRPr="007040FD" w:rsidP="007040FD" w14:paraId="7B83C79E" w14:textId="77777777">
            <w:pPr>
              <w:pStyle w:val="73R"/>
              <w:rPr>
                <w:color w:val="000000" w:themeColor="text1"/>
                <w:rtl/>
              </w:rPr>
            </w:pPr>
            <w:r w:rsidRPr="007040FD">
              <w:rPr>
                <w:color w:val="000000" w:themeColor="text1"/>
                <w:rtl/>
              </w:rPr>
              <w:t>561 - 730</w:t>
            </w:r>
          </w:p>
        </w:tc>
        <w:tc>
          <w:tcPr>
            <w:tcW w:w="1443" w:type="pct"/>
            <w:shd w:val="clear" w:color="auto" w:fill="DFECEF"/>
          </w:tcPr>
          <w:p w:rsidR="007040FD" w:rsidRPr="00E73983" w:rsidP="007040FD" w14:paraId="098E00B2" w14:textId="77777777">
            <w:pPr>
              <w:pStyle w:val="73R"/>
              <w:rPr>
                <w:b/>
                <w:bCs/>
                <w:color w:val="000000" w:themeColor="text1"/>
                <w:rtl/>
              </w:rPr>
            </w:pPr>
            <w:r w:rsidRPr="00E73983">
              <w:rPr>
                <w:rFonts w:hint="eastAsia"/>
                <w:b/>
                <w:bCs/>
                <w:color w:val="000000" w:themeColor="text1"/>
                <w:rtl/>
              </w:rPr>
              <w:t>סביר</w:t>
            </w:r>
          </w:p>
        </w:tc>
        <w:tc>
          <w:tcPr>
            <w:tcW w:w="997" w:type="pct"/>
            <w:shd w:val="clear" w:color="auto" w:fill="DFECEF"/>
          </w:tcPr>
          <w:p w:rsidR="007040FD" w:rsidRPr="007040FD" w:rsidP="007040FD" w14:paraId="27BD6FBA" w14:textId="77777777">
            <w:pPr>
              <w:pStyle w:val="73R"/>
              <w:rPr>
                <w:color w:val="000000" w:themeColor="text1"/>
                <w:rtl/>
              </w:rPr>
            </w:pPr>
            <w:r w:rsidRPr="007040FD">
              <w:rPr>
                <w:color w:val="000000" w:themeColor="text1"/>
                <w:rtl/>
              </w:rPr>
              <w:t>640 - 659</w:t>
            </w:r>
          </w:p>
        </w:tc>
      </w:tr>
      <w:tr w14:paraId="0EFECBE4" w14:textId="77777777" w:rsidTr="007040FD">
        <w:tblPrEx>
          <w:tblW w:w="4751" w:type="pct"/>
          <w:jc w:val="right"/>
          <w:tblLook w:val="04A0"/>
        </w:tblPrEx>
        <w:trPr>
          <w:trHeight w:val="20"/>
          <w:jc w:val="right"/>
        </w:trPr>
        <w:tc>
          <w:tcPr>
            <w:tcW w:w="1117" w:type="pct"/>
            <w:tcBorders>
              <w:left w:val="none" w:sz="0" w:space="0" w:color="auto"/>
            </w:tcBorders>
            <w:shd w:val="clear" w:color="auto" w:fill="F0F8F9"/>
          </w:tcPr>
          <w:p w:rsidR="007040FD" w:rsidRPr="007040FD" w:rsidP="007040FD" w14:paraId="6191A665" w14:textId="77777777">
            <w:pPr>
              <w:pStyle w:val="73R"/>
              <w:rPr>
                <w:color w:val="000000" w:themeColor="text1"/>
                <w:rtl/>
              </w:rPr>
            </w:pPr>
            <w:r w:rsidRPr="007040FD">
              <w:rPr>
                <w:rFonts w:hint="eastAsia"/>
                <w:color w:val="000000" w:themeColor="text1"/>
                <w:rtl/>
              </w:rPr>
              <w:t>נמוך</w:t>
            </w:r>
          </w:p>
        </w:tc>
        <w:tc>
          <w:tcPr>
            <w:tcW w:w="1443" w:type="pct"/>
            <w:shd w:val="clear" w:color="auto" w:fill="F0F8F9"/>
          </w:tcPr>
          <w:p w:rsidR="007040FD" w:rsidRPr="007040FD" w:rsidP="007040FD" w14:paraId="2BA9667B" w14:textId="77777777">
            <w:pPr>
              <w:pStyle w:val="73R"/>
              <w:rPr>
                <w:color w:val="000000" w:themeColor="text1"/>
                <w:rtl/>
              </w:rPr>
            </w:pPr>
            <w:r w:rsidRPr="007040FD">
              <w:rPr>
                <w:color w:val="000000" w:themeColor="text1"/>
                <w:rtl/>
              </w:rPr>
              <w:t>321 - 560</w:t>
            </w:r>
          </w:p>
        </w:tc>
        <w:tc>
          <w:tcPr>
            <w:tcW w:w="1443" w:type="pct"/>
            <w:shd w:val="clear" w:color="auto" w:fill="F0F8F9"/>
          </w:tcPr>
          <w:p w:rsidR="007040FD" w:rsidRPr="00E73983" w:rsidP="007040FD" w14:paraId="1CCD44D8" w14:textId="77777777">
            <w:pPr>
              <w:pStyle w:val="73R"/>
              <w:rPr>
                <w:b/>
                <w:bCs/>
                <w:color w:val="000000" w:themeColor="text1"/>
                <w:rtl/>
              </w:rPr>
            </w:pPr>
            <w:r w:rsidRPr="00E73983">
              <w:rPr>
                <w:rFonts w:hint="eastAsia"/>
                <w:b/>
                <w:bCs/>
                <w:color w:val="000000" w:themeColor="text1"/>
                <w:rtl/>
              </w:rPr>
              <w:t>נמוך</w:t>
            </w:r>
          </w:p>
        </w:tc>
        <w:tc>
          <w:tcPr>
            <w:tcW w:w="997" w:type="pct"/>
            <w:shd w:val="clear" w:color="auto" w:fill="F0F8F9"/>
          </w:tcPr>
          <w:p w:rsidR="007040FD" w:rsidRPr="007040FD" w:rsidP="007040FD" w14:paraId="09D6C2E0" w14:textId="77777777">
            <w:pPr>
              <w:pStyle w:val="73R"/>
              <w:rPr>
                <w:color w:val="000000" w:themeColor="text1"/>
                <w:rtl/>
              </w:rPr>
            </w:pPr>
            <w:r w:rsidRPr="007040FD">
              <w:rPr>
                <w:color w:val="000000" w:themeColor="text1"/>
                <w:rtl/>
              </w:rPr>
              <w:t>580 - 639</w:t>
            </w:r>
          </w:p>
        </w:tc>
      </w:tr>
      <w:tr w14:paraId="1B08368C" w14:textId="77777777" w:rsidTr="00C42632">
        <w:tblPrEx>
          <w:tblW w:w="4751" w:type="pct"/>
          <w:jc w:val="right"/>
          <w:tblLook w:val="04A0"/>
        </w:tblPrEx>
        <w:trPr>
          <w:trHeight w:val="20"/>
          <w:jc w:val="right"/>
        </w:trPr>
        <w:tc>
          <w:tcPr>
            <w:tcW w:w="1117" w:type="pct"/>
            <w:tcBorders>
              <w:left w:val="none" w:sz="0" w:space="0" w:color="auto"/>
              <w:bottom w:val="none" w:sz="0" w:space="0" w:color="auto"/>
            </w:tcBorders>
            <w:shd w:val="clear" w:color="auto" w:fill="DFECEF"/>
          </w:tcPr>
          <w:p w:rsidR="007040FD" w:rsidRPr="007040FD" w:rsidP="007040FD" w14:paraId="5FE0AC5D" w14:textId="77777777">
            <w:pPr>
              <w:pStyle w:val="73R"/>
              <w:rPr>
                <w:color w:val="000000" w:themeColor="text1"/>
                <w:rtl/>
              </w:rPr>
            </w:pPr>
            <w:r w:rsidRPr="007040FD">
              <w:rPr>
                <w:rFonts w:hint="eastAsia"/>
                <w:color w:val="000000" w:themeColor="text1"/>
                <w:rtl/>
              </w:rPr>
              <w:t>נמוך</w:t>
            </w:r>
            <w:r w:rsidRPr="007040FD">
              <w:rPr>
                <w:color w:val="000000" w:themeColor="text1"/>
                <w:rtl/>
              </w:rPr>
              <w:t xml:space="preserve"> </w:t>
            </w:r>
            <w:r w:rsidRPr="007040FD">
              <w:rPr>
                <w:rFonts w:hint="eastAsia"/>
                <w:color w:val="000000" w:themeColor="text1"/>
                <w:rtl/>
              </w:rPr>
              <w:t>מאוד</w:t>
            </w:r>
          </w:p>
        </w:tc>
        <w:tc>
          <w:tcPr>
            <w:tcW w:w="1443" w:type="pct"/>
            <w:shd w:val="clear" w:color="auto" w:fill="DFECEF"/>
          </w:tcPr>
          <w:p w:rsidR="007040FD" w:rsidRPr="007040FD" w:rsidP="007040FD" w14:paraId="49415103" w14:textId="77777777">
            <w:pPr>
              <w:pStyle w:val="73R"/>
              <w:rPr>
                <w:color w:val="000000" w:themeColor="text1"/>
                <w:rtl/>
              </w:rPr>
            </w:pPr>
            <w:r w:rsidRPr="007040FD">
              <w:rPr>
                <w:color w:val="000000" w:themeColor="text1"/>
                <w:rtl/>
              </w:rPr>
              <w:t>0 - 320</w:t>
            </w:r>
          </w:p>
        </w:tc>
        <w:tc>
          <w:tcPr>
            <w:tcW w:w="1443" w:type="pct"/>
            <w:shd w:val="clear" w:color="auto" w:fill="DFECEF"/>
          </w:tcPr>
          <w:p w:rsidR="007040FD" w:rsidRPr="00E73983" w:rsidP="007040FD" w14:paraId="69CDC923" w14:textId="77777777">
            <w:pPr>
              <w:pStyle w:val="73R"/>
              <w:rPr>
                <w:b/>
                <w:bCs/>
                <w:color w:val="000000" w:themeColor="text1"/>
                <w:rtl/>
              </w:rPr>
            </w:pPr>
            <w:r w:rsidRPr="00E73983">
              <w:rPr>
                <w:rFonts w:hint="eastAsia"/>
                <w:b/>
                <w:bCs/>
                <w:color w:val="000000" w:themeColor="text1"/>
                <w:rtl/>
              </w:rPr>
              <w:t>נמוך</w:t>
            </w:r>
            <w:r w:rsidRPr="00E73983">
              <w:rPr>
                <w:b/>
                <w:bCs/>
                <w:color w:val="000000" w:themeColor="text1"/>
                <w:rtl/>
              </w:rPr>
              <w:t xml:space="preserve"> </w:t>
            </w:r>
            <w:r w:rsidRPr="00E73983">
              <w:rPr>
                <w:rFonts w:hint="eastAsia"/>
                <w:b/>
                <w:bCs/>
                <w:color w:val="000000" w:themeColor="text1"/>
                <w:rtl/>
              </w:rPr>
              <w:t>מאוד</w:t>
            </w:r>
          </w:p>
        </w:tc>
        <w:tc>
          <w:tcPr>
            <w:tcW w:w="997" w:type="pct"/>
            <w:shd w:val="clear" w:color="auto" w:fill="DFECEF"/>
          </w:tcPr>
          <w:p w:rsidR="007040FD" w:rsidRPr="007040FD" w:rsidP="007040FD" w14:paraId="16AA36E2" w14:textId="77777777">
            <w:pPr>
              <w:pStyle w:val="73R"/>
              <w:rPr>
                <w:color w:val="000000" w:themeColor="text1"/>
                <w:rtl/>
              </w:rPr>
            </w:pPr>
            <w:r w:rsidRPr="007040FD">
              <w:rPr>
                <w:rFonts w:hint="cs"/>
                <w:color w:val="000000" w:themeColor="text1"/>
                <w:rtl/>
              </w:rPr>
              <w:t xml:space="preserve">300 </w:t>
            </w:r>
            <w:r w:rsidRPr="007040FD">
              <w:rPr>
                <w:color w:val="000000" w:themeColor="text1"/>
                <w:rtl/>
              </w:rPr>
              <w:t>- 579</w:t>
            </w:r>
          </w:p>
        </w:tc>
      </w:tr>
    </w:tbl>
    <w:p w:rsidR="00EB672B" w:rsidP="007040FD" w14:paraId="6EA213E6" w14:textId="2990075F">
      <w:pPr>
        <w:pStyle w:val="7317"/>
        <w:spacing w:before="180"/>
        <w:rPr>
          <w:rtl/>
        </w:rPr>
      </w:pPr>
      <w:r w:rsidRPr="007040FD">
        <w:rPr>
          <w:rFonts w:hint="cs"/>
          <w:noProof/>
          <w:rtl/>
        </w:rPr>
        <w:drawing>
          <wp:anchor distT="0" distB="0" distL="114300" distR="114300" simplePos="0" relativeHeight="251696128" behindDoc="1" locked="0" layoutInCell="1" allowOverlap="1">
            <wp:simplePos x="0" y="0"/>
            <wp:positionH relativeFrom="column">
              <wp:posOffset>4556760</wp:posOffset>
            </wp:positionH>
            <wp:positionV relativeFrom="paragraph">
              <wp:posOffset>162719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sidR="007040FD">
        <w:rPr>
          <w:rFonts w:hint="eastAsia"/>
          <w:bCs/>
          <w:rtl/>
        </w:rPr>
        <w:t>המודל</w:t>
      </w:r>
      <w:r w:rsidRPr="007040FD" w:rsidR="007040FD">
        <w:rPr>
          <w:bCs/>
          <w:rtl/>
        </w:rPr>
        <w:t xml:space="preserve"> </w:t>
      </w:r>
      <w:r w:rsidRPr="007040FD" w:rsidR="007040FD">
        <w:rPr>
          <w:rFonts w:hint="eastAsia"/>
          <w:bCs/>
          <w:rtl/>
        </w:rPr>
        <w:t>העסקי</w:t>
      </w:r>
      <w:r w:rsidRPr="007040FD" w:rsidR="007040FD">
        <w:rPr>
          <w:bCs/>
          <w:rtl/>
        </w:rPr>
        <w:t xml:space="preserve"> </w:t>
      </w:r>
      <w:r w:rsidRPr="007040FD" w:rsidR="007040FD">
        <w:rPr>
          <w:rFonts w:hint="eastAsia"/>
          <w:bCs/>
          <w:rtl/>
        </w:rPr>
        <w:t>של</w:t>
      </w:r>
      <w:r w:rsidRPr="007040FD" w:rsidR="007040FD">
        <w:rPr>
          <w:bCs/>
          <w:rtl/>
        </w:rPr>
        <w:t xml:space="preserve"> </w:t>
      </w:r>
      <w:r w:rsidRPr="007040FD" w:rsidR="007040FD">
        <w:rPr>
          <w:rFonts w:hint="eastAsia"/>
          <w:bCs/>
          <w:rtl/>
        </w:rPr>
        <w:t>לשכות</w:t>
      </w:r>
      <w:r w:rsidRPr="007040FD" w:rsidR="007040FD">
        <w:rPr>
          <w:bCs/>
          <w:rtl/>
        </w:rPr>
        <w:t xml:space="preserve"> </w:t>
      </w:r>
      <w:r w:rsidRPr="007040FD" w:rsidR="007040FD">
        <w:rPr>
          <w:rFonts w:hint="eastAsia"/>
          <w:bCs/>
          <w:rtl/>
        </w:rPr>
        <w:t>האשראי</w:t>
      </w:r>
      <w:r w:rsidRPr="007040FD" w:rsidR="007040FD">
        <w:rPr>
          <w:bCs/>
          <w:rtl/>
        </w:rPr>
        <w:t xml:space="preserve"> -</w:t>
      </w:r>
      <w:r w:rsidRPr="00757A56" w:rsidR="007040FD">
        <w:rPr>
          <w:rtl/>
        </w:rPr>
        <w:t xml:space="preserve"> בעת הדיונים של ועדת ההיגוי העליונה</w:t>
      </w:r>
      <w:r>
        <w:rPr>
          <w:vertAlign w:val="superscript"/>
          <w:rtl/>
        </w:rPr>
        <w:footnoteReference w:id="4"/>
      </w:r>
      <w:r w:rsidRPr="00757A56" w:rsidR="007040FD">
        <w:rPr>
          <w:rtl/>
        </w:rPr>
        <w:t xml:space="preserve"> בשנת 2016 נקבע כי ניתוח הנתונים מראה שפוטנציאל ההכנסות מפעילות הליבה של הלשכות דל מאוד ומגיע לכ-10 מיליון ש"ח. המסקנות שעלו בניתוח הן אלה: (</w:t>
      </w:r>
      <w:r w:rsidRPr="00757A56" w:rsidR="007040FD">
        <w:rPr>
          <w:rFonts w:hint="cs"/>
          <w:rtl/>
        </w:rPr>
        <w:t>א</w:t>
      </w:r>
      <w:r w:rsidRPr="00757A56" w:rsidR="007040FD">
        <w:rPr>
          <w:rtl/>
        </w:rPr>
        <w:t>) בנק ישראל נדרש לסבסד את המערכת; (</w:t>
      </w:r>
      <w:r w:rsidRPr="00757A56" w:rsidR="007040FD">
        <w:rPr>
          <w:rFonts w:hint="cs"/>
          <w:rtl/>
        </w:rPr>
        <w:t>ב</w:t>
      </w:r>
      <w:r w:rsidRPr="00757A56" w:rsidR="007040FD">
        <w:rPr>
          <w:rtl/>
        </w:rPr>
        <w:t>) בנקודת זמן מסוימת יידרשו משרד האוצר ובנק ישראל לבחון את האפשרות לאשר ללשכות לעסוק בתחומים נוספים</w:t>
      </w:r>
      <w:r w:rsidRPr="00757A56" w:rsidR="007040FD">
        <w:rPr>
          <w:rFonts w:hint="cs"/>
          <w:rtl/>
        </w:rPr>
        <w:t>,</w:t>
      </w:r>
      <w:r w:rsidRPr="00757A56" w:rsidR="007040FD">
        <w:rPr>
          <w:rtl/>
        </w:rPr>
        <w:t xml:space="preserve"> ולשם כך נדרש אישור של ועדת הכלכלה של הכנסת. בשנת 2017 אישרה ועדת ההיגוי העליונה כי נדרש להרחיב את בסיס הפעילות של הלשכות ולאפשר להן להציע שירותים אלה: שירותי ריכוז מידע פיננסי, שירותי ניהול תקציב, ייעוץ כלכלי ובניית מודלים כלכליים. כמו כן הוצע להרחיב את רשימת מקורות המידע לכל נותני האשראי המפוקחים, לרבות הגופים המפוקחים על ידי רשות שוק ההון, </w:t>
      </w:r>
      <w:r w:rsidRPr="00757A56" w:rsidR="007040FD">
        <w:rPr>
          <w:rFonts w:hint="cs"/>
          <w:rtl/>
        </w:rPr>
        <w:t xml:space="preserve">ביטוח וחיסכון, </w:t>
      </w:r>
      <w:r w:rsidRPr="00757A56" w:rsidR="007040FD">
        <w:rPr>
          <w:rtl/>
        </w:rPr>
        <w:t>בהתאם לחוק הפיקוח על שירותים פיננסיים</w:t>
      </w:r>
      <w:r w:rsidRPr="00757A56" w:rsidR="007040FD">
        <w:rPr>
          <w:rFonts w:hint="cs"/>
          <w:rtl/>
        </w:rPr>
        <w:t xml:space="preserve">. עם זאת נמצא כי </w:t>
      </w:r>
      <w:r w:rsidRPr="00757A56" w:rsidR="007040FD">
        <w:rPr>
          <w:rtl/>
        </w:rPr>
        <w:t>לשכות האשראי אינן יכולות להשתמש בנתוני האשראי לצורך העיסוקים הנוספים</w:t>
      </w:r>
      <w:r w:rsidRPr="00757A56" w:rsidR="007040FD">
        <w:rPr>
          <w:rFonts w:hint="cs"/>
          <w:rtl/>
        </w:rPr>
        <w:t xml:space="preserve"> כפי שהותר להן ע"י הנגיד, וכי השירותים </w:t>
      </w:r>
      <w:r w:rsidRPr="00757A56" w:rsidR="007040FD">
        <w:rPr>
          <w:rtl/>
        </w:rPr>
        <w:t>הנוספים שלשכ</w:t>
      </w:r>
      <w:r w:rsidRPr="00757A56" w:rsidR="007040FD">
        <w:rPr>
          <w:rFonts w:hint="cs"/>
          <w:rtl/>
        </w:rPr>
        <w:t>ו</w:t>
      </w:r>
      <w:r w:rsidRPr="00757A56" w:rsidR="007040FD">
        <w:rPr>
          <w:rtl/>
        </w:rPr>
        <w:t>ת האשראי יכול</w:t>
      </w:r>
      <w:r w:rsidRPr="00757A56" w:rsidR="007040FD">
        <w:rPr>
          <w:rFonts w:hint="cs"/>
          <w:rtl/>
        </w:rPr>
        <w:t>ות</w:t>
      </w:r>
      <w:r w:rsidRPr="00757A56" w:rsidR="007040FD">
        <w:rPr>
          <w:rtl/>
        </w:rPr>
        <w:t xml:space="preserve"> להעניק לנות</w:t>
      </w:r>
      <w:r w:rsidRPr="00757A56" w:rsidR="007040FD">
        <w:rPr>
          <w:rFonts w:hint="cs"/>
          <w:rtl/>
        </w:rPr>
        <w:t>ני</w:t>
      </w:r>
      <w:r w:rsidRPr="00757A56" w:rsidR="007040FD">
        <w:rPr>
          <w:rtl/>
        </w:rPr>
        <w:t xml:space="preserve"> אשראי</w:t>
      </w:r>
      <w:r w:rsidRPr="00757A56" w:rsidR="007040FD">
        <w:rPr>
          <w:rFonts w:hint="cs"/>
          <w:rtl/>
        </w:rPr>
        <w:t xml:space="preserve"> </w:t>
      </w:r>
      <w:r w:rsidRPr="00757A56" w:rsidR="007040FD">
        <w:rPr>
          <w:rtl/>
        </w:rPr>
        <w:t>מוגבלים ביותר</w:t>
      </w:r>
      <w:r w:rsidRPr="00757A56" w:rsidR="007040FD">
        <w:rPr>
          <w:rFonts w:hint="cs"/>
          <w:rtl/>
        </w:rPr>
        <w:t>,</w:t>
      </w:r>
      <w:r w:rsidRPr="00757A56" w:rsidR="007040FD">
        <w:rPr>
          <w:rtl/>
        </w:rPr>
        <w:t xml:space="preserve"> שכן לשכ</w:t>
      </w:r>
      <w:r w:rsidRPr="00757A56" w:rsidR="007040FD">
        <w:rPr>
          <w:rFonts w:hint="cs"/>
          <w:rtl/>
        </w:rPr>
        <w:t>ו</w:t>
      </w:r>
      <w:r w:rsidRPr="00757A56" w:rsidR="007040FD">
        <w:rPr>
          <w:rtl/>
        </w:rPr>
        <w:t>ת האשראי רשאי</w:t>
      </w:r>
      <w:r w:rsidRPr="00757A56" w:rsidR="007040FD">
        <w:rPr>
          <w:rFonts w:hint="cs"/>
          <w:rtl/>
        </w:rPr>
        <w:t>ו</w:t>
      </w:r>
      <w:r w:rsidRPr="00757A56" w:rsidR="007040FD">
        <w:rPr>
          <w:rtl/>
        </w:rPr>
        <w:t>ת לתת ייעוץ על סמך נתוני האשראי בלבד ואין לה</w:t>
      </w:r>
      <w:r w:rsidRPr="00757A56" w:rsidR="007040FD">
        <w:rPr>
          <w:rFonts w:hint="cs"/>
          <w:rtl/>
        </w:rPr>
        <w:t>ן</w:t>
      </w:r>
      <w:r w:rsidRPr="00757A56" w:rsidR="007040FD">
        <w:rPr>
          <w:rtl/>
        </w:rPr>
        <w:t xml:space="preserve"> כל אפשרות לצרף לייעוץ נתונים אחרים</w:t>
      </w:r>
      <w:r w:rsidRPr="00757A56" w:rsidR="007040FD">
        <w:rPr>
          <w:rFonts w:hint="cs"/>
          <w:rtl/>
        </w:rPr>
        <w:t>. עוד נמצא</w:t>
      </w:r>
      <w:r w:rsidRPr="00757A56" w:rsidR="007040FD">
        <w:rPr>
          <w:rtl/>
        </w:rPr>
        <w:t xml:space="preserve"> כי בקרב הלשכות עולה החשש שהמודל העסקי הנהוג כיום אינו כדאי להן</w:t>
      </w:r>
      <w:r w:rsidRPr="00757A56" w:rsidR="007040FD">
        <w:rPr>
          <w:rFonts w:hint="cs"/>
          <w:rtl/>
        </w:rPr>
        <w:t>,</w:t>
      </w:r>
      <w:r w:rsidRPr="00757A56" w:rsidR="007040FD">
        <w:rPr>
          <w:rtl/>
        </w:rPr>
        <w:t xml:space="preserve"> וכי ייתכן שיחזירו לבנק ישראל את הרישיון למתן שירותי אשראי. </w:t>
      </w:r>
      <w:r w:rsidRPr="00757A56" w:rsidR="007040FD">
        <w:rPr>
          <w:rFonts w:hint="cs"/>
          <w:rtl/>
        </w:rPr>
        <w:t xml:space="preserve">כמו כן </w:t>
      </w:r>
      <w:r w:rsidRPr="00757A56" w:rsidR="007040FD">
        <w:rPr>
          <w:rtl/>
        </w:rPr>
        <w:t>נמצא כי בנק ישראל לא נערך לתרחיש שבו יידרש למציאת פתרונות להמשך התפעול של שוק שיתוף נתוני האשראי, לפנייה ישירה מצד כלל נותני האשראי, לפיתוח מודל סטטיסטי תקף ועוד</w:t>
      </w:r>
      <w:r w:rsidRPr="00AF3B73">
        <w:rPr>
          <w:rFonts w:hint="cs"/>
          <w:rtl/>
        </w:rPr>
        <w:t xml:space="preserve">. </w:t>
      </w:r>
    </w:p>
    <w:p w:rsidR="007040FD" w:rsidP="007040FD" w14:paraId="163FAE10" w14:textId="4041C120">
      <w:pPr>
        <w:pStyle w:val="7317"/>
        <w:rPr>
          <w:rtl/>
        </w:rPr>
      </w:pPr>
      <w:r w:rsidRPr="007040FD">
        <w:rPr>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28355296" name="תמונה 2283552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5529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Pr>
          <w:rFonts w:hint="eastAsia"/>
          <w:bCs/>
          <w:rtl/>
        </w:rPr>
        <w:t>הפיקוח</w:t>
      </w:r>
      <w:r w:rsidRPr="007040FD">
        <w:rPr>
          <w:bCs/>
          <w:rtl/>
        </w:rPr>
        <w:t xml:space="preserve"> </w:t>
      </w:r>
      <w:r w:rsidRPr="007040FD">
        <w:rPr>
          <w:rFonts w:hint="eastAsia"/>
          <w:bCs/>
          <w:rtl/>
        </w:rPr>
        <w:t>של</w:t>
      </w:r>
      <w:r w:rsidRPr="007040FD">
        <w:rPr>
          <w:bCs/>
          <w:rtl/>
        </w:rPr>
        <w:t xml:space="preserve"> </w:t>
      </w:r>
      <w:r w:rsidRPr="007040FD">
        <w:rPr>
          <w:rFonts w:hint="eastAsia"/>
          <w:bCs/>
          <w:rtl/>
        </w:rPr>
        <w:t>הממונה</w:t>
      </w:r>
      <w:r w:rsidRPr="007040FD">
        <w:rPr>
          <w:bCs/>
          <w:rtl/>
        </w:rPr>
        <w:t xml:space="preserve"> </w:t>
      </w:r>
      <w:r w:rsidRPr="007040FD">
        <w:rPr>
          <w:rFonts w:hint="eastAsia"/>
          <w:bCs/>
          <w:rtl/>
        </w:rPr>
        <w:t>על</w:t>
      </w:r>
      <w:r w:rsidRPr="007040FD">
        <w:rPr>
          <w:bCs/>
          <w:rtl/>
        </w:rPr>
        <w:t xml:space="preserve"> </w:t>
      </w:r>
      <w:r w:rsidRPr="007040FD">
        <w:rPr>
          <w:rFonts w:hint="eastAsia"/>
          <w:bCs/>
          <w:rtl/>
        </w:rPr>
        <w:t>לשכות</w:t>
      </w:r>
      <w:r w:rsidRPr="007040FD">
        <w:rPr>
          <w:bCs/>
          <w:rtl/>
        </w:rPr>
        <w:t xml:space="preserve"> </w:t>
      </w:r>
      <w:r w:rsidRPr="007040FD">
        <w:rPr>
          <w:rFonts w:hint="eastAsia"/>
          <w:bCs/>
          <w:rtl/>
        </w:rPr>
        <w:t>האשראי</w:t>
      </w:r>
      <w:r w:rsidRPr="007040FD">
        <w:rPr>
          <w:bCs/>
          <w:rtl/>
        </w:rPr>
        <w:t xml:space="preserve"> </w:t>
      </w:r>
      <w:r w:rsidRPr="007040FD">
        <w:rPr>
          <w:rFonts w:hint="eastAsia"/>
          <w:bCs/>
          <w:rtl/>
        </w:rPr>
        <w:t>ועל</w:t>
      </w:r>
      <w:r w:rsidRPr="007040FD">
        <w:rPr>
          <w:bCs/>
          <w:rtl/>
        </w:rPr>
        <w:t xml:space="preserve"> </w:t>
      </w:r>
      <w:r w:rsidRPr="007040FD">
        <w:rPr>
          <w:rFonts w:hint="eastAsia"/>
          <w:bCs/>
          <w:rtl/>
        </w:rPr>
        <w:t>המשתמשים</w:t>
      </w:r>
      <w:r w:rsidRPr="007040FD">
        <w:rPr>
          <w:bCs/>
          <w:rtl/>
        </w:rPr>
        <w:t xml:space="preserve"> </w:t>
      </w:r>
      <w:r w:rsidRPr="007040FD">
        <w:rPr>
          <w:rFonts w:hint="eastAsia"/>
          <w:bCs/>
          <w:rtl/>
        </w:rPr>
        <w:t>בנתוני</w:t>
      </w:r>
      <w:r w:rsidRPr="007040FD">
        <w:rPr>
          <w:bCs/>
          <w:rtl/>
        </w:rPr>
        <w:t xml:space="preserve"> </w:t>
      </w:r>
      <w:r w:rsidRPr="007040FD">
        <w:rPr>
          <w:rFonts w:hint="eastAsia"/>
          <w:bCs/>
          <w:rtl/>
        </w:rPr>
        <w:t>האשראי</w:t>
      </w:r>
      <w:r w:rsidRPr="007040FD">
        <w:rPr>
          <w:bCs/>
          <w:rtl/>
        </w:rPr>
        <w:t xml:space="preserve"> -</w:t>
      </w:r>
      <w:r w:rsidRPr="00757A56">
        <w:rPr>
          <w:rtl/>
        </w:rPr>
        <w:t xml:space="preserve"> נמצא כי יחידת הפיקוח והבקרה באגף הממונה מבצעת את תהליכי הביקורת במשרדי הלשכות באמצעות משרד רואה חשבון חיצוני, ללא נוכחות של מפקחים מטעם בנק ישראל, וזאת שלא כנדרש בהוראות החוק. </w:t>
      </w:r>
      <w:r w:rsidRPr="00757A56">
        <w:rPr>
          <w:rFonts w:hint="eastAsia"/>
          <w:rtl/>
        </w:rPr>
        <w:t>עוד</w:t>
      </w:r>
      <w:r w:rsidRPr="00757A56">
        <w:rPr>
          <w:rtl/>
        </w:rPr>
        <w:t xml:space="preserve"> נמצא כי יחידת הפיקוח והבקרה של הממונה על השיתוף בנתוני אשראי מבצעת בקרות </w:t>
      </w:r>
      <w:r w:rsidRPr="00757A56">
        <w:rPr>
          <w:rFonts w:hint="cs"/>
          <w:rtl/>
        </w:rPr>
        <w:t xml:space="preserve">שטח </w:t>
      </w:r>
      <w:r w:rsidRPr="00757A56">
        <w:rPr>
          <w:rtl/>
        </w:rPr>
        <w:t xml:space="preserve">על 3 מתוך כ-40 משתמשים </w:t>
      </w:r>
      <w:r w:rsidRPr="00757A56">
        <w:rPr>
          <w:rFonts w:hint="cs"/>
          <w:rtl/>
        </w:rPr>
        <w:t xml:space="preserve">בנתוני אשראי </w:t>
      </w:r>
      <w:r w:rsidRPr="00757A56">
        <w:rPr>
          <w:rtl/>
        </w:rPr>
        <w:t xml:space="preserve">במשך כל שנה, ולפיכך ייתכן שמשתמשים בנתוני אשראי לא ייבדקו </w:t>
      </w:r>
      <w:r w:rsidRPr="00757A56">
        <w:rPr>
          <w:rFonts w:hint="cs"/>
          <w:rtl/>
        </w:rPr>
        <w:t xml:space="preserve">בשטח </w:t>
      </w:r>
      <w:r w:rsidRPr="00757A56">
        <w:rPr>
          <w:rtl/>
        </w:rPr>
        <w:t xml:space="preserve">במשך </w:t>
      </w:r>
      <w:r w:rsidRPr="00757A56">
        <w:rPr>
          <w:rFonts w:hint="cs"/>
          <w:rtl/>
        </w:rPr>
        <w:t>יותר</w:t>
      </w:r>
      <w:r w:rsidRPr="00757A56">
        <w:rPr>
          <w:rtl/>
        </w:rPr>
        <w:t xml:space="preserve"> מעשור.</w:t>
      </w:r>
      <w:r w:rsidRPr="00757A56">
        <w:rPr>
          <w:rFonts w:hint="cs"/>
          <w:rtl/>
        </w:rPr>
        <w:t xml:space="preserve"> בנק ישראל ציין כי הממונה מבצע הליכי פיקוח ובקרה מעבר לבקרות השטח</w:t>
      </w:r>
      <w:r w:rsidRPr="00AF3B73">
        <w:rPr>
          <w:rFonts w:hint="cs"/>
          <w:rtl/>
        </w:rPr>
        <w:t xml:space="preserve">. </w:t>
      </w:r>
    </w:p>
    <w:p w:rsidR="007040FD" w:rsidP="007040FD" w14:paraId="68754E54" w14:textId="2332D84E">
      <w:pPr>
        <w:pStyle w:val="7317"/>
        <w:rPr>
          <w:rtl/>
        </w:rPr>
      </w:pPr>
      <w:r w:rsidRPr="007040FD">
        <w:rPr>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39354537" name="תמונה 93935453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545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Pr>
          <w:rFonts w:hint="cs"/>
          <w:bCs/>
          <w:rtl/>
        </w:rPr>
        <w:t>בחינת מטרת הרחבת הנגישות לאשראי -</w:t>
      </w:r>
      <w:r w:rsidRPr="00757A56">
        <w:rPr>
          <w:rFonts w:hint="cs"/>
          <w:rtl/>
        </w:rPr>
        <w:t xml:space="preserve"> </w:t>
      </w:r>
      <w:r w:rsidRPr="00757A56">
        <w:rPr>
          <w:rtl/>
        </w:rPr>
        <w:t>נמצא כי היכולת של הצוות בחטיבת המחקר בבנק ישראל לבחון את השגת מטרת החוק בדבר הרחבת הנגישות לאשראי נתקלת בקשיים רבים, שכן במאגר מופיעים נתונים רק על בקשות אשראי שאושרו אך לא על בקשות אשראי שנדחו. לכן בנק ישראל אינו</w:t>
      </w:r>
      <w:r w:rsidRPr="00757A56">
        <w:rPr>
          <w:rFonts w:hint="cs"/>
          <w:rtl/>
        </w:rPr>
        <w:t xml:space="preserve"> יכול</w:t>
      </w:r>
      <w:r w:rsidRPr="00757A56">
        <w:rPr>
          <w:rtl/>
        </w:rPr>
        <w:t xml:space="preserve"> </w:t>
      </w:r>
      <w:r w:rsidRPr="00757A56">
        <w:rPr>
          <w:rFonts w:hint="cs"/>
          <w:rtl/>
        </w:rPr>
        <w:t>לב</w:t>
      </w:r>
      <w:r w:rsidRPr="00757A56">
        <w:rPr>
          <w:rtl/>
        </w:rPr>
        <w:t>ח</w:t>
      </w:r>
      <w:r w:rsidRPr="00757A56">
        <w:rPr>
          <w:rFonts w:hint="cs"/>
          <w:rtl/>
        </w:rPr>
        <w:t>ו</w:t>
      </w:r>
      <w:r w:rsidRPr="00757A56">
        <w:rPr>
          <w:rtl/>
        </w:rPr>
        <w:t>ן את עמידתו במטרה זו של החוק</w:t>
      </w:r>
      <w:r w:rsidRPr="00AF3B73">
        <w:rPr>
          <w:rFonts w:hint="cs"/>
          <w:rtl/>
        </w:rPr>
        <w:t xml:space="preserve">. </w:t>
      </w:r>
    </w:p>
    <w:p w:rsidR="007040FD" w:rsidP="007040FD" w14:paraId="0B0F850A" w14:textId="4DF0CBFC">
      <w:pPr>
        <w:pStyle w:val="7317"/>
        <w:rPr>
          <w:rtl/>
        </w:rPr>
      </w:pPr>
      <w:r w:rsidRPr="007040FD">
        <w:rPr>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69782208" name="תמונה 186978220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8220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Pr>
          <w:rFonts w:hint="cs"/>
          <w:bCs/>
          <w:rtl/>
        </w:rPr>
        <w:t>שיפור דירוג האשראי -</w:t>
      </w:r>
      <w:r w:rsidRPr="00757A56">
        <w:rPr>
          <w:rFonts w:hint="cs"/>
          <w:rtl/>
        </w:rPr>
        <w:t xml:space="preserve"> </w:t>
      </w:r>
      <w:r w:rsidRPr="00757A56">
        <w:rPr>
          <w:rtl/>
        </w:rPr>
        <w:t>נמצא כי גם בעת סיום הביקורת פועלים בשוק האשראי גופים עסקיים אשר מעניקים ללקוחות שירות בתשלום אף שניתן לבצעו חינם</w:t>
      </w:r>
      <w:r w:rsidRPr="00757A56">
        <w:rPr>
          <w:rFonts w:hint="cs"/>
          <w:rtl/>
        </w:rPr>
        <w:t>.</w:t>
      </w:r>
      <w:r w:rsidRPr="00757A56">
        <w:rPr>
          <w:rtl/>
        </w:rPr>
        <w:t xml:space="preserve"> גופים אלה מציעים ללקוח לשפר את דירוג האשראי שלו, </w:t>
      </w:r>
      <w:r w:rsidRPr="00757A56">
        <w:rPr>
          <w:rFonts w:hint="cs"/>
          <w:rtl/>
        </w:rPr>
        <w:t>אך</w:t>
      </w:r>
      <w:r w:rsidRPr="00757A56">
        <w:rPr>
          <w:rtl/>
        </w:rPr>
        <w:t xml:space="preserve"> בפועל הם מזדהים במערכת באמצעות פרטי הזיהוי האישיים של הלקוח ומבצעים פעולת אי-הכללה במאגר ומי</w:t>
      </w:r>
      <w:r w:rsidRPr="00757A56">
        <w:rPr>
          <w:rFonts w:hint="cs"/>
          <w:rtl/>
        </w:rPr>
        <w:t>י</w:t>
      </w:r>
      <w:r w:rsidRPr="00757A56">
        <w:rPr>
          <w:rtl/>
        </w:rPr>
        <w:t>ד לאחר מכן הכללה מחדש במאגר. ביצוע פעולות אלה מוחק את כל המידע שקיים במערכת עבור הלקוח</w:t>
      </w:r>
      <w:r w:rsidRPr="00757A56">
        <w:rPr>
          <w:rFonts w:hint="cs"/>
          <w:rtl/>
        </w:rPr>
        <w:t>,</w:t>
      </w:r>
      <w:r w:rsidRPr="00757A56">
        <w:rPr>
          <w:rtl/>
        </w:rPr>
        <w:t xml:space="preserve"> והוא עלול להפוך למסורב אשראי</w:t>
      </w:r>
      <w:r w:rsidRPr="00AF3B73">
        <w:rPr>
          <w:rFonts w:hint="cs"/>
          <w:rtl/>
        </w:rPr>
        <w:t xml:space="preserve">. </w:t>
      </w:r>
    </w:p>
    <w:p w:rsidR="007040FD" w:rsidP="007040FD" w14:paraId="584F65BE" w14:textId="5244B9E1">
      <w:pPr>
        <w:pStyle w:val="7317"/>
        <w:rPr>
          <w:rtl/>
        </w:rPr>
      </w:pPr>
      <w:r w:rsidRPr="007040FD">
        <w:rPr>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88668340" name="תמונה 178866834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683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40FD">
        <w:rPr>
          <w:rFonts w:hint="cs"/>
          <w:bCs/>
          <w:rtl/>
        </w:rPr>
        <w:t xml:space="preserve">הקמת קרן </w:t>
      </w:r>
      <w:r w:rsidRPr="007040FD">
        <w:rPr>
          <w:rFonts w:hint="cs"/>
          <w:bCs/>
          <w:rtl/>
        </w:rPr>
        <w:t>למודרי</w:t>
      </w:r>
      <w:r w:rsidRPr="007040FD">
        <w:rPr>
          <w:rFonts w:hint="cs"/>
          <w:bCs/>
          <w:rtl/>
        </w:rPr>
        <w:t xml:space="preserve"> אשראי -</w:t>
      </w:r>
      <w:r w:rsidRPr="00757A56">
        <w:rPr>
          <w:rFonts w:hint="cs"/>
          <w:rtl/>
        </w:rPr>
        <w:t xml:space="preserve"> </w:t>
      </w:r>
      <w:r w:rsidRPr="00757A56">
        <w:rPr>
          <w:rtl/>
        </w:rPr>
        <w:t>נמצא כי בחלוף ש</w:t>
      </w:r>
      <w:r w:rsidRPr="00757A56">
        <w:rPr>
          <w:rFonts w:hint="cs"/>
          <w:rtl/>
        </w:rPr>
        <w:t>בע</w:t>
      </w:r>
      <w:r w:rsidRPr="00757A56">
        <w:rPr>
          <w:rtl/>
        </w:rPr>
        <w:t xml:space="preserve"> שנים מאישור החוק בשנת 2016 לא הוקמה קרן </w:t>
      </w:r>
      <w:r w:rsidRPr="00757A56">
        <w:rPr>
          <w:rtl/>
        </w:rPr>
        <w:t>למודרי</w:t>
      </w:r>
      <w:r w:rsidRPr="00757A56">
        <w:rPr>
          <w:rtl/>
        </w:rPr>
        <w:t xml:space="preserve"> אשראי, וזאת על אף התחייבות שר האוצר דאז</w:t>
      </w:r>
      <w:r w:rsidRPr="00757A56">
        <w:rPr>
          <w:rFonts w:hint="cs"/>
          <w:rtl/>
        </w:rPr>
        <w:t>,</w:t>
      </w:r>
      <w:r w:rsidRPr="00757A56">
        <w:rPr>
          <w:rtl/>
        </w:rPr>
        <w:t xml:space="preserve"> וכי לשם תהליכי הקמת הקרן פורסמו </w:t>
      </w:r>
      <w:r w:rsidRPr="00757A56">
        <w:rPr>
          <w:rFonts w:hint="cs"/>
          <w:rtl/>
        </w:rPr>
        <w:t>שלושה</w:t>
      </w:r>
      <w:r w:rsidRPr="00757A56">
        <w:rPr>
          <w:rtl/>
        </w:rPr>
        <w:t xml:space="preserve"> מכרזים לבחירת נותן אשראי להעמדת הלוואות בהגנת המדינה לדירוג נמוך, מ</w:t>
      </w:r>
      <w:r w:rsidRPr="00757A56">
        <w:rPr>
          <w:rFonts w:hint="cs"/>
          <w:rtl/>
        </w:rPr>
        <w:t>ה</w:t>
      </w:r>
      <w:r w:rsidRPr="00757A56">
        <w:rPr>
          <w:rtl/>
        </w:rPr>
        <w:t xml:space="preserve">ם שני מכרזים שלא צלחו ומכרז נוסף בו נבחר זוכה אשר צפוי להתחיל להפעיל את הקרן בספטמבר 2023. עוד נמצא כי אין בידי משרד האוצר ובנק ישראל מידע בדבר ההיקף של </w:t>
      </w:r>
      <w:r w:rsidRPr="00757A56">
        <w:rPr>
          <w:rtl/>
        </w:rPr>
        <w:t>מודרי</w:t>
      </w:r>
      <w:r w:rsidRPr="00757A56">
        <w:rPr>
          <w:rtl/>
        </w:rPr>
        <w:t xml:space="preserve"> האשראי</w:t>
      </w:r>
      <w:r w:rsidRPr="00AF3B73">
        <w:rPr>
          <w:rFonts w:hint="cs"/>
          <w:rtl/>
        </w:rPr>
        <w:t xml:space="preserve">. </w:t>
      </w:r>
    </w:p>
    <w:p w:rsidR="007040FD" w:rsidRPr="00B26E85" w:rsidP="007040FD" w14:paraId="27C7F115" w14:textId="63F80F17">
      <w:pPr>
        <w:pStyle w:val="7370"/>
      </w:pPr>
      <w:r w:rsidRPr="0063556C">
        <w:rPr>
          <w:rStyle w:val="7372"/>
          <w:rFonts w:hint="cs"/>
          <w:noProof/>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1608565" name="תמונה 28160856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0856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26E85">
        <w:rPr>
          <w:rFonts w:hint="cs"/>
          <w:rtl/>
        </w:rPr>
        <w:t xml:space="preserve">עלות הקמת המאגר ותפעולו </w:t>
      </w:r>
    </w:p>
    <w:p w:rsidR="007040FD" w:rsidP="00E73983" w14:paraId="2BE7389E" w14:textId="65C6DBE4">
      <w:pPr>
        <w:pStyle w:val="7317"/>
        <w:numPr>
          <w:ilvl w:val="0"/>
          <w:numId w:val="10"/>
        </w:numPr>
      </w:pPr>
      <w:r w:rsidRPr="007040FD">
        <w:rPr>
          <w:rStyle w:val="7371"/>
          <w:rFonts w:hint="eastAsia"/>
          <w:rtl/>
        </w:rPr>
        <w:t>עלות</w:t>
      </w:r>
      <w:r w:rsidRPr="007040FD">
        <w:rPr>
          <w:rStyle w:val="7371"/>
          <w:rtl/>
        </w:rPr>
        <w:t xml:space="preserve"> </w:t>
      </w:r>
      <w:r w:rsidRPr="007040FD">
        <w:rPr>
          <w:rStyle w:val="7371"/>
          <w:rFonts w:hint="eastAsia"/>
          <w:rtl/>
        </w:rPr>
        <w:t>הקמת</w:t>
      </w:r>
      <w:r w:rsidRPr="007040FD">
        <w:rPr>
          <w:rStyle w:val="7371"/>
          <w:rtl/>
        </w:rPr>
        <w:t xml:space="preserve"> </w:t>
      </w:r>
      <w:r w:rsidRPr="007040FD">
        <w:rPr>
          <w:rStyle w:val="7371"/>
          <w:rFonts w:hint="eastAsia"/>
          <w:rtl/>
        </w:rPr>
        <w:t>המאגר</w:t>
      </w:r>
      <w:r w:rsidRPr="007040FD">
        <w:rPr>
          <w:rStyle w:val="7371"/>
          <w:rFonts w:hint="cs"/>
          <w:rtl/>
        </w:rPr>
        <w:t xml:space="preserve"> -</w:t>
      </w:r>
      <w:r w:rsidRPr="00B26E85">
        <w:rPr>
          <w:rFonts w:hint="cs"/>
          <w:rtl/>
        </w:rPr>
        <w:t xml:space="preserve"> </w:t>
      </w:r>
      <w:r w:rsidRPr="00B26E85">
        <w:rPr>
          <w:rtl/>
        </w:rPr>
        <w:t xml:space="preserve">עלות ההקמה הכוללת של </w:t>
      </w:r>
      <w:r w:rsidRPr="00B26E85">
        <w:rPr>
          <w:rFonts w:hint="cs"/>
          <w:rtl/>
        </w:rPr>
        <w:t xml:space="preserve">פרויקט </w:t>
      </w:r>
      <w:r w:rsidRPr="00B26E85">
        <w:rPr>
          <w:rtl/>
        </w:rPr>
        <w:t>מאגר נתוני אשראי הסתכמה בכ-287 מיליון ש"ח</w:t>
      </w:r>
      <w:r w:rsidRPr="00B26E85">
        <w:rPr>
          <w:rFonts w:hint="cs"/>
          <w:rtl/>
        </w:rPr>
        <w:t>, כ-255 מיליון ש"ח עלות ישירה וכ-32 מיליון ש"ח עלות עקיפה</w:t>
      </w:r>
      <w:r>
        <w:rPr>
          <w:vertAlign w:val="superscript"/>
          <w:rtl/>
        </w:rPr>
        <w:footnoteReference w:id="5"/>
      </w:r>
      <w:r w:rsidRPr="00B26E85">
        <w:rPr>
          <w:rFonts w:hint="cs"/>
          <w:rtl/>
        </w:rPr>
        <w:t>.</w:t>
      </w:r>
      <w:r w:rsidRPr="00B26E85">
        <w:rPr>
          <w:rtl/>
        </w:rPr>
        <w:t xml:space="preserve"> </w:t>
      </w:r>
      <w:r w:rsidRPr="00B26E85">
        <w:rPr>
          <w:rFonts w:hint="cs"/>
          <w:rtl/>
        </w:rPr>
        <w:t xml:space="preserve">נמצא כי העלות הישירה </w:t>
      </w:r>
      <w:r w:rsidRPr="00B26E85">
        <w:rPr>
          <w:rtl/>
        </w:rPr>
        <w:t>חרגה הן מן ההערכות הראשוניות והאומדנים (גידול של כ-</w:t>
      </w:r>
      <w:r w:rsidRPr="00B26E85">
        <w:rPr>
          <w:rFonts w:hint="cs"/>
          <w:rtl/>
        </w:rPr>
        <w:t>177</w:t>
      </w:r>
      <w:r w:rsidRPr="00B26E85">
        <w:rPr>
          <w:rtl/>
        </w:rPr>
        <w:t xml:space="preserve">% לעומת </w:t>
      </w:r>
      <w:r w:rsidRPr="00B26E85">
        <w:rPr>
          <w:rtl/>
        </w:rPr>
        <w:t>האומדן</w:t>
      </w:r>
      <w:r w:rsidRPr="00B26E85">
        <w:rPr>
          <w:rtl/>
        </w:rPr>
        <w:t xml:space="preserve"> הראשוני שעמד על סכום של כ-</w:t>
      </w:r>
      <w:r w:rsidRPr="00B26E85">
        <w:rPr>
          <w:rFonts w:hint="cs"/>
          <w:rtl/>
        </w:rPr>
        <w:t>92</w:t>
      </w:r>
      <w:r w:rsidRPr="00B26E85">
        <w:rPr>
          <w:rtl/>
        </w:rPr>
        <w:t xml:space="preserve"> מיליון ש"ח </w:t>
      </w:r>
      <w:r w:rsidRPr="00B26E85">
        <w:rPr>
          <w:rFonts w:hint="cs"/>
          <w:rtl/>
        </w:rPr>
        <w:t>ו</w:t>
      </w:r>
      <w:r w:rsidRPr="00B26E85">
        <w:rPr>
          <w:rtl/>
        </w:rPr>
        <w:t xml:space="preserve">לא כלל את העלות העקיפה) והן מאישור התקציב של בנק ישראל לפרויקט (גידול של </w:t>
      </w:r>
      <w:r w:rsidR="00847915">
        <w:rPr>
          <w:rtl/>
        </w:rPr>
        <w:br/>
      </w:r>
      <w:r w:rsidRPr="00B26E85">
        <w:rPr>
          <w:rtl/>
        </w:rPr>
        <w:t>כ-</w:t>
      </w:r>
      <w:r w:rsidRPr="00B26E85">
        <w:rPr>
          <w:rFonts w:hint="cs"/>
          <w:rtl/>
        </w:rPr>
        <w:t>19</w:t>
      </w:r>
      <w:r w:rsidRPr="00B26E85">
        <w:rPr>
          <w:rtl/>
        </w:rPr>
        <w:t>% לעומת סכום של כ-</w:t>
      </w:r>
      <w:r w:rsidRPr="00B26E85">
        <w:rPr>
          <w:rFonts w:hint="cs"/>
          <w:rtl/>
        </w:rPr>
        <w:t>214</w:t>
      </w:r>
      <w:r w:rsidRPr="00B26E85">
        <w:rPr>
          <w:rtl/>
        </w:rPr>
        <w:t xml:space="preserve"> מיליון ש"ח שאושר במועצה </w:t>
      </w:r>
      <w:r w:rsidRPr="00B26E85">
        <w:rPr>
          <w:rtl/>
        </w:rPr>
        <w:t>המ</w:t>
      </w:r>
      <w:r w:rsidRPr="00B26E85">
        <w:rPr>
          <w:rFonts w:hint="cs"/>
          <w:rtl/>
        </w:rPr>
        <w:t>י</w:t>
      </w:r>
      <w:r w:rsidRPr="00B26E85">
        <w:rPr>
          <w:rtl/>
        </w:rPr>
        <w:t>נהלית</w:t>
      </w:r>
      <w:r w:rsidRPr="00B26E85">
        <w:rPr>
          <w:rtl/>
        </w:rPr>
        <w:t xml:space="preserve"> במאי 2017 לפני חתימת ההסכם עם ספק ההקמה).</w:t>
      </w:r>
    </w:p>
    <w:p w:rsidR="007040FD" w:rsidP="00E73983" w14:paraId="01A4E655" w14:textId="49C8801A">
      <w:pPr>
        <w:pStyle w:val="7317"/>
        <w:numPr>
          <w:ilvl w:val="0"/>
          <w:numId w:val="10"/>
        </w:numPr>
        <w:rPr>
          <w:rtl/>
        </w:rPr>
      </w:pPr>
      <w:r w:rsidRPr="007040FD">
        <w:rPr>
          <w:rStyle w:val="7371"/>
          <w:rFonts w:hint="eastAsia"/>
          <w:rtl/>
        </w:rPr>
        <w:t>עלות</w:t>
      </w:r>
      <w:r w:rsidRPr="007040FD">
        <w:rPr>
          <w:rStyle w:val="7371"/>
          <w:rtl/>
        </w:rPr>
        <w:t xml:space="preserve"> </w:t>
      </w:r>
      <w:r w:rsidRPr="007040FD">
        <w:rPr>
          <w:rStyle w:val="7371"/>
          <w:rFonts w:hint="eastAsia"/>
          <w:rtl/>
        </w:rPr>
        <w:t>התפעול</w:t>
      </w:r>
      <w:r w:rsidRPr="007040FD">
        <w:rPr>
          <w:rStyle w:val="7371"/>
          <w:rtl/>
        </w:rPr>
        <w:t xml:space="preserve"> </w:t>
      </w:r>
      <w:r w:rsidRPr="007040FD">
        <w:rPr>
          <w:rStyle w:val="7371"/>
          <w:rFonts w:hint="eastAsia"/>
          <w:rtl/>
        </w:rPr>
        <w:t>של</w:t>
      </w:r>
      <w:r w:rsidRPr="007040FD">
        <w:rPr>
          <w:rStyle w:val="7371"/>
          <w:rtl/>
        </w:rPr>
        <w:t xml:space="preserve"> </w:t>
      </w:r>
      <w:r w:rsidRPr="007040FD">
        <w:rPr>
          <w:rStyle w:val="7371"/>
          <w:rFonts w:hint="eastAsia"/>
          <w:rtl/>
        </w:rPr>
        <w:t>המאגר</w:t>
      </w:r>
      <w:r w:rsidRPr="007040FD">
        <w:rPr>
          <w:rStyle w:val="7371"/>
          <w:rtl/>
        </w:rPr>
        <w:t xml:space="preserve"> </w:t>
      </w:r>
      <w:r w:rsidRPr="007040FD">
        <w:rPr>
          <w:rStyle w:val="7371"/>
          <w:rFonts w:hint="eastAsia"/>
          <w:rtl/>
        </w:rPr>
        <w:t>אל</w:t>
      </w:r>
      <w:r w:rsidRPr="007040FD">
        <w:rPr>
          <w:rStyle w:val="7371"/>
          <w:rtl/>
        </w:rPr>
        <w:t xml:space="preserve"> </w:t>
      </w:r>
      <w:r w:rsidRPr="007040FD">
        <w:rPr>
          <w:rStyle w:val="7371"/>
          <w:rFonts w:hint="eastAsia"/>
          <w:rtl/>
        </w:rPr>
        <w:t>מול</w:t>
      </w:r>
      <w:r w:rsidRPr="007040FD">
        <w:rPr>
          <w:rStyle w:val="7371"/>
          <w:rtl/>
        </w:rPr>
        <w:t xml:space="preserve"> </w:t>
      </w:r>
      <w:r w:rsidRPr="007040FD">
        <w:rPr>
          <w:rStyle w:val="7371"/>
          <w:rFonts w:hint="eastAsia"/>
          <w:rtl/>
        </w:rPr>
        <w:t>התועלת</w:t>
      </w:r>
      <w:r w:rsidRPr="007040FD">
        <w:rPr>
          <w:rStyle w:val="7371"/>
          <w:rtl/>
        </w:rPr>
        <w:t xml:space="preserve"> </w:t>
      </w:r>
      <w:r w:rsidRPr="007040FD">
        <w:rPr>
          <w:rStyle w:val="7371"/>
          <w:rFonts w:hint="eastAsia"/>
          <w:rtl/>
        </w:rPr>
        <w:t>שלו</w:t>
      </w:r>
      <w:r w:rsidRPr="007040FD">
        <w:rPr>
          <w:rStyle w:val="7371"/>
          <w:rFonts w:hint="cs"/>
          <w:rtl/>
        </w:rPr>
        <w:t xml:space="preserve"> - </w:t>
      </w:r>
      <w:r w:rsidRPr="00E73983">
        <w:rPr>
          <w:rStyle w:val="7371"/>
          <w:b/>
          <w:bCs w:val="0"/>
          <w:rtl/>
        </w:rPr>
        <w:t>נמצא</w:t>
      </w:r>
      <w:r w:rsidRPr="00B26E85">
        <w:rPr>
          <w:rtl/>
        </w:rPr>
        <w:t xml:space="preserve"> כי על פי ההערכה של אגף התקציבים, התועלת של מאגר נתוני אשראי עומדת של סך של כ-100 מיליון ש"ח בשנה, והעלות השוטפת של המאגר לשנת 2022 מסתכמת </w:t>
      </w:r>
      <w:r w:rsidRPr="00B26E85">
        <w:rPr>
          <w:rFonts w:hint="cs"/>
          <w:rtl/>
        </w:rPr>
        <w:t>ב</w:t>
      </w:r>
      <w:r w:rsidRPr="00B26E85">
        <w:rPr>
          <w:rtl/>
        </w:rPr>
        <w:t xml:space="preserve">כמעט 100 מיליון ש"ח (כ-80 מיליון ש"ח עבור תפעול שוטף נוסף </w:t>
      </w:r>
      <w:r w:rsidRPr="00B26E85">
        <w:rPr>
          <w:rFonts w:hint="cs"/>
          <w:rtl/>
        </w:rPr>
        <w:t>ע</w:t>
      </w:r>
      <w:r w:rsidRPr="00B26E85">
        <w:rPr>
          <w:rtl/>
        </w:rPr>
        <w:t>ל</w:t>
      </w:r>
      <w:r w:rsidRPr="00B26E85">
        <w:rPr>
          <w:rFonts w:hint="cs"/>
          <w:rtl/>
        </w:rPr>
        <w:t xml:space="preserve"> </w:t>
      </w:r>
      <w:r w:rsidRPr="00B26E85">
        <w:rPr>
          <w:rtl/>
        </w:rPr>
        <w:t xml:space="preserve">כ-17 מיליון ש"ח עבור שינויים </w:t>
      </w:r>
      <w:r w:rsidRPr="00B26E85">
        <w:rPr>
          <w:rtl/>
        </w:rPr>
        <w:t>ושיפורים, בסך הכול כ-97 מיליון ש"ח).</w:t>
      </w:r>
      <w:r w:rsidRPr="00B26E85">
        <w:rPr>
          <w:rFonts w:hint="cs"/>
          <w:rtl/>
        </w:rPr>
        <w:t xml:space="preserve"> יצוין כי על פי ההערכה של בנק ישראל התועלות של המאגר גדולות מהערכת אגף תקציבים, אך לא ניתנות לכימות.</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18EE99F7">
      <w:pPr>
        <w:pStyle w:val="7317"/>
        <w:rPr>
          <w:rtl/>
        </w:rPr>
      </w:pPr>
      <w:r w:rsidRPr="007040FD">
        <w:rPr>
          <w:rStyle w:val="7371"/>
          <w:rFonts w:hint="eastAsia"/>
          <w:rtl/>
        </w:rPr>
        <w:t>השימוש</w:t>
      </w:r>
      <w:r w:rsidRPr="007040FD">
        <w:rPr>
          <w:rStyle w:val="7371"/>
          <w:rtl/>
        </w:rPr>
        <w:t xml:space="preserve"> </w:t>
      </w:r>
      <w:r w:rsidRPr="007040FD">
        <w:rPr>
          <w:rStyle w:val="7371"/>
          <w:rFonts w:hint="eastAsia"/>
          <w:rtl/>
        </w:rPr>
        <w:t>הגובר</w:t>
      </w:r>
      <w:r w:rsidRPr="007040FD">
        <w:rPr>
          <w:rStyle w:val="7371"/>
          <w:rtl/>
        </w:rPr>
        <w:t xml:space="preserve"> </w:t>
      </w:r>
      <w:r w:rsidRPr="007040FD">
        <w:rPr>
          <w:rStyle w:val="7371"/>
          <w:rFonts w:hint="eastAsia"/>
          <w:rtl/>
        </w:rPr>
        <w:t>בהפקת</w:t>
      </w:r>
      <w:r w:rsidRPr="007040FD">
        <w:rPr>
          <w:rStyle w:val="7371"/>
          <w:rtl/>
        </w:rPr>
        <w:t xml:space="preserve"> </w:t>
      </w:r>
      <w:r w:rsidRPr="007040FD">
        <w:rPr>
          <w:rStyle w:val="7371"/>
          <w:rFonts w:hint="eastAsia"/>
          <w:rtl/>
        </w:rPr>
        <w:t>דוחות</w:t>
      </w:r>
      <w:r w:rsidRPr="007040FD">
        <w:rPr>
          <w:rStyle w:val="7371"/>
          <w:rtl/>
        </w:rPr>
        <w:t xml:space="preserve"> </w:t>
      </w:r>
      <w:r w:rsidRPr="007040FD">
        <w:rPr>
          <w:rStyle w:val="7371"/>
          <w:rFonts w:hint="eastAsia"/>
          <w:rtl/>
        </w:rPr>
        <w:t>ריכוז</w:t>
      </w:r>
      <w:r w:rsidRPr="007040FD">
        <w:rPr>
          <w:rStyle w:val="7371"/>
          <w:rtl/>
        </w:rPr>
        <w:t xml:space="preserve"> </w:t>
      </w:r>
      <w:r w:rsidRPr="007040FD">
        <w:rPr>
          <w:rStyle w:val="7371"/>
          <w:rFonts w:hint="eastAsia"/>
          <w:rtl/>
        </w:rPr>
        <w:t>נתונים</w:t>
      </w:r>
      <w:r w:rsidRPr="007040FD">
        <w:rPr>
          <w:rStyle w:val="7371"/>
          <w:rtl/>
        </w:rPr>
        <w:t xml:space="preserve"> </w:t>
      </w:r>
      <w:r w:rsidRPr="007040FD">
        <w:rPr>
          <w:rStyle w:val="7371"/>
          <w:rFonts w:hint="eastAsia"/>
          <w:rtl/>
        </w:rPr>
        <w:t>ממאגר</w:t>
      </w:r>
      <w:r w:rsidRPr="007040FD">
        <w:rPr>
          <w:rStyle w:val="7371"/>
          <w:rtl/>
        </w:rPr>
        <w:t xml:space="preserve"> </w:t>
      </w:r>
      <w:r w:rsidRPr="007040FD">
        <w:rPr>
          <w:rStyle w:val="7371"/>
          <w:rFonts w:hint="eastAsia"/>
          <w:rtl/>
        </w:rPr>
        <w:t>נתוני</w:t>
      </w:r>
      <w:r w:rsidRPr="007040FD">
        <w:rPr>
          <w:rStyle w:val="7371"/>
          <w:rtl/>
        </w:rPr>
        <w:t xml:space="preserve"> </w:t>
      </w:r>
      <w:r w:rsidRPr="007040FD">
        <w:rPr>
          <w:rStyle w:val="7371"/>
          <w:rFonts w:hint="eastAsia"/>
          <w:rtl/>
        </w:rPr>
        <w:t>אשראי</w:t>
      </w:r>
      <w:r w:rsidRPr="007040FD">
        <w:rPr>
          <w:rStyle w:val="7371"/>
          <w:rtl/>
        </w:rPr>
        <w:t xml:space="preserve"> -</w:t>
      </w:r>
      <w:r w:rsidRPr="00757A56">
        <w:rPr>
          <w:rtl/>
        </w:rPr>
        <w:t xml:space="preserve"> נתוני הדוחות אשר מופקים מהמאגר מראים כי הולך וגדל השימוש בנתונים ממאגר נתוני אשראי, מהיקף של כ-117</w:t>
      </w:r>
      <w:r w:rsidRPr="00757A56">
        <w:rPr>
          <w:rFonts w:hint="cs"/>
          <w:rtl/>
        </w:rPr>
        <w:t>,000</w:t>
      </w:r>
      <w:r w:rsidRPr="00757A56">
        <w:rPr>
          <w:rtl/>
        </w:rPr>
        <w:t xml:space="preserve"> דוחות בשנת 2019 (אפריל עד דצמבר), כ-151</w:t>
      </w:r>
      <w:r w:rsidRPr="00757A56">
        <w:rPr>
          <w:rFonts w:hint="cs"/>
          <w:rtl/>
        </w:rPr>
        <w:t>,000</w:t>
      </w:r>
      <w:r w:rsidRPr="00757A56">
        <w:rPr>
          <w:rtl/>
        </w:rPr>
        <w:t xml:space="preserve"> דוחות בשנת 2020 </w:t>
      </w:r>
      <w:r w:rsidR="00847915">
        <w:rPr>
          <w:rtl/>
        </w:rPr>
        <w:br/>
      </w:r>
      <w:r w:rsidRPr="00757A56">
        <w:rPr>
          <w:rFonts w:hint="cs"/>
          <w:rtl/>
        </w:rPr>
        <w:t>ו</w:t>
      </w:r>
      <w:r w:rsidRPr="00757A56">
        <w:rPr>
          <w:rtl/>
        </w:rPr>
        <w:t>כ-289</w:t>
      </w:r>
      <w:r w:rsidRPr="00757A56">
        <w:rPr>
          <w:rFonts w:hint="cs"/>
          <w:rtl/>
        </w:rPr>
        <w:t>,000</w:t>
      </w:r>
      <w:r w:rsidRPr="00757A56">
        <w:rPr>
          <w:rtl/>
        </w:rPr>
        <w:t xml:space="preserve"> דוחות בשנת 2021</w:t>
      </w:r>
      <w:r w:rsidRPr="00757A56">
        <w:rPr>
          <w:rFonts w:hint="cs"/>
          <w:rtl/>
        </w:rPr>
        <w:t>,</w:t>
      </w:r>
      <w:r w:rsidRPr="00757A56">
        <w:rPr>
          <w:rtl/>
        </w:rPr>
        <w:t xml:space="preserve"> עד כ-1.09 מיליון דוחות בשנת 2022 (גידול של כ-619% בשנים 2020 </w:t>
      </w:r>
      <w:r w:rsidRPr="00757A56">
        <w:rPr>
          <w:rFonts w:hint="cs"/>
          <w:rtl/>
        </w:rPr>
        <w:t>עד</w:t>
      </w:r>
      <w:r w:rsidRPr="00757A56">
        <w:rPr>
          <w:rtl/>
        </w:rPr>
        <w:t xml:space="preserve"> 2022). גידול של כ-276% ב</w:t>
      </w:r>
      <w:r w:rsidRPr="00757A56">
        <w:rPr>
          <w:rFonts w:hint="cs"/>
          <w:rtl/>
        </w:rPr>
        <w:t>מספר</w:t>
      </w:r>
      <w:r w:rsidRPr="00757A56">
        <w:rPr>
          <w:rtl/>
        </w:rPr>
        <w:t xml:space="preserve"> הדוחות שהופקו בשנים 2021 </w:t>
      </w:r>
      <w:r w:rsidRPr="00757A56">
        <w:rPr>
          <w:rFonts w:hint="cs"/>
          <w:rtl/>
        </w:rPr>
        <w:t xml:space="preserve">עד </w:t>
      </w:r>
      <w:r w:rsidRPr="00757A56">
        <w:rPr>
          <w:rtl/>
        </w:rPr>
        <w:t xml:space="preserve">2022 עשוי להיות מוסבר </w:t>
      </w:r>
      <w:r w:rsidRPr="00757A56">
        <w:rPr>
          <w:rFonts w:hint="cs"/>
          <w:rtl/>
        </w:rPr>
        <w:t xml:space="preserve">באמצעות השירות </w:t>
      </w:r>
      <w:r w:rsidRPr="00757A56">
        <w:rPr>
          <w:rtl/>
        </w:rPr>
        <w:t>של לשכת אשראי שמאפשר ללקוח לקבל עדכונים על שינויים בדירוג האשראי באופן שוטף על בסיס דוח ריכוז נתונים. השימוש הגובר בהפקת דוח ריכוז נתונים הוא הן מצד נותני האשראי אשר מקבלים את הנתונים ומפלחים אותם לשם קבלת הצעה ללקוח, והן מצד הלקוח אשר מקבל תמונה רחבה על מצבו הפיננסי ועל האשראי שהוא צורך. עם זאת, היקף הפניות של</w:t>
      </w:r>
      <w:r w:rsidRPr="00757A56">
        <w:rPr>
          <w:rFonts w:hint="cs"/>
          <w:rtl/>
        </w:rPr>
        <w:t xml:space="preserve"> הציבור בערוצים הניתנים חינם מהווה כ-36% מסך הפניות (כ-387,000 פניות מתוך כ-1.09 מיליון פניות</w:t>
      </w:r>
      <w:r>
        <w:rPr>
          <w:rFonts w:hint="cs"/>
          <w:rtl/>
        </w:rPr>
        <w:t>)</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4CC9806C">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26E85" w:rsidR="007040FD">
        <w:rPr>
          <w:rtl/>
        </w:rPr>
        <w:t>מומלץ כי בנק ישראל ומשרד האוצר יבחנו את מכלול הרפורמות שנועדו להגביר את התחרות בשוק האשראי, תוך בחינת העלויות והתועלות, כדי לקדם את הרפורמות באופן היעיל והמועיל ביותר</w:t>
      </w:r>
      <w:r w:rsidRPr="007C7D40">
        <w:rPr>
          <w:rFonts w:hint="cs"/>
          <w:rtl/>
        </w:rPr>
        <w:t xml:space="preserve">. </w:t>
      </w:r>
    </w:p>
    <w:p w:rsidR="00EB672B" w:rsidRPr="007C7D40" w:rsidP="00EB672B" w14:paraId="723E2ABD" w14:textId="40BDCF61">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26E85" w:rsidR="007040FD">
        <w:rPr>
          <w:rtl/>
        </w:rPr>
        <w:t>מומלץ כי בנק ישראל יגבש מתודולוגיה לבחינת מימוש המטרה של הרחבת הנגישות לאשראי. במידת הצורך מומלץ לקבל נתונים מדגמיים על בקשות אשראי שנדחו לשם בחינה זו</w:t>
      </w:r>
      <w:r w:rsidRPr="007C7D40">
        <w:rPr>
          <w:rtl/>
        </w:rPr>
        <w:t xml:space="preserve">. </w:t>
      </w:r>
    </w:p>
    <w:p w:rsidR="00EB672B" w:rsidRPr="007C7D40" w:rsidP="00EB672B" w14:paraId="55FA89EC" w14:textId="58590D8F">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26E85" w:rsidR="007040FD">
        <w:rPr>
          <w:rtl/>
        </w:rPr>
        <w:t xml:space="preserve">מומלץ כי בנק ישראל ומשרד המשפטים יבחנו דרכים למיגור התופעה שגופים עסקיים מציעים ללקוח לשפר את דירוג האשראי שלו, </w:t>
      </w:r>
      <w:r w:rsidRPr="00B26E85" w:rsidR="007040FD">
        <w:rPr>
          <w:rFonts w:hint="cs"/>
          <w:rtl/>
        </w:rPr>
        <w:t>אך</w:t>
      </w:r>
      <w:r w:rsidRPr="00B26E85" w:rsidR="007040FD">
        <w:rPr>
          <w:rtl/>
        </w:rPr>
        <w:t xml:space="preserve"> בפועל הם מזדהים במערכת באמצעות פרטי הזיהוי האישיים של הלקוח ומבצעים פעולת אי-הכללה במאגר ומי</w:t>
      </w:r>
      <w:r w:rsidRPr="00B26E85" w:rsidR="007040FD">
        <w:rPr>
          <w:rFonts w:hint="cs"/>
          <w:rtl/>
        </w:rPr>
        <w:t>י</w:t>
      </w:r>
      <w:r w:rsidRPr="00B26E85" w:rsidR="007040FD">
        <w:rPr>
          <w:rtl/>
        </w:rPr>
        <w:t xml:space="preserve">ד לאחר מכן הכללה מחדש במאגר, ויגבשו הסדר שיאזן בין שימור זכות הלקוח להגיש בקשה לאי-הכללה לבין ניצול לרעה של זכות אי-ההכללה אשר פוגעת בתכליות החוק. זאת כדי שמבקשי האשראי לא ייפגעו מאותם גופים עסקיים אשר מבקשים להפיק רווח, </w:t>
      </w:r>
      <w:r w:rsidRPr="00B26E85" w:rsidR="007040FD">
        <w:rPr>
          <w:rFonts w:hint="cs"/>
          <w:rtl/>
        </w:rPr>
        <w:t>ו</w:t>
      </w:r>
      <w:r w:rsidRPr="00B26E85" w:rsidR="007040FD">
        <w:rPr>
          <w:rtl/>
        </w:rPr>
        <w:t>בפרט על חשבון האזרחים מרקע חברתי-כלכלי נמוך. במסגרת זו מומלץ לבחון הוספת שדה למאגר נתוני אשראי אשר יציין כי הלקוח הגיש בקשה לאי-הכללה</w:t>
      </w:r>
      <w:r w:rsidRPr="00B26E85" w:rsidR="007040FD">
        <w:rPr>
          <w:rFonts w:hint="cs"/>
          <w:rtl/>
        </w:rPr>
        <w:t>,</w:t>
      </w:r>
      <w:r w:rsidRPr="00B26E85" w:rsidR="007040FD">
        <w:rPr>
          <w:rtl/>
        </w:rPr>
        <w:t xml:space="preserve"> ולאחר זמן שהוגדר במערכת הוחזר למאגר</w:t>
      </w:r>
      <w:r w:rsidRPr="007C7D40">
        <w:rPr>
          <w:rFonts w:hint="cs"/>
          <w:rtl/>
        </w:rPr>
        <w:t>.</w:t>
      </w:r>
    </w:p>
    <w:p w:rsidR="00EB672B" w:rsidRPr="007C7D40" w:rsidP="00EB672B" w14:paraId="078A06EB" w14:textId="10A8C512">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26E85" w:rsidR="007040FD">
        <w:rPr>
          <w:rtl/>
        </w:rPr>
        <w:t xml:space="preserve">מומלץ כי משרד האוצר יפעל להשלמת הקמת הקרן </w:t>
      </w:r>
      <w:r w:rsidRPr="00B26E85" w:rsidR="007040FD">
        <w:rPr>
          <w:rtl/>
        </w:rPr>
        <w:t>למודרי</w:t>
      </w:r>
      <w:r w:rsidRPr="00B26E85" w:rsidR="007040FD">
        <w:rPr>
          <w:rtl/>
        </w:rPr>
        <w:t xml:space="preserve"> אשראי ועל פרסומה לציבור ובחינת אפקטיביות פעילותה לאחר פרק זמן לשם טיוב הפעילות. עוד מומלץ כי משרד האוצר יבחן מסלולים נוספים שיוכלו לסייע לשפר את מצבם הכלכלי של </w:t>
      </w:r>
      <w:r w:rsidRPr="00B26E85" w:rsidR="007040FD">
        <w:rPr>
          <w:rtl/>
        </w:rPr>
        <w:t>מודרי</w:t>
      </w:r>
      <w:r w:rsidRPr="00B26E85" w:rsidR="007040FD">
        <w:rPr>
          <w:rtl/>
        </w:rPr>
        <w:t xml:space="preserve"> האשראי</w:t>
      </w:r>
      <w:r w:rsidRPr="007C7D40">
        <w:rPr>
          <w:rFonts w:hint="cs"/>
          <w:rtl/>
        </w:rPr>
        <w:t>.</w:t>
      </w:r>
    </w:p>
    <w:p w:rsidR="00EB672B" w:rsidRPr="007C7D40" w:rsidP="00EB672B" w14:paraId="5538133A" w14:textId="085BFF2D">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26E85" w:rsidR="007040FD">
        <w:rPr>
          <w:rtl/>
        </w:rPr>
        <w:t>מומלץ כי בנק ישראל</w:t>
      </w:r>
      <w:r w:rsidRPr="00B26E85" w:rsidR="007040FD">
        <w:rPr>
          <w:rFonts w:hint="cs"/>
          <w:rtl/>
        </w:rPr>
        <w:t xml:space="preserve"> יפיק לקחים מהערכת החסר </w:t>
      </w:r>
      <w:r w:rsidRPr="00B26E85" w:rsidR="007040FD">
        <w:rPr>
          <w:rFonts w:hint="cs"/>
          <w:rtl/>
        </w:rPr>
        <w:t>באומדן</w:t>
      </w:r>
      <w:r w:rsidRPr="00B26E85" w:rsidR="007040FD">
        <w:rPr>
          <w:rFonts w:hint="cs"/>
          <w:rtl/>
        </w:rPr>
        <w:t xml:space="preserve"> עלות המאגר,</w:t>
      </w:r>
      <w:r w:rsidRPr="00B26E85" w:rsidR="007040FD">
        <w:rPr>
          <w:rtl/>
        </w:rPr>
        <w:t xml:space="preserve"> י</w:t>
      </w:r>
      <w:r w:rsidRPr="00B26E85" w:rsidR="007040FD">
        <w:rPr>
          <w:rFonts w:hint="cs"/>
          <w:rtl/>
        </w:rPr>
        <w:t>י</w:t>
      </w:r>
      <w:r w:rsidRPr="00B26E85" w:rsidR="007040FD">
        <w:rPr>
          <w:rtl/>
        </w:rPr>
        <w:t xml:space="preserve">ערך מראש להקמה של פרויקטים עסקיים וטכנולוגיים הן מבחינת היקפם והן מבחינת מורכבותם, ויבחן אחת לתקופה את החלופות התקציביות העומדות </w:t>
      </w:r>
      <w:r w:rsidRPr="00B26E85" w:rsidR="007040FD">
        <w:rPr>
          <w:rFonts w:hint="cs"/>
          <w:rtl/>
        </w:rPr>
        <w:t>ל</w:t>
      </w:r>
      <w:r w:rsidRPr="00B26E85" w:rsidR="007040FD">
        <w:rPr>
          <w:rtl/>
        </w:rPr>
        <w:t>פניו תוך קבלת החלטות גם משיקולים תקציביים. כמו כן מומלץ כי בנק ישראל יבצע הליך הפקת לקחים ב</w:t>
      </w:r>
      <w:r w:rsidRPr="00B26E85" w:rsidR="007040FD">
        <w:rPr>
          <w:rFonts w:hint="cs"/>
          <w:rtl/>
        </w:rPr>
        <w:t>נוגע</w:t>
      </w:r>
      <w:r w:rsidRPr="00B26E85" w:rsidR="007040FD">
        <w:rPr>
          <w:rtl/>
        </w:rPr>
        <w:t xml:space="preserve"> לפער שנתגלע בין </w:t>
      </w:r>
      <w:r w:rsidRPr="00B26E85" w:rsidR="007040FD">
        <w:rPr>
          <w:rtl/>
        </w:rPr>
        <w:t>האומדן</w:t>
      </w:r>
      <w:r w:rsidRPr="00B26E85" w:rsidR="007040FD">
        <w:rPr>
          <w:rtl/>
        </w:rPr>
        <w:t xml:space="preserve"> הראשוני להקמת המאגר לבין עלות הקמתו בפועל, וכן יוודא הכללה של עלויות עקיפות כחלק מהעלויות המוצגות בעת אישור הפרויקט</w:t>
      </w:r>
      <w:r w:rsidRPr="007C7D40">
        <w:rPr>
          <w:rFonts w:hint="cs"/>
          <w:rtl/>
        </w:rPr>
        <w:t>.</w:t>
      </w:r>
    </w:p>
    <w:p w:rsidR="005D0F8C" w:rsidP="00EB672B" w14:paraId="6DC28C4F" w14:textId="79C7EED7">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8720"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7002C5CE">
                            <w:pPr>
                              <w:pStyle w:val="7332"/>
                              <w:rPr>
                                <w:rtl/>
                              </w:rPr>
                            </w:pPr>
                            <w:r w:rsidRPr="00E45648">
                              <w:rPr>
                                <w:rtl/>
                              </w:rPr>
                              <w:t>פילוח יתרת החוב של משקי הבית למגזר הפיננסי שלא לדיור, 2017 - 2022 (באחוזים ובמיליארדי ש"ח)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7002C5CE">
                      <w:pPr>
                        <w:pStyle w:val="7332"/>
                        <w:rPr>
                          <w:rtl/>
                        </w:rPr>
                      </w:pPr>
                      <w:r w:rsidRPr="00E45648">
                        <w:rPr>
                          <w:rtl/>
                        </w:rPr>
                        <w:t>פילוח יתרת החוב של משקי הבית למגזר הפיננסי שלא לדיור, 2017 - 2022 (באחוזים ובמיליארדי ש"ח)</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67145" cy="3045279"/>
            <wp:effectExtent l="0" t="0" r="0" b="3175"/>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673457" cy="3049398"/>
                    </a:xfrm>
                    <a:prstGeom prst="rect">
                      <a:avLst/>
                    </a:prstGeom>
                  </pic:spPr>
                </pic:pic>
              </a:graphicData>
            </a:graphic>
          </wp:inline>
        </w:drawing>
      </w:r>
    </w:p>
    <w:p w:rsidR="00E45648" w:rsidRPr="00BA4F2A" w:rsidP="00E45648" w14:paraId="0F70401D" w14:textId="77777777">
      <w:pPr>
        <w:pStyle w:val="738"/>
        <w:spacing w:after="0"/>
        <w:rPr>
          <w:rtl/>
        </w:rPr>
      </w:pPr>
      <w:r w:rsidRPr="00BA4F2A">
        <w:rPr>
          <w:rtl/>
        </w:rPr>
        <w:t>על פי נתוני החטיבה למידע וסטטיסטיקה בבנק ישראל ודוח הוועדה לבחינת התחרות בשוק האשראי, בעיבוד משרד מבקר המדינה.</w:t>
      </w:r>
    </w:p>
    <w:p w:rsidR="00E45648" w:rsidP="00E45648" w14:paraId="6058585F" w14:textId="0CE7F96D">
      <w:pPr>
        <w:pStyle w:val="738"/>
        <w:spacing w:before="0"/>
        <w:ind w:left="424" w:hanging="424"/>
        <w:rPr>
          <w:rtl/>
        </w:rPr>
      </w:pPr>
      <w:r w:rsidRPr="00BA4F2A">
        <w:rPr>
          <w:rtl/>
        </w:rPr>
        <w:t xml:space="preserve">* </w:t>
      </w:r>
      <w:r>
        <w:rPr>
          <w:rtl/>
        </w:rPr>
        <w:tab/>
      </w:r>
      <w:r w:rsidRPr="00BA4F2A">
        <w:rPr>
          <w:rFonts w:hint="eastAsia"/>
          <w:rtl/>
        </w:rPr>
        <w:t>גופים</w:t>
      </w:r>
      <w:r w:rsidRPr="00BA4F2A">
        <w:rPr>
          <w:rtl/>
        </w:rPr>
        <w:t xml:space="preserve"> </w:t>
      </w:r>
      <w:r w:rsidRPr="00BA4F2A">
        <w:rPr>
          <w:rFonts w:hint="eastAsia"/>
          <w:rtl/>
        </w:rPr>
        <w:t>מוסדרים</w:t>
      </w:r>
      <w:r>
        <w:rPr>
          <w:rStyle w:val="FootnoteReference2"/>
          <w:rtl/>
        </w:rPr>
        <w:footnoteReference w:id="6"/>
      </w:r>
      <w:r w:rsidRPr="00BA4F2A">
        <w:rPr>
          <w:rtl/>
        </w:rPr>
        <w:t xml:space="preserve"> מוצגים על פי הדיווח בוועדה לבחינת התחרות בשוק האשראי; השינוי ב-2022 לעומת 2021 נמדד לפי קצב השינוי.</w:t>
      </w:r>
    </w:p>
    <w:p w:rsidR="00362505" w:rsidP="00D57BE9" w14:paraId="0DA8F7B9" w14:textId="16F350D2">
      <w:pPr>
        <w:pStyle w:val="738"/>
        <w:rPr>
          <w:rtl/>
        </w:rPr>
      </w:pPr>
    </w:p>
    <w:p w:rsidR="000B31AA" w:rsidRPr="000B31AA" w:rsidP="00662020" w14:paraId="1001632A" w14:textId="2A08152E">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260EEEF8">
                              <w:pPr>
                                <w:pStyle w:val="7332"/>
                              </w:pPr>
                              <w:r w:rsidRPr="00E45648">
                                <w:rPr>
                                  <w:rtl/>
                                </w:rPr>
                                <w:t>פניות לשכות אשראי למאגר לשם קבלת מידע, 2019 - 2022</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28" o:title=""/>
                </v:shape>
                <v:shape id="_x0000_s1037" type="#_x0000_t202" style="width:44284;height:3476;left:2028;mso-wrap-style:square;position:absolute;top:2665;visibility:visible;v-text-anchor:middle" fillcolor="#f05260" stroked="f">
                  <v:textbox>
                    <w:txbxContent>
                      <w:p w:rsidR="000B31AA" w:rsidRPr="00524400" w:rsidP="00524400" w14:paraId="64B50804" w14:textId="260EEEF8">
                        <w:pPr>
                          <w:pStyle w:val="7332"/>
                        </w:pPr>
                        <w:r w:rsidRPr="00E45648">
                          <w:rPr>
                            <w:rtl/>
                          </w:rPr>
                          <w:t>פניות לשכות אשראי למאגר לשם קבלת מידע, 2019 - 2022</w:t>
                        </w:r>
                      </w:p>
                    </w:txbxContent>
                  </v:textbox>
                </v:shape>
                <w10:wrap type="square"/>
              </v:group>
            </w:pict>
          </mc:Fallback>
        </mc:AlternateContent>
      </w:r>
    </w:p>
    <w:p w:rsidR="00E45648" w:rsidP="00E45648" w14:paraId="5C1AE375" w14:textId="029A9DAC">
      <w:r>
        <w:rPr>
          <w:noProof/>
          <w:rtl/>
          <w:lang w:val="he-IL"/>
        </w:rPr>
        <w:drawing>
          <wp:inline distT="0" distB="0" distL="0" distR="0">
            <wp:extent cx="4679950" cy="2600325"/>
            <wp:effectExtent l="0" t="0" r="0" b="0"/>
            <wp:docPr id="4406616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61665" name="תמונה 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4693839" cy="2608042"/>
                    </a:xfrm>
                    <a:prstGeom prst="rect">
                      <a:avLst/>
                    </a:prstGeom>
                  </pic:spPr>
                </pic:pic>
              </a:graphicData>
            </a:graphic>
          </wp:inline>
        </w:drawing>
      </w:r>
    </w:p>
    <w:p w:rsidR="00E73983" w:rsidRPr="00E73983" w:rsidP="00E73983" w14:paraId="24D2C8A3" w14:textId="77777777">
      <w:pPr>
        <w:pStyle w:val="738"/>
        <w:rPr>
          <w:rtl/>
        </w:rPr>
      </w:pPr>
      <w:r w:rsidRPr="00E73983">
        <w:rPr>
          <w:rFonts w:hint="eastAsia"/>
          <w:rtl/>
        </w:rPr>
        <w:t>על</w:t>
      </w:r>
      <w:r w:rsidRPr="00E73983">
        <w:rPr>
          <w:rtl/>
        </w:rPr>
        <w:t xml:space="preserve"> </w:t>
      </w:r>
      <w:r w:rsidRPr="00E73983">
        <w:rPr>
          <w:rFonts w:hint="eastAsia"/>
          <w:rtl/>
        </w:rPr>
        <w:t>פי</w:t>
      </w:r>
      <w:r w:rsidRPr="00E73983">
        <w:rPr>
          <w:rtl/>
        </w:rPr>
        <w:t xml:space="preserve"> </w:t>
      </w:r>
      <w:r w:rsidRPr="00E73983">
        <w:rPr>
          <w:rFonts w:hint="eastAsia"/>
          <w:rtl/>
        </w:rPr>
        <w:t>דיווחי</w:t>
      </w:r>
      <w:r w:rsidRPr="00E73983">
        <w:rPr>
          <w:rtl/>
        </w:rPr>
        <w:t xml:space="preserve"> </w:t>
      </w:r>
      <w:r w:rsidRPr="00E73983">
        <w:rPr>
          <w:rFonts w:hint="eastAsia"/>
          <w:rtl/>
        </w:rPr>
        <w:t>נגיד</w:t>
      </w:r>
      <w:r w:rsidRPr="00E73983">
        <w:rPr>
          <w:rtl/>
        </w:rPr>
        <w:t xml:space="preserve"> </w:t>
      </w:r>
      <w:r w:rsidRPr="00E73983">
        <w:rPr>
          <w:rFonts w:hint="eastAsia"/>
          <w:rtl/>
        </w:rPr>
        <w:t>בנק</w:t>
      </w:r>
      <w:r w:rsidRPr="00E73983">
        <w:rPr>
          <w:rtl/>
        </w:rPr>
        <w:t xml:space="preserve"> </w:t>
      </w:r>
      <w:r w:rsidRPr="00E73983">
        <w:rPr>
          <w:rFonts w:hint="eastAsia"/>
          <w:rtl/>
        </w:rPr>
        <w:t>ישראל</w:t>
      </w:r>
      <w:r w:rsidRPr="00E73983">
        <w:rPr>
          <w:rtl/>
        </w:rPr>
        <w:t xml:space="preserve"> </w:t>
      </w:r>
      <w:r w:rsidRPr="00E73983">
        <w:rPr>
          <w:rFonts w:hint="eastAsia"/>
          <w:rtl/>
        </w:rPr>
        <w:t>לוועדת</w:t>
      </w:r>
      <w:r w:rsidRPr="00E73983">
        <w:rPr>
          <w:rtl/>
        </w:rPr>
        <w:t xml:space="preserve"> </w:t>
      </w:r>
      <w:r w:rsidRPr="00E73983">
        <w:rPr>
          <w:rFonts w:hint="eastAsia"/>
          <w:rtl/>
        </w:rPr>
        <w:t>הכלכלה</w:t>
      </w:r>
      <w:r w:rsidRPr="00E73983">
        <w:rPr>
          <w:rtl/>
        </w:rPr>
        <w:t xml:space="preserve"> </w:t>
      </w:r>
      <w:r w:rsidRPr="00E73983">
        <w:rPr>
          <w:rFonts w:hint="eastAsia"/>
          <w:rtl/>
        </w:rPr>
        <w:t>של</w:t>
      </w:r>
      <w:r w:rsidRPr="00E73983">
        <w:rPr>
          <w:rtl/>
        </w:rPr>
        <w:t xml:space="preserve"> </w:t>
      </w:r>
      <w:r w:rsidRPr="00E73983">
        <w:rPr>
          <w:rFonts w:hint="eastAsia"/>
          <w:rtl/>
        </w:rPr>
        <w:t>הכנסת</w:t>
      </w:r>
      <w:r w:rsidRPr="00E73983">
        <w:rPr>
          <w:rtl/>
        </w:rPr>
        <w:t xml:space="preserve">, </w:t>
      </w:r>
      <w:r w:rsidRPr="00E73983">
        <w:rPr>
          <w:rFonts w:hint="eastAsia"/>
          <w:rtl/>
        </w:rPr>
        <w:t>בעיבוד</w:t>
      </w:r>
      <w:r w:rsidRPr="00E73983">
        <w:rPr>
          <w:rtl/>
        </w:rPr>
        <w:t xml:space="preserve"> </w:t>
      </w:r>
      <w:r w:rsidRPr="00E73983">
        <w:rPr>
          <w:rFonts w:hint="eastAsia"/>
          <w:rtl/>
        </w:rPr>
        <w:t>משרד</w:t>
      </w:r>
      <w:r w:rsidRPr="00E73983">
        <w:rPr>
          <w:rtl/>
        </w:rPr>
        <w:t xml:space="preserve"> </w:t>
      </w:r>
      <w:r w:rsidRPr="00E73983">
        <w:rPr>
          <w:rFonts w:hint="eastAsia"/>
          <w:rtl/>
        </w:rPr>
        <w:t>מבקר</w:t>
      </w:r>
      <w:r w:rsidRPr="00E73983">
        <w:rPr>
          <w:rtl/>
        </w:rPr>
        <w:t xml:space="preserve"> </w:t>
      </w:r>
      <w:r w:rsidRPr="00E73983">
        <w:rPr>
          <w:rFonts w:hint="eastAsia"/>
          <w:rtl/>
        </w:rPr>
        <w:t>המדינה</w:t>
      </w:r>
      <w:r w:rsidRPr="00E73983">
        <w:rPr>
          <w:rtl/>
        </w:rPr>
        <w:t>.</w:t>
      </w:r>
    </w:p>
    <w:p w:rsidR="00E73983" w:rsidP="00E45648" w14:paraId="39A25CE6" w14:textId="77777777">
      <w:pPr>
        <w:rPr>
          <w:rtl/>
        </w:rPr>
      </w:pPr>
    </w:p>
    <w:p w:rsidR="00E45648" w14:paraId="009F71BB" w14:textId="77777777">
      <w:pPr>
        <w:bidi w:val="0"/>
        <w:spacing w:after="200" w:line="276" w:lineRule="auto"/>
        <w:rPr>
          <w:rtl/>
        </w:rPr>
      </w:pPr>
      <w:r>
        <w:rPr>
          <w:rtl/>
        </w:rPr>
        <w:br w:type="page"/>
      </w:r>
    </w:p>
    <w:p w:rsidR="004E71DD" w:rsidP="004E71DD" w14:paraId="7C33D7DD" w14:textId="7A449BE3">
      <w:pPr>
        <w:pStyle w:val="73"/>
        <w:rPr>
          <w:rtl/>
        </w:rPr>
      </w:pPr>
      <w:r w:rsidRPr="00EF3061">
        <w:rPr>
          <w:rFonts w:hint="cs"/>
          <w:rtl/>
        </w:rPr>
        <w:t>סיכום</w:t>
      </w:r>
    </w:p>
    <w:p w:rsidR="00E45648" w:rsidRPr="00246AD7" w:rsidP="00E45648" w14:paraId="14E35260" w14:textId="77777777">
      <w:pPr>
        <w:widowControl w:val="0"/>
        <w:tabs>
          <w:tab w:val="left" w:pos="9604"/>
        </w:tabs>
        <w:spacing w:before="240" w:line="276" w:lineRule="auto"/>
        <w:ind w:left="-1"/>
        <w:rPr>
          <w:rFonts w:ascii="Tahoma" w:hAnsi="Tahoma" w:cs="Tahoma"/>
          <w:sz w:val="18"/>
          <w:szCs w:val="18"/>
          <w:rtl/>
        </w:rPr>
      </w:pPr>
      <w:r w:rsidRPr="00246AD7">
        <w:rPr>
          <w:rFonts w:ascii="Tahoma" w:hAnsi="Tahoma" w:cs="Tahoma"/>
          <w:sz w:val="18"/>
          <w:szCs w:val="18"/>
          <w:rtl/>
        </w:rPr>
        <w:t>מאגר נתוני אשראי, שהוקם על ידי בנק ישראל והחל לפעול באפריל 2019, נועד לשפר את השקיפות בשוק האשראי הישראלי, להגביר את התחרות על לקוחות אשראי שמחזירים את חובותיהם ולהעניק לגופי האשראי במשק הישראלי מידע נרחב, שוטף ומעודכן על ההיסטוריה והרגלי האשראי של מבקשי ההלוואות, מתוך ניסיון להעריך את יכולת ההחזר שלהם. בביקורת נמצא כי העלות הישירה להקמת המאגר עמדה על כ-255 מיליון ש"ח (חריגה של כ-</w:t>
      </w:r>
      <w:r w:rsidRPr="00246AD7">
        <w:rPr>
          <w:rFonts w:ascii="Tahoma" w:hAnsi="Tahoma" w:cs="Tahoma" w:hint="cs"/>
          <w:sz w:val="18"/>
          <w:szCs w:val="18"/>
          <w:rtl/>
        </w:rPr>
        <w:t>177</w:t>
      </w:r>
      <w:r w:rsidRPr="00246AD7">
        <w:rPr>
          <w:rFonts w:ascii="Tahoma" w:hAnsi="Tahoma" w:cs="Tahoma"/>
          <w:sz w:val="18"/>
          <w:szCs w:val="18"/>
          <w:rtl/>
        </w:rPr>
        <w:t xml:space="preserve">% מן </w:t>
      </w:r>
      <w:r w:rsidRPr="00246AD7">
        <w:rPr>
          <w:rFonts w:ascii="Tahoma" w:hAnsi="Tahoma" w:cs="Tahoma"/>
          <w:sz w:val="18"/>
          <w:szCs w:val="18"/>
          <w:rtl/>
        </w:rPr>
        <w:t>האומדן</w:t>
      </w:r>
      <w:r w:rsidRPr="00246AD7">
        <w:rPr>
          <w:rFonts w:ascii="Tahoma" w:hAnsi="Tahoma" w:cs="Tahoma"/>
          <w:sz w:val="18"/>
          <w:szCs w:val="18"/>
          <w:rtl/>
        </w:rPr>
        <w:t xml:space="preserve"> הראשוני), וכי העלות העקיפה להקמת המאגר, אשר לא </w:t>
      </w:r>
      <w:r w:rsidRPr="00246AD7">
        <w:rPr>
          <w:rFonts w:ascii="Tahoma" w:hAnsi="Tahoma" w:cs="Tahoma" w:hint="cs"/>
          <w:sz w:val="18"/>
          <w:szCs w:val="18"/>
          <w:rtl/>
        </w:rPr>
        <w:t>הובאה</w:t>
      </w:r>
      <w:r w:rsidRPr="00246AD7">
        <w:rPr>
          <w:rFonts w:ascii="Tahoma" w:hAnsi="Tahoma" w:cs="Tahoma"/>
          <w:sz w:val="18"/>
          <w:szCs w:val="18"/>
          <w:rtl/>
        </w:rPr>
        <w:t xml:space="preserve"> בחשבון בעת ההקמה, מוערכת בכ-32 מיליון ש"ח, כך שסך עלות ההקמה של המאגר מוערכת בכ-287 מיליון ש"ח. עוד נמצא כי עלות התפעול לשנת 2022 עמדה על כ-97 מיליון ש"ח אל מול הערכה של אגף התקציבים במשרד האוצר כי התועלת של מאגר נתוני אשראי עומדת על כ-100 מיליון ש"ח בשנה. </w:t>
      </w:r>
    </w:p>
    <w:p w:rsidR="00E45648" w:rsidRPr="00246AD7" w:rsidP="00E45648" w14:paraId="64DE0477" w14:textId="77777777">
      <w:pPr>
        <w:widowControl w:val="0"/>
        <w:tabs>
          <w:tab w:val="left" w:pos="9604"/>
        </w:tabs>
        <w:spacing w:before="240" w:line="276" w:lineRule="auto"/>
        <w:ind w:left="-1"/>
        <w:rPr>
          <w:rFonts w:ascii="Tahoma" w:hAnsi="Tahoma" w:cs="Tahoma"/>
          <w:sz w:val="18"/>
          <w:szCs w:val="18"/>
          <w:rtl/>
        </w:rPr>
      </w:pPr>
      <w:r w:rsidRPr="00246AD7">
        <w:rPr>
          <w:rFonts w:ascii="Tahoma" w:hAnsi="Tahoma" w:cs="Tahoma"/>
          <w:sz w:val="18"/>
          <w:szCs w:val="18"/>
          <w:rtl/>
        </w:rPr>
        <w:t xml:space="preserve">על אף עלות ההקמה והתפעול של המאגר, </w:t>
      </w:r>
      <w:r w:rsidRPr="00246AD7">
        <w:rPr>
          <w:rFonts w:ascii="Tahoma" w:hAnsi="Tahoma" w:cs="Tahoma" w:hint="cs"/>
          <w:sz w:val="18"/>
          <w:szCs w:val="18"/>
          <w:rtl/>
        </w:rPr>
        <w:t>לא נמצא ש</w:t>
      </w:r>
      <w:r w:rsidRPr="00246AD7">
        <w:rPr>
          <w:rFonts w:ascii="Tahoma" w:hAnsi="Tahoma" w:cs="Tahoma"/>
          <w:sz w:val="18"/>
          <w:szCs w:val="18"/>
          <w:rtl/>
        </w:rPr>
        <w:t>מטרות החוק הוגשמו במלואן</w:t>
      </w:r>
      <w:r w:rsidRPr="00246AD7">
        <w:rPr>
          <w:rFonts w:ascii="Tahoma" w:hAnsi="Tahoma" w:cs="Tahoma" w:hint="cs"/>
          <w:sz w:val="18"/>
          <w:szCs w:val="18"/>
          <w:rtl/>
        </w:rPr>
        <w:t>,</w:t>
      </w:r>
      <w:r w:rsidRPr="00246AD7">
        <w:rPr>
          <w:rFonts w:ascii="Tahoma" w:hAnsi="Tahoma" w:cs="Tahoma"/>
          <w:sz w:val="18"/>
          <w:szCs w:val="18"/>
          <w:rtl/>
        </w:rPr>
        <w:t xml:space="preserve"> ונמצא כי אין ביכולתו של בנק ישראל לבחון את היישום של חלק נרחב ממטרות החוק, כדוגמת הרחבת הנגישות לאשראי וצמצום ההפליה במתן אשראי והפערים הכלכליים. אשר להגברת התחרות בשוק האשראי למשקי הבית שלא לדיור, אשר היקף יתרות החוב בו לסוף שנת 2022 עמד על כ-233 מיליארד ש"ח, נמצא כי המאגר לא השפיע על מעבר של לקוחות בין תאגידים בנקאיים או על הוזלת האשראי ללקוחות חדשים. בנק ישראל מציין א</w:t>
      </w:r>
      <w:r w:rsidRPr="00246AD7">
        <w:rPr>
          <w:rFonts w:ascii="Tahoma" w:hAnsi="Tahoma" w:cs="Tahoma" w:hint="cs"/>
          <w:sz w:val="18"/>
          <w:szCs w:val="18"/>
          <w:rtl/>
        </w:rPr>
        <w:t>ו</w:t>
      </w:r>
      <w:r w:rsidRPr="00246AD7">
        <w:rPr>
          <w:rFonts w:ascii="Tahoma" w:hAnsi="Tahoma" w:cs="Tahoma"/>
          <w:sz w:val="18"/>
          <w:szCs w:val="18"/>
          <w:rtl/>
        </w:rPr>
        <w:t>מנם כי פער הריביות בין לווים בלעדיים ללא בלעדיים הצטמצם בעקבות הקמת המאגר אך גם שינוי זה לא היה מהותי. כמו כן נמצא כי המאגר לא תרם להגברת התחרות בשוק האשראי למשקי הבית לדיור, שוק אשר יתרות החוב בו לסוף שנת 2022 עמדו על כ-536 מיליארד ש"ח.</w:t>
      </w:r>
    </w:p>
    <w:p w:rsidR="00E45648" w:rsidRPr="00246AD7" w:rsidP="00E45648" w14:paraId="1B882ECC" w14:textId="77777777">
      <w:pPr>
        <w:widowControl w:val="0"/>
        <w:tabs>
          <w:tab w:val="left" w:pos="9604"/>
        </w:tabs>
        <w:spacing w:before="240" w:line="276" w:lineRule="auto"/>
        <w:ind w:left="-1"/>
        <w:rPr>
          <w:rFonts w:ascii="Tahoma" w:hAnsi="Tahoma" w:cs="Tahoma"/>
          <w:sz w:val="18"/>
          <w:szCs w:val="18"/>
          <w:rtl/>
        </w:rPr>
      </w:pPr>
      <w:r w:rsidRPr="00246AD7">
        <w:rPr>
          <w:rFonts w:ascii="Tahoma" w:hAnsi="Tahoma" w:cs="Tahoma"/>
          <w:sz w:val="18"/>
          <w:szCs w:val="18"/>
          <w:rtl/>
        </w:rPr>
        <w:t>במועד סיום דוח הביקורת של משרד מבקר המדינה סביבת הריבית בישראל ובעולם עלתה</w:t>
      </w:r>
      <w:r w:rsidRPr="00246AD7">
        <w:rPr>
          <w:rFonts w:ascii="Tahoma" w:hAnsi="Tahoma" w:cs="Tahoma" w:hint="cs"/>
          <w:sz w:val="18"/>
          <w:szCs w:val="18"/>
          <w:rtl/>
        </w:rPr>
        <w:t>,</w:t>
      </w:r>
      <w:r w:rsidRPr="00246AD7">
        <w:rPr>
          <w:rFonts w:ascii="Tahoma" w:hAnsi="Tahoma" w:cs="Tahoma"/>
          <w:sz w:val="18"/>
          <w:szCs w:val="18"/>
          <w:rtl/>
        </w:rPr>
        <w:t xml:space="preserve"> ו</w:t>
      </w:r>
      <w:r w:rsidRPr="00246AD7">
        <w:rPr>
          <w:rFonts w:ascii="Tahoma" w:hAnsi="Tahoma" w:cs="Tahoma" w:hint="cs"/>
          <w:sz w:val="18"/>
          <w:szCs w:val="18"/>
          <w:rtl/>
        </w:rPr>
        <w:t>לפי</w:t>
      </w:r>
      <w:r w:rsidRPr="00246AD7">
        <w:rPr>
          <w:rFonts w:ascii="Tahoma" w:hAnsi="Tahoma" w:cs="Tahoma"/>
          <w:sz w:val="18"/>
          <w:szCs w:val="18"/>
          <w:rtl/>
        </w:rPr>
        <w:t xml:space="preserve">כך </w:t>
      </w:r>
      <w:r w:rsidRPr="00246AD7">
        <w:rPr>
          <w:rFonts w:ascii="Tahoma" w:hAnsi="Tahoma" w:cs="Tahoma" w:hint="cs"/>
          <w:sz w:val="18"/>
          <w:szCs w:val="18"/>
          <w:rtl/>
        </w:rPr>
        <w:t xml:space="preserve">גדלו עוד יותר </w:t>
      </w:r>
      <w:r w:rsidRPr="00246AD7">
        <w:rPr>
          <w:rFonts w:ascii="Tahoma" w:hAnsi="Tahoma" w:cs="Tahoma"/>
          <w:sz w:val="18"/>
          <w:szCs w:val="18"/>
          <w:rtl/>
        </w:rPr>
        <w:t xml:space="preserve">חשיבות המאגר והשפעתו. על בנק ישראל, ובכלל זה כל הגורמים הנושאים באחריות מתוקף חוק נתוני אשראי לרבות הממונה על שיתוף בנתוני אשראי, לפעול לתיקון הליקויים שעלו בדוח זה וליישום ההמלצות </w:t>
      </w:r>
      <w:r w:rsidRPr="00246AD7">
        <w:rPr>
          <w:rFonts w:ascii="Tahoma" w:hAnsi="Tahoma" w:cs="Tahoma" w:hint="cs"/>
          <w:sz w:val="18"/>
          <w:szCs w:val="18"/>
          <w:rtl/>
        </w:rPr>
        <w:t>כדי</w:t>
      </w:r>
      <w:r w:rsidRPr="00246AD7">
        <w:rPr>
          <w:rFonts w:ascii="Tahoma" w:hAnsi="Tahoma" w:cs="Tahoma"/>
          <w:sz w:val="18"/>
          <w:szCs w:val="18"/>
          <w:rtl/>
        </w:rPr>
        <w:t xml:space="preserve"> לשפר את נגישות כלל אזרחי ישראל לאשראי ולפעול להגברת התועלות מהמאגר ובכך לתרום להגברת התחרות והוזלת מקורות האשראי בישראל.</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B3182B">
          <w:headerReference w:type="even" r:id="rId30"/>
          <w:footerReference w:type="even" r:id="rId31"/>
          <w:pgSz w:w="11906" w:h="16838" w:code="9"/>
          <w:pgMar w:top="3062" w:right="2268" w:bottom="2552" w:left="2268" w:header="1134" w:footer="1361" w:gutter="0"/>
          <w:pgNumType w:start="37"/>
          <w:cols w:space="708"/>
          <w:bidi/>
          <w:rtlGutter/>
          <w:docGrid w:linePitch="360"/>
        </w:sectPr>
      </w:pPr>
    </w:p>
    <w:p w:rsidR="00E45648" w:rsidRPr="00E45648" w:rsidP="0024319D" w14:paraId="3E98EB42" w14:textId="744F2148">
      <w:pPr>
        <w:pStyle w:val="731"/>
        <w:bidi/>
        <w:rPr>
          <w:rtl/>
        </w:rPr>
      </w:pPr>
    </w:p>
    <w:sectPr w:rsidSect="00F35B8C">
      <w:headerReference w:type="default" r:id="rId32"/>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E28E6" w14:paraId="3DC288D2" w14:textId="77777777">
      <w:pPr>
        <w:spacing w:line="240" w:lineRule="auto"/>
      </w:pPr>
      <w:r>
        <w:separator/>
      </w:r>
    </w:p>
    <w:p w:rsidR="005E28E6" w14:paraId="6B07B315" w14:textId="77777777"/>
    <w:p w:rsidR="005E28E6" w14:paraId="216E21D2" w14:textId="77777777"/>
    <w:p w:rsidR="005E28E6" w14:paraId="19142C10" w14:textId="77777777"/>
  </w:endnote>
  <w:endnote w:type="continuationSeparator" w:id="1">
    <w:p w:rsidR="005E28E6" w14:paraId="1B1775F5" w14:textId="77777777">
      <w:pPr>
        <w:spacing w:line="240" w:lineRule="auto"/>
      </w:pPr>
      <w:r>
        <w:continuationSeparator/>
      </w:r>
    </w:p>
    <w:p w:rsidR="005E28E6" w14:paraId="6E14F059" w14:textId="77777777"/>
    <w:p w:rsidR="005E28E6" w14:paraId="345576F3" w14:textId="77777777"/>
    <w:p w:rsidR="005E28E6" w14:paraId="4DC122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altName w:val="Malgun Gothic Semilight"/>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D79" w14:paraId="2D1F0A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D79" w14:paraId="3D53E58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28E6" w:rsidP="00E7235E" w14:paraId="413024CC" w14:textId="77777777">
      <w:pPr>
        <w:spacing w:line="240" w:lineRule="auto"/>
      </w:pPr>
      <w:r>
        <w:separator/>
      </w:r>
    </w:p>
  </w:footnote>
  <w:footnote w:type="continuationSeparator" w:id="1">
    <w:p w:rsidR="005E28E6" w:rsidP="00C23CC9" w14:paraId="7FA9D0EC" w14:textId="77777777">
      <w:pPr>
        <w:spacing w:line="240" w:lineRule="auto"/>
      </w:pPr>
      <w:r>
        <w:continuationSeparator/>
      </w:r>
    </w:p>
    <w:p w:rsidR="005E28E6" w14:paraId="30C0EAF1" w14:textId="77777777"/>
    <w:p w:rsidR="005E28E6" w14:paraId="7401E71B" w14:textId="77777777"/>
    <w:p w:rsidR="005E28E6" w14:paraId="080BE28F" w14:textId="77777777"/>
  </w:footnote>
  <w:footnote w:id="2">
    <w:p w:rsidR="00E862D6" w:rsidRPr="007040FD" w:rsidP="000C2DFA" w14:paraId="19CE7CF0" w14:textId="77777777">
      <w:pPr>
        <w:pStyle w:val="733"/>
        <w:rPr>
          <w:rtl/>
        </w:rPr>
      </w:pPr>
      <w:r w:rsidRPr="007040FD">
        <w:rPr>
          <w:rStyle w:val="FootnoteReference2"/>
          <w:vertAlign w:val="baseline"/>
        </w:rPr>
        <w:footnoteRef/>
      </w:r>
      <w:r w:rsidRPr="007040FD">
        <w:rPr>
          <w:rtl/>
        </w:rPr>
        <w:t xml:space="preserve"> </w:t>
      </w:r>
      <w:r w:rsidRPr="007040FD">
        <w:rPr>
          <w:rtl/>
        </w:rPr>
        <w:tab/>
        <w:t>התאגיד הבנקאי שבו הלקוח מנהל את חשבון העובר ושב שלו יודע שהלקוח מתקשה לעבור לתאגיד בנקאי אחר ולכן יכול לגבות פרמיה עודפת מאותו הלקוח.</w:t>
      </w:r>
    </w:p>
  </w:footnote>
  <w:footnote w:id="3">
    <w:p w:rsidR="007040FD" w:rsidRPr="007040FD" w:rsidP="000C2DFA" w14:paraId="20913B46" w14:textId="77777777">
      <w:pPr>
        <w:pStyle w:val="733"/>
      </w:pPr>
      <w:r w:rsidRPr="007040FD">
        <w:rPr>
          <w:rStyle w:val="FootnoteReference2"/>
          <w:vertAlign w:val="baseline"/>
        </w:rPr>
        <w:footnoteRef/>
      </w:r>
      <w:r w:rsidRPr="007040FD">
        <w:rPr>
          <w:rtl/>
        </w:rPr>
        <w:t xml:space="preserve"> </w:t>
      </w:r>
      <w:r w:rsidRPr="007040FD">
        <w:rPr>
          <w:rtl/>
        </w:rPr>
        <w:tab/>
        <w:t>פריקות הסל הפיננסי היא צריכת מוצרים פיננסיים אחרים מספקים שונים, כלומר: גם אם הצרכן מנהל חשבון עו"ש בבנק אחד, הוא צורך במוסד פיננסי אחר שירות פיננסי נוסף, אף ששירות זה נכלל גם בסל השירותים הפיננסיים של הבנק שבו הוא מנהל את חשבון העו"ש.</w:t>
      </w:r>
    </w:p>
  </w:footnote>
  <w:footnote w:id="4">
    <w:p w:rsidR="007040FD" w:rsidRPr="007040FD" w:rsidP="000C2DFA" w14:paraId="157795D1" w14:textId="77777777">
      <w:pPr>
        <w:pStyle w:val="733"/>
      </w:pPr>
      <w:r w:rsidRPr="007040FD">
        <w:rPr>
          <w:rStyle w:val="FootnoteReference2"/>
          <w:vertAlign w:val="baseline"/>
        </w:rPr>
        <w:footnoteRef/>
      </w:r>
      <w:r w:rsidRPr="007040FD">
        <w:rPr>
          <w:rtl/>
        </w:rPr>
        <w:t xml:space="preserve"> </w:t>
      </w:r>
      <w:r w:rsidRPr="007040FD">
        <w:rPr>
          <w:rtl/>
        </w:rPr>
        <w:tab/>
        <w:t>ועדת היגוי בין משרדית בראשות המשנה לנגידת בנק ישראל ומנכ"ל האוצר. תפקידי הוועדה, בין היתר, הם ללוות את הטיפול בהקמת המאגר ולדון בסוגיות המקצועיות המרכזיות הקשורות לפרויקט.</w:t>
      </w:r>
    </w:p>
  </w:footnote>
  <w:footnote w:id="5">
    <w:p w:rsidR="007040FD" w:rsidRPr="007040FD" w:rsidP="000C2DFA" w14:paraId="669F6BB0" w14:textId="77777777">
      <w:pPr>
        <w:pStyle w:val="733"/>
      </w:pPr>
      <w:r w:rsidRPr="007040FD">
        <w:rPr>
          <w:rStyle w:val="FootnoteReference2"/>
          <w:vertAlign w:val="baseline"/>
        </w:rPr>
        <w:footnoteRef/>
      </w:r>
      <w:r w:rsidRPr="007040FD">
        <w:rPr>
          <w:rtl/>
        </w:rPr>
        <w:t xml:space="preserve"> </w:t>
      </w:r>
      <w:r w:rsidRPr="007040FD">
        <w:rPr>
          <w:rtl/>
        </w:rPr>
        <w:tab/>
        <w:t>עלות עקיפה היא עלות שלא חלה על בנק ישראל באופן ישיר, אלא על גופים אחרים הקשורים למאגר.</w:t>
      </w:r>
    </w:p>
  </w:footnote>
  <w:footnote w:id="6">
    <w:p w:rsidR="00E45648" w:rsidRPr="00E45648" w:rsidP="000C2DFA" w14:paraId="38432B6C" w14:textId="77777777">
      <w:pPr>
        <w:pStyle w:val="733"/>
        <w:rPr>
          <w:rtl/>
        </w:rPr>
      </w:pPr>
      <w:r w:rsidRPr="00E45648">
        <w:rPr>
          <w:rStyle w:val="FootnoteReference2"/>
          <w:vertAlign w:val="baseline"/>
        </w:rPr>
        <w:footnoteRef/>
      </w:r>
      <w:r w:rsidRPr="00E45648">
        <w:rPr>
          <w:rtl/>
        </w:rPr>
        <w:t xml:space="preserve"> </w:t>
      </w:r>
      <w:r w:rsidRPr="00E45648">
        <w:rPr>
          <w:rtl/>
        </w:rPr>
        <w:tab/>
        <w:t xml:space="preserve">על פי דיווח הנגיד לוועדת הכלכלה של הכנסת על יישום חוק נתוני אשראי לשנת 2019 אשר הוגש במאי 2020, גופים מוסדרים הם גופים שאינם מוסדיים והם בעלי רישיון למתן אשראי, למתן שירות פיקדון ואשראי או להפעלת מערכת לתיווך באשראי על פי חוק הפיקוח על שירותים פיננסיים (שירותים פיננסיים מוסדרים), התשע"ו-2016.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DF3A65" w14:textId="58BDBAB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F3A65" w:rsidR="00DF3A65">
                            <w:rPr>
                              <w:rFonts w:ascii="Tahoma" w:hAnsi="Tahoma" w:cs="Tahoma"/>
                              <w:b/>
                              <w:bCs/>
                              <w:rtl/>
                            </w:rPr>
                            <w:t>מאגר נתוני אשראי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DF3A65" w14:paraId="77809697" w14:textId="58BDBAB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F3A65" w:rsidR="00DF3A65">
                      <w:rPr>
                        <w:rFonts w:ascii="Tahoma" w:hAnsi="Tahoma" w:cs="Tahoma"/>
                        <w:b/>
                        <w:bCs/>
                        <w:rtl/>
                      </w:rPr>
                      <w:t>מאגר נתוני אשראי</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BE5DAE" w:rsidRPr="00136A3E" w:rsidP="00BE5DAE"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F73EE0" w:rsidRPr="00BE5DAE" w:rsidP="00B244B0" w14:textId="457FC3FC">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BE5DAE" w:rsidRPr="00136A3E" w:rsidP="00BE5DAE" w14:paraId="518E731D"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F73EE0" w:rsidRPr="00BE5DAE" w:rsidP="00B244B0" w14:paraId="1CF273F4" w14:textId="457FC3FC">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782B1F50">
                          <w:pPr>
                            <w:pStyle w:val="Heading1"/>
                            <w:spacing w:line="269" w:lineRule="auto"/>
                            <w:jc w:val="left"/>
                            <w:rPr>
                              <w:rFonts w:ascii="Tahoma" w:hAnsi="Tahoma" w:eastAsiaTheme="minorHAnsi" w:cs="Tahoma"/>
                              <w:bCs w:val="0"/>
                              <w:color w:val="0D0D0D" w:themeColor="text1" w:themeTint="F2"/>
                              <w:sz w:val="16"/>
                              <w:szCs w:val="16"/>
                              <w:u w:val="none"/>
                            </w:rPr>
                          </w:pPr>
                          <w:r w:rsidRPr="00DF3A65">
                            <w:rPr>
                              <w:rFonts w:ascii="Tahoma" w:hAnsi="Tahoma" w:eastAsiaTheme="minorHAnsi" w:cs="Tahoma"/>
                              <w:bCs w:val="0"/>
                              <w:color w:val="0D0D0D" w:themeColor="text1" w:themeTint="F2"/>
                              <w:sz w:val="16"/>
                              <w:szCs w:val="16"/>
                              <w:u w:val="none"/>
                              <w:rtl/>
                            </w:rPr>
                            <w:t>מאגר נתוני אשראי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782B1F50">
                    <w:pPr>
                      <w:pStyle w:val="Heading1"/>
                      <w:spacing w:line="269" w:lineRule="auto"/>
                      <w:jc w:val="left"/>
                      <w:rPr>
                        <w:rFonts w:ascii="Tahoma" w:hAnsi="Tahoma" w:eastAsiaTheme="minorHAnsi" w:cs="Tahoma"/>
                        <w:bCs w:val="0"/>
                        <w:color w:val="0D0D0D" w:themeColor="text1" w:themeTint="F2"/>
                        <w:sz w:val="16"/>
                        <w:szCs w:val="16"/>
                        <w:u w:val="none"/>
                      </w:rPr>
                    </w:pPr>
                    <w:r w:rsidRPr="00DF3A65">
                      <w:rPr>
                        <w:rFonts w:ascii="Tahoma" w:hAnsi="Tahoma" w:eastAsiaTheme="minorHAnsi" w:cs="Tahoma"/>
                        <w:bCs w:val="0"/>
                        <w:color w:val="0D0D0D" w:themeColor="text1" w:themeTint="F2"/>
                        <w:sz w:val="16"/>
                        <w:szCs w:val="16"/>
                        <w:u w:val="none"/>
                        <w:rtl/>
                      </w:rPr>
                      <w:t>מאגר נתוני אשראי</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DF3A65" w14:textId="4280789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F3A65" w:rsidR="00DF3A65">
                            <w:rPr>
                              <w:rFonts w:ascii="Tahoma" w:hAnsi="Tahoma" w:cs="Tahoma"/>
                              <w:b/>
                              <w:bCs/>
                              <w:rtl/>
                            </w:rPr>
                            <w:t>מאגר נתוני אשראי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DF3A65" w14:paraId="3B4CCAD6" w14:textId="4280789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F3A65" w:rsidR="00DF3A65">
                      <w:rPr>
                        <w:rFonts w:ascii="Tahoma" w:hAnsi="Tahoma" w:cs="Tahoma"/>
                        <w:b/>
                        <w:bCs/>
                        <w:rtl/>
                      </w:rPr>
                      <w:t>מאגר נתוני אשראי</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BE5DAE" w:rsidRPr="00136A3E" w:rsidP="00BE5DAE"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E56721" w:rsidRPr="00C55DC9" w:rsidP="00B244B0" w14:textId="4A3A61F6">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BE5DAE" w:rsidRPr="00136A3E" w:rsidP="00BE5DAE" w14:paraId="3CCCFE06"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E56721" w:rsidRPr="00C55DC9" w:rsidP="00B244B0" w14:paraId="0C0E463E" w14:textId="4A3A61F6">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BE2E786"/>
    <w:lvl w:ilvl="0">
      <w:start w:val="1"/>
      <w:numFmt w:val="decimal"/>
      <w:lvlText w:val="%1."/>
      <w:lvlJc w:val="left"/>
      <w:pPr>
        <w:tabs>
          <w:tab w:val="num" w:pos="1492"/>
        </w:tabs>
        <w:ind w:left="1492" w:hanging="360"/>
      </w:pPr>
    </w:lvl>
  </w:abstractNum>
  <w:abstractNum w:abstractNumId="1">
    <w:nsid w:val="FFFFFF7D"/>
    <w:multiLevelType w:val="singleLevel"/>
    <w:tmpl w:val="E58490A4"/>
    <w:lvl w:ilvl="0">
      <w:start w:val="1"/>
      <w:numFmt w:val="decimal"/>
      <w:lvlText w:val="%1."/>
      <w:lvlJc w:val="left"/>
      <w:pPr>
        <w:tabs>
          <w:tab w:val="num" w:pos="1209"/>
        </w:tabs>
        <w:ind w:left="1209" w:hanging="360"/>
      </w:pPr>
    </w:lvl>
  </w:abstractNum>
  <w:abstractNum w:abstractNumId="2">
    <w:nsid w:val="FFFFFF7F"/>
    <w:multiLevelType w:val="singleLevel"/>
    <w:tmpl w:val="3A240B04"/>
    <w:lvl w:ilvl="0">
      <w:start w:val="1"/>
      <w:numFmt w:val="decimal"/>
      <w:lvlText w:val="%1."/>
      <w:lvlJc w:val="left"/>
      <w:pPr>
        <w:tabs>
          <w:tab w:val="num" w:pos="643"/>
        </w:tabs>
        <w:ind w:left="643" w:hanging="360"/>
      </w:pPr>
    </w:lvl>
  </w:abstractNum>
  <w:abstractNum w:abstractNumId="3">
    <w:nsid w:val="FFFFFF80"/>
    <w:multiLevelType w:val="singleLevel"/>
    <w:tmpl w:val="B296D1E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1B68EF5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78EEC58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094C262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81ACA5C"/>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9397522"/>
    <w:multiLevelType w:val="hybridMultilevel"/>
    <w:tmpl w:val="355208C2"/>
    <w:lvl w:ilvl="0">
      <w:start w:val="1"/>
      <w:numFmt w:val="decimal"/>
      <w:lvlText w:val="%1."/>
      <w:lvlJc w:val="left"/>
      <w:pPr>
        <w:ind w:left="397" w:hanging="397"/>
      </w:pPr>
      <w:rPr>
        <w:rFonts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6776C0"/>
    <w:multiLevelType w:val="hybridMultilevel"/>
    <w:tmpl w:val="FA2AE4F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2">
    <w:nsid w:val="22E55D56"/>
    <w:multiLevelType w:val="hybridMultilevel"/>
    <w:tmpl w:val="B99041EA"/>
    <w:lvl w:ilvl="0">
      <w:start w:val="1"/>
      <w:numFmt w:val="decimal"/>
      <w:pStyle w:val="a37"/>
      <w:suff w:val="space"/>
      <w:lvlText w:val="תרשים %1:"/>
      <w:lvlJc w:val="left"/>
      <w:pPr>
        <w:ind w:left="717" w:hanging="360"/>
      </w:pPr>
      <w:rPr>
        <w:rFonts w:ascii="David" w:hAnsi="David" w:cs="David" w:hint="cs"/>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EE0DAD"/>
    <w:multiLevelType w:val="hybridMultilevel"/>
    <w:tmpl w:val="B87E4444"/>
    <w:lvl w:ilvl="0">
      <w:start w:val="1"/>
      <w:numFmt w:val="decimal"/>
      <w:lvlText w:val="%1."/>
      <w:lvlJc w:val="left"/>
      <w:pPr>
        <w:ind w:left="397" w:hanging="397"/>
      </w:pPr>
      <w:rPr>
        <w:rFonts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4">
    <w:nsid w:val="2CA1485D"/>
    <w:multiLevelType w:val="hybridMultilevel"/>
    <w:tmpl w:val="D53E5286"/>
    <w:lvl w:ilvl="0">
      <w:start w:val="1"/>
      <w:numFmt w:val="decimal"/>
      <w:lvlText w:val="%1."/>
      <w:lvlJc w:val="left"/>
      <w:pPr>
        <w:ind w:left="397" w:hanging="397"/>
      </w:pPr>
      <w:rPr>
        <w:rFonts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4BA75BD"/>
    <w:multiLevelType w:val="hybridMultilevel"/>
    <w:tmpl w:val="4F34D81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7">
    <w:nsid w:val="363254CC"/>
    <w:multiLevelType w:val="hybridMultilevel"/>
    <w:tmpl w:val="E2B6EEFE"/>
    <w:lvl w:ilvl="0">
      <w:start w:val="1"/>
      <w:numFmt w:val="decimal"/>
      <w:lvlText w:val="%1."/>
      <w:lvlJc w:val="left"/>
      <w:pPr>
        <w:ind w:left="397" w:hanging="397"/>
      </w:pPr>
      <w:rPr>
        <w:rFonts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4E77649E"/>
    <w:multiLevelType w:val="hybridMultilevel"/>
    <w:tmpl w:val="F91E8E7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1">
    <w:nsid w:val="59BD63E3"/>
    <w:multiLevelType w:val="hybridMultilevel"/>
    <w:tmpl w:val="2A44DF9C"/>
    <w:lvl w:ilvl="0">
      <w:start w:val="1"/>
      <w:numFmt w:val="decimal"/>
      <w:pStyle w:val="a38"/>
      <w:suff w:val="space"/>
      <w:lvlText w:val="לוח %1:"/>
      <w:lvlJc w:val="left"/>
      <w:pPr>
        <w:ind w:left="717"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nsid w:val="63812761"/>
    <w:multiLevelType w:val="hybridMultilevel"/>
    <w:tmpl w:val="73FE3AB8"/>
    <w:lvl w:ilvl="0">
      <w:start w:val="1"/>
      <w:numFmt w:val="decimal"/>
      <w:pStyle w:val="a40"/>
      <w:suff w:val="space"/>
      <w:lvlText w:val="תמונה %1:"/>
      <w:lvlJc w:val="left"/>
      <w:pPr>
        <w:ind w:left="717"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D92E13"/>
    <w:multiLevelType w:val="hybridMultilevel"/>
    <w:tmpl w:val="15863EB4"/>
    <w:lvl w:ilvl="0">
      <w:start w:val="1"/>
      <w:numFmt w:val="decimal"/>
      <w:pStyle w:val="a43"/>
      <w:suff w:val="space"/>
      <w:lvlText w:val="איור %1:"/>
      <w:lvlJc w:val="left"/>
      <w:pPr>
        <w:ind w:left="717"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78164D9"/>
    <w:multiLevelType w:val="hybridMultilevel"/>
    <w:tmpl w:val="73EC894A"/>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8">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9">
    <w:nsid w:val="7E2532DE"/>
    <w:multiLevelType w:val="hybridMultilevel"/>
    <w:tmpl w:val="9D9267A2"/>
    <w:lvl w:ilvl="0">
      <w:start w:val="1"/>
      <w:numFmt w:val="decimal"/>
      <w:lvlText w:val="%1."/>
      <w:lvlJc w:val="left"/>
      <w:pPr>
        <w:ind w:left="397" w:hanging="397"/>
      </w:pPr>
      <w:rPr>
        <w:rFonts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num w:numId="1" w16cid:durableId="1722511313">
    <w:abstractNumId w:val="22"/>
  </w:num>
  <w:num w:numId="2" w16cid:durableId="159808484">
    <w:abstractNumId w:val="15"/>
  </w:num>
  <w:num w:numId="3" w16cid:durableId="2074310673">
    <w:abstractNumId w:val="18"/>
  </w:num>
  <w:num w:numId="4" w16cid:durableId="1596554476">
    <w:abstractNumId w:val="28"/>
  </w:num>
  <w:num w:numId="5" w16cid:durableId="781269690">
    <w:abstractNumId w:val="8"/>
  </w:num>
  <w:num w:numId="6" w16cid:durableId="1087919862">
    <w:abstractNumId w:val="19"/>
  </w:num>
  <w:num w:numId="7" w16cid:durableId="1266497691">
    <w:abstractNumId w:val="24"/>
  </w:num>
  <w:num w:numId="8" w16cid:durableId="1873692319">
    <w:abstractNumId w:val="10"/>
  </w:num>
  <w:num w:numId="9" w16cid:durableId="1057507424">
    <w:abstractNumId w:val="23"/>
  </w:num>
  <w:num w:numId="10" w16cid:durableId="1950818612">
    <w:abstractNumId w:val="11"/>
  </w:num>
  <w:num w:numId="11" w16cid:durableId="1187980883">
    <w:abstractNumId w:val="12"/>
  </w:num>
  <w:num w:numId="12" w16cid:durableId="1887334444">
    <w:abstractNumId w:val="21"/>
  </w:num>
  <w:num w:numId="13" w16cid:durableId="365911001">
    <w:abstractNumId w:val="25"/>
  </w:num>
  <w:num w:numId="14" w16cid:durableId="1867213587">
    <w:abstractNumId w:val="26"/>
  </w:num>
  <w:num w:numId="15" w16cid:durableId="568342443">
    <w:abstractNumId w:val="20"/>
  </w:num>
  <w:num w:numId="16" w16cid:durableId="1781878548">
    <w:abstractNumId w:val="27"/>
  </w:num>
  <w:num w:numId="17" w16cid:durableId="594292092">
    <w:abstractNumId w:val="16"/>
  </w:num>
  <w:num w:numId="18" w16cid:durableId="1384521253">
    <w:abstractNumId w:val="14"/>
  </w:num>
  <w:num w:numId="19" w16cid:durableId="58866549">
    <w:abstractNumId w:val="17"/>
  </w:num>
  <w:num w:numId="20" w16cid:durableId="12071685">
    <w:abstractNumId w:val="29"/>
  </w:num>
  <w:num w:numId="21" w16cid:durableId="2133354330">
    <w:abstractNumId w:val="13"/>
  </w:num>
  <w:num w:numId="22" w16cid:durableId="16809034">
    <w:abstractNumId w:val="9"/>
  </w:num>
  <w:num w:numId="23" w16cid:durableId="310403988">
    <w:abstractNumId w:val="3"/>
  </w:num>
  <w:num w:numId="24" w16cid:durableId="315645442">
    <w:abstractNumId w:val="4"/>
  </w:num>
  <w:num w:numId="25" w16cid:durableId="1781759572">
    <w:abstractNumId w:val="5"/>
  </w:num>
  <w:num w:numId="26" w16cid:durableId="955914411">
    <w:abstractNumId w:val="6"/>
  </w:num>
  <w:num w:numId="27" w16cid:durableId="1759013364">
    <w:abstractNumId w:val="7"/>
  </w:num>
  <w:num w:numId="28" w16cid:durableId="2087922880">
    <w:abstractNumId w:val="0"/>
  </w:num>
  <w:num w:numId="29" w16cid:durableId="1436053048">
    <w:abstractNumId w:val="1"/>
  </w:num>
  <w:num w:numId="30" w16cid:durableId="1001545716">
    <w:abstractNumId w:val="2"/>
  </w:num>
  <w:num w:numId="31" w16cid:durableId="1456170484">
    <w:abstractNumId w:val="3"/>
  </w:num>
  <w:num w:numId="32" w16cid:durableId="937056029">
    <w:abstractNumId w:val="4"/>
  </w:num>
  <w:num w:numId="33" w16cid:durableId="1691645822">
    <w:abstractNumId w:val="5"/>
  </w:num>
  <w:num w:numId="34" w16cid:durableId="555748482">
    <w:abstractNumId w:val="6"/>
  </w:num>
  <w:num w:numId="35" w16cid:durableId="1974827092">
    <w:abstractNumId w:val="7"/>
  </w:num>
  <w:num w:numId="36" w16cid:durableId="1519926841">
    <w:abstractNumId w:val="0"/>
  </w:num>
  <w:num w:numId="37" w16cid:durableId="470248316">
    <w:abstractNumId w:val="1"/>
  </w:num>
  <w:num w:numId="38" w16cid:durableId="1520050636">
    <w:abstractNumId w:val="2"/>
  </w:num>
  <w:num w:numId="39" w16cid:durableId="219639247">
    <w:abstractNumId w:val="3"/>
  </w:num>
  <w:num w:numId="40" w16cid:durableId="1842772849">
    <w:abstractNumId w:val="4"/>
  </w:num>
  <w:num w:numId="41" w16cid:durableId="1303197766">
    <w:abstractNumId w:val="5"/>
  </w:num>
  <w:num w:numId="42" w16cid:durableId="1397314639">
    <w:abstractNumId w:val="6"/>
  </w:num>
  <w:num w:numId="43" w16cid:durableId="583150549">
    <w:abstractNumId w:val="7"/>
  </w:num>
  <w:num w:numId="44" w16cid:durableId="427163916">
    <w:abstractNumId w:val="0"/>
  </w:num>
  <w:num w:numId="45" w16cid:durableId="410659795">
    <w:abstractNumId w:val="1"/>
  </w:num>
  <w:num w:numId="46" w16cid:durableId="2134859979">
    <w:abstractNumId w:val="2"/>
  </w:num>
  <w:num w:numId="47" w16cid:durableId="314334755">
    <w:abstractNumId w:val="3"/>
  </w:num>
  <w:num w:numId="48" w16cid:durableId="313878562">
    <w:abstractNumId w:val="4"/>
  </w:num>
  <w:num w:numId="49" w16cid:durableId="21446884">
    <w:abstractNumId w:val="5"/>
  </w:num>
  <w:num w:numId="50" w16cid:durableId="14430366">
    <w:abstractNumId w:val="6"/>
  </w:num>
  <w:num w:numId="51" w16cid:durableId="1498762982">
    <w:abstractNumId w:val="7"/>
  </w:num>
  <w:num w:numId="52" w16cid:durableId="756753380">
    <w:abstractNumId w:val="0"/>
  </w:num>
  <w:num w:numId="53" w16cid:durableId="1723676178">
    <w:abstractNumId w:val="1"/>
  </w:num>
  <w:num w:numId="54" w16cid:durableId="1257252987">
    <w:abstractNumId w:val="2"/>
  </w:num>
  <w:num w:numId="55" w16cid:durableId="1507985189">
    <w:abstractNumId w:val="3"/>
  </w:num>
  <w:num w:numId="56" w16cid:durableId="1894151134">
    <w:abstractNumId w:val="4"/>
  </w:num>
  <w:num w:numId="57" w16cid:durableId="636497664">
    <w:abstractNumId w:val="5"/>
  </w:num>
  <w:num w:numId="58" w16cid:durableId="620184653">
    <w:abstractNumId w:val="6"/>
  </w:num>
  <w:num w:numId="59" w16cid:durableId="947389421">
    <w:abstractNumId w:val="7"/>
  </w:num>
  <w:num w:numId="60" w16cid:durableId="1415932526">
    <w:abstractNumId w:val="0"/>
  </w:num>
  <w:num w:numId="61" w16cid:durableId="352340235">
    <w:abstractNumId w:val="1"/>
  </w:num>
  <w:num w:numId="62" w16cid:durableId="805050451">
    <w:abstractNumId w:val="2"/>
  </w:num>
  <w:num w:numId="63" w16cid:durableId="1958178213">
    <w:abstractNumId w:val="3"/>
  </w:num>
  <w:num w:numId="64" w16cid:durableId="1441493403">
    <w:abstractNumId w:val="4"/>
  </w:num>
  <w:num w:numId="65" w16cid:durableId="1490242678">
    <w:abstractNumId w:val="5"/>
  </w:num>
  <w:num w:numId="66" w16cid:durableId="677344039">
    <w:abstractNumId w:val="6"/>
  </w:num>
  <w:num w:numId="67" w16cid:durableId="1720127737">
    <w:abstractNumId w:val="7"/>
  </w:num>
  <w:num w:numId="68" w16cid:durableId="11299891">
    <w:abstractNumId w:val="0"/>
  </w:num>
  <w:num w:numId="69" w16cid:durableId="8680344">
    <w:abstractNumId w:val="1"/>
  </w:num>
  <w:num w:numId="70" w16cid:durableId="432866332">
    <w:abstractNumId w:val="2"/>
  </w:num>
  <w:num w:numId="71" w16cid:durableId="607738040">
    <w:abstractNumId w:val="3"/>
  </w:num>
  <w:num w:numId="72" w16cid:durableId="666252442">
    <w:abstractNumId w:val="4"/>
  </w:num>
  <w:num w:numId="73" w16cid:durableId="259799780">
    <w:abstractNumId w:val="5"/>
  </w:num>
  <w:num w:numId="74" w16cid:durableId="286355822">
    <w:abstractNumId w:val="6"/>
  </w:num>
  <w:num w:numId="75" w16cid:durableId="643236061">
    <w:abstractNumId w:val="7"/>
  </w:num>
  <w:num w:numId="76" w16cid:durableId="1285769512">
    <w:abstractNumId w:val="0"/>
  </w:num>
  <w:num w:numId="77" w16cid:durableId="1013143962">
    <w:abstractNumId w:val="1"/>
  </w:num>
  <w:num w:numId="78" w16cid:durableId="2021005215">
    <w:abstractNumId w:val="2"/>
  </w:num>
  <w:num w:numId="79" w16cid:durableId="270473445">
    <w:abstractNumId w:val="3"/>
  </w:num>
  <w:num w:numId="80" w16cid:durableId="376508166">
    <w:abstractNumId w:val="4"/>
  </w:num>
  <w:num w:numId="81" w16cid:durableId="2084377694">
    <w:abstractNumId w:val="5"/>
  </w:num>
  <w:num w:numId="82" w16cid:durableId="1328052861">
    <w:abstractNumId w:val="6"/>
  </w:num>
  <w:num w:numId="83" w16cid:durableId="628822268">
    <w:abstractNumId w:val="7"/>
  </w:num>
  <w:num w:numId="84" w16cid:durableId="1495073176">
    <w:abstractNumId w:val="0"/>
  </w:num>
  <w:num w:numId="85" w16cid:durableId="470639433">
    <w:abstractNumId w:val="1"/>
  </w:num>
  <w:num w:numId="86" w16cid:durableId="1856071890">
    <w:abstractNumId w:val="2"/>
  </w:num>
  <w:num w:numId="87" w16cid:durableId="855004687">
    <w:abstractNumId w:val="3"/>
  </w:num>
  <w:num w:numId="88" w16cid:durableId="176702177">
    <w:abstractNumId w:val="4"/>
  </w:num>
  <w:num w:numId="89" w16cid:durableId="954407058">
    <w:abstractNumId w:val="5"/>
  </w:num>
  <w:num w:numId="90" w16cid:durableId="1879194318">
    <w:abstractNumId w:val="6"/>
  </w:num>
  <w:num w:numId="91" w16cid:durableId="865482413">
    <w:abstractNumId w:val="7"/>
  </w:num>
  <w:num w:numId="92" w16cid:durableId="1152792965">
    <w:abstractNumId w:val="0"/>
  </w:num>
  <w:num w:numId="93" w16cid:durableId="1681539602">
    <w:abstractNumId w:val="1"/>
  </w:num>
  <w:num w:numId="94" w16cid:durableId="1198393833">
    <w:abstractNumId w:val="2"/>
  </w:num>
  <w:num w:numId="95" w16cid:durableId="2116291801">
    <w:abstractNumId w:val="3"/>
  </w:num>
  <w:num w:numId="96" w16cid:durableId="1747073653">
    <w:abstractNumId w:val="4"/>
  </w:num>
  <w:num w:numId="97" w16cid:durableId="276328316">
    <w:abstractNumId w:val="5"/>
  </w:num>
  <w:num w:numId="98" w16cid:durableId="429471277">
    <w:abstractNumId w:val="6"/>
  </w:num>
  <w:num w:numId="99" w16cid:durableId="101344051">
    <w:abstractNumId w:val="7"/>
  </w:num>
  <w:num w:numId="100" w16cid:durableId="1445727194">
    <w:abstractNumId w:val="0"/>
  </w:num>
  <w:num w:numId="101" w16cid:durableId="391540207">
    <w:abstractNumId w:val="1"/>
  </w:num>
  <w:num w:numId="102" w16cid:durableId="84156312">
    <w:abstractNumId w:val="2"/>
  </w:num>
  <w:num w:numId="103" w16cid:durableId="393164250">
    <w:abstractNumId w:val="3"/>
  </w:num>
  <w:num w:numId="104" w16cid:durableId="522744684">
    <w:abstractNumId w:val="4"/>
  </w:num>
  <w:num w:numId="105" w16cid:durableId="1281644046">
    <w:abstractNumId w:val="5"/>
  </w:num>
  <w:num w:numId="106" w16cid:durableId="1359237632">
    <w:abstractNumId w:val="6"/>
  </w:num>
  <w:num w:numId="107" w16cid:durableId="1811509469">
    <w:abstractNumId w:val="7"/>
  </w:num>
  <w:num w:numId="108" w16cid:durableId="608240958">
    <w:abstractNumId w:val="0"/>
  </w:num>
  <w:num w:numId="109" w16cid:durableId="1964117509">
    <w:abstractNumId w:val="1"/>
  </w:num>
  <w:num w:numId="110" w16cid:durableId="1754739728">
    <w:abstractNumId w:val="2"/>
  </w:num>
  <w:num w:numId="111" w16cid:durableId="195696816">
    <w:abstractNumId w:val="3"/>
  </w:num>
  <w:num w:numId="112" w16cid:durableId="1140877887">
    <w:abstractNumId w:val="4"/>
  </w:num>
  <w:num w:numId="113" w16cid:durableId="828600748">
    <w:abstractNumId w:val="5"/>
  </w:num>
  <w:num w:numId="114" w16cid:durableId="886527031">
    <w:abstractNumId w:val="6"/>
  </w:num>
  <w:num w:numId="115" w16cid:durableId="410545740">
    <w:abstractNumId w:val="7"/>
  </w:num>
  <w:num w:numId="116" w16cid:durableId="533468102">
    <w:abstractNumId w:val="0"/>
  </w:num>
  <w:num w:numId="117" w16cid:durableId="701588472">
    <w:abstractNumId w:val="1"/>
  </w:num>
  <w:num w:numId="118" w16cid:durableId="47069682">
    <w:abstractNumId w:val="2"/>
  </w:num>
  <w:num w:numId="119" w16cid:durableId="1137995356">
    <w:abstractNumId w:val="3"/>
  </w:num>
  <w:num w:numId="120" w16cid:durableId="1385176161">
    <w:abstractNumId w:val="4"/>
  </w:num>
  <w:num w:numId="121" w16cid:durableId="771702609">
    <w:abstractNumId w:val="5"/>
  </w:num>
  <w:num w:numId="122" w16cid:durableId="726949846">
    <w:abstractNumId w:val="6"/>
  </w:num>
  <w:num w:numId="123" w16cid:durableId="114183685">
    <w:abstractNumId w:val="7"/>
  </w:num>
  <w:num w:numId="124" w16cid:durableId="862405067">
    <w:abstractNumId w:val="0"/>
  </w:num>
  <w:num w:numId="125" w16cid:durableId="582376189">
    <w:abstractNumId w:val="1"/>
  </w:num>
  <w:num w:numId="126" w16cid:durableId="1999966268">
    <w:abstractNumId w:val="2"/>
  </w:num>
  <w:num w:numId="127" w16cid:durableId="1403092439">
    <w:abstractNumId w:val="3"/>
  </w:num>
  <w:num w:numId="128" w16cid:durableId="970281764">
    <w:abstractNumId w:val="4"/>
  </w:num>
  <w:num w:numId="129" w16cid:durableId="1817801037">
    <w:abstractNumId w:val="5"/>
  </w:num>
  <w:num w:numId="130" w16cid:durableId="360518572">
    <w:abstractNumId w:val="6"/>
  </w:num>
  <w:num w:numId="131" w16cid:durableId="392894117">
    <w:abstractNumId w:val="7"/>
  </w:num>
  <w:num w:numId="132" w16cid:durableId="372460743">
    <w:abstractNumId w:val="0"/>
  </w:num>
  <w:num w:numId="133" w16cid:durableId="140732927">
    <w:abstractNumId w:val="1"/>
  </w:num>
  <w:num w:numId="134" w16cid:durableId="1060325847">
    <w:abstractNumId w:val="2"/>
  </w:num>
  <w:num w:numId="135" w16cid:durableId="1159998856">
    <w:abstractNumId w:val="3"/>
  </w:num>
  <w:num w:numId="136" w16cid:durableId="2069910519">
    <w:abstractNumId w:val="4"/>
  </w:num>
  <w:num w:numId="137" w16cid:durableId="1345864012">
    <w:abstractNumId w:val="5"/>
  </w:num>
  <w:num w:numId="138" w16cid:durableId="830096045">
    <w:abstractNumId w:val="6"/>
  </w:num>
  <w:num w:numId="139" w16cid:durableId="1964995267">
    <w:abstractNumId w:val="7"/>
  </w:num>
  <w:num w:numId="140" w16cid:durableId="2089695560">
    <w:abstractNumId w:val="0"/>
  </w:num>
  <w:num w:numId="141" w16cid:durableId="2093430206">
    <w:abstractNumId w:val="1"/>
  </w:num>
  <w:num w:numId="142" w16cid:durableId="232014000">
    <w:abstractNumId w:val="2"/>
  </w:num>
  <w:num w:numId="143" w16cid:durableId="214777435">
    <w:abstractNumId w:val="3"/>
  </w:num>
  <w:num w:numId="144" w16cid:durableId="1145969445">
    <w:abstractNumId w:val="4"/>
  </w:num>
  <w:num w:numId="145" w16cid:durableId="1130436960">
    <w:abstractNumId w:val="5"/>
  </w:num>
  <w:num w:numId="146" w16cid:durableId="1150830483">
    <w:abstractNumId w:val="6"/>
  </w:num>
  <w:num w:numId="147" w16cid:durableId="871187745">
    <w:abstractNumId w:val="7"/>
  </w:num>
  <w:num w:numId="148" w16cid:durableId="1498643339">
    <w:abstractNumId w:val="0"/>
  </w:num>
  <w:num w:numId="149" w16cid:durableId="2120181596">
    <w:abstractNumId w:val="1"/>
  </w:num>
  <w:num w:numId="150" w16cid:durableId="131853358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3AA"/>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5C0A"/>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2DFA"/>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1E85"/>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69E"/>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3B"/>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136"/>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19D"/>
    <w:rsid w:val="00243E20"/>
    <w:rsid w:val="00244096"/>
    <w:rsid w:val="0024417D"/>
    <w:rsid w:val="00244754"/>
    <w:rsid w:val="00244A94"/>
    <w:rsid w:val="00244C55"/>
    <w:rsid w:val="00245470"/>
    <w:rsid w:val="00246AD7"/>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3B4F"/>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5DD"/>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4DF"/>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2E16"/>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0F78"/>
    <w:rsid w:val="003A22C1"/>
    <w:rsid w:val="003A239E"/>
    <w:rsid w:val="003A26D2"/>
    <w:rsid w:val="003A3978"/>
    <w:rsid w:val="003A3D05"/>
    <w:rsid w:val="003A47A9"/>
    <w:rsid w:val="003A5748"/>
    <w:rsid w:val="003A613A"/>
    <w:rsid w:val="003A66EF"/>
    <w:rsid w:val="003A689D"/>
    <w:rsid w:val="003A769E"/>
    <w:rsid w:val="003A780A"/>
    <w:rsid w:val="003A7F68"/>
    <w:rsid w:val="003B0305"/>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A2"/>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426"/>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4779A"/>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4FE6"/>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12"/>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79F"/>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870"/>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01"/>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8E6"/>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18C"/>
    <w:rsid w:val="006266E5"/>
    <w:rsid w:val="0062702E"/>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6929"/>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0FD"/>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640"/>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A56"/>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1B5"/>
    <w:rsid w:val="007B72DD"/>
    <w:rsid w:val="007B78B6"/>
    <w:rsid w:val="007C0288"/>
    <w:rsid w:val="007C07ED"/>
    <w:rsid w:val="007C07F6"/>
    <w:rsid w:val="007C0832"/>
    <w:rsid w:val="007C096F"/>
    <w:rsid w:val="007C09AB"/>
    <w:rsid w:val="007C1372"/>
    <w:rsid w:val="007C17FC"/>
    <w:rsid w:val="007C1C85"/>
    <w:rsid w:val="007C1FF6"/>
    <w:rsid w:val="007C26F8"/>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2D79"/>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BDF"/>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15"/>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75B"/>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C7AC6"/>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4C9D"/>
    <w:rsid w:val="008D5013"/>
    <w:rsid w:val="008D59E9"/>
    <w:rsid w:val="008D66CC"/>
    <w:rsid w:val="008D70B6"/>
    <w:rsid w:val="008D7367"/>
    <w:rsid w:val="008D73F0"/>
    <w:rsid w:val="008D7409"/>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77"/>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E7D54"/>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B0B"/>
    <w:rsid w:val="009F7F20"/>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060"/>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77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58E7"/>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6E85"/>
    <w:rsid w:val="00B2725F"/>
    <w:rsid w:val="00B27998"/>
    <w:rsid w:val="00B308E1"/>
    <w:rsid w:val="00B30FEF"/>
    <w:rsid w:val="00B31431"/>
    <w:rsid w:val="00B316BA"/>
    <w:rsid w:val="00B3182B"/>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3CBB"/>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0E5B"/>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2A"/>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088"/>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5DAE"/>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2632"/>
    <w:rsid w:val="00C433C4"/>
    <w:rsid w:val="00C43B8B"/>
    <w:rsid w:val="00C43FBA"/>
    <w:rsid w:val="00C441CC"/>
    <w:rsid w:val="00C44475"/>
    <w:rsid w:val="00C44F87"/>
    <w:rsid w:val="00C451F2"/>
    <w:rsid w:val="00C45757"/>
    <w:rsid w:val="00C4609E"/>
    <w:rsid w:val="00C46807"/>
    <w:rsid w:val="00C4699B"/>
    <w:rsid w:val="00C47D44"/>
    <w:rsid w:val="00C504E7"/>
    <w:rsid w:val="00C50B1E"/>
    <w:rsid w:val="00C51C72"/>
    <w:rsid w:val="00C51CB1"/>
    <w:rsid w:val="00C51F30"/>
    <w:rsid w:val="00C521B4"/>
    <w:rsid w:val="00C528BE"/>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0F6"/>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AC5"/>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A5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2A"/>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7B"/>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A65"/>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3F5"/>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5648"/>
    <w:rsid w:val="00E46906"/>
    <w:rsid w:val="00E4697F"/>
    <w:rsid w:val="00E46A8F"/>
    <w:rsid w:val="00E46B21"/>
    <w:rsid w:val="00E46EA3"/>
    <w:rsid w:val="00E47D3D"/>
    <w:rsid w:val="00E47E7C"/>
    <w:rsid w:val="00E50223"/>
    <w:rsid w:val="00E50506"/>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983"/>
    <w:rsid w:val="00E73D0E"/>
    <w:rsid w:val="00E74A39"/>
    <w:rsid w:val="00E75609"/>
    <w:rsid w:val="00E75790"/>
    <w:rsid w:val="00E75BCD"/>
    <w:rsid w:val="00E76031"/>
    <w:rsid w:val="00E76714"/>
    <w:rsid w:val="00E76CE5"/>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77F"/>
    <w:rsid w:val="00E859DB"/>
    <w:rsid w:val="00E85AEE"/>
    <w:rsid w:val="00E862D6"/>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97FBC"/>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7CE"/>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22C"/>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373"/>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semiHidden/>
    <w:unhideWhenUsed/>
    <w:rsid w:val="00E862D6"/>
    <w:rPr>
      <w:vertAlign w:val="superscript"/>
    </w:rPr>
  </w:style>
  <w:style w:type="paragraph" w:customStyle="1" w:styleId="a35">
    <w:name w:val="מקור הנתונים"/>
    <w:basedOn w:val="Normal"/>
    <w:next w:val="Normal"/>
    <w:link w:val="a36"/>
    <w:qFormat/>
    <w:rsid w:val="00E45648"/>
    <w:pPr>
      <w:keepNext/>
      <w:keepLines/>
      <w:jc w:val="left"/>
    </w:pPr>
    <w:rPr>
      <w:szCs w:val="20"/>
    </w:rPr>
  </w:style>
  <w:style w:type="character" w:customStyle="1" w:styleId="a36">
    <w:name w:val="מקור הנתונים תו"/>
    <w:basedOn w:val="DefaultParagraphFont"/>
    <w:link w:val="a35"/>
    <w:rsid w:val="00E45648"/>
    <w:rPr>
      <w:szCs w:val="20"/>
    </w:rPr>
  </w:style>
  <w:style w:type="character" w:styleId="CommentReference">
    <w:name w:val="annotation reference"/>
    <w:basedOn w:val="DefaultParagraphFont"/>
    <w:uiPriority w:val="99"/>
    <w:semiHidden/>
    <w:unhideWhenUsed/>
    <w:rsid w:val="00E45648"/>
    <w:rPr>
      <w:sz w:val="16"/>
      <w:szCs w:val="16"/>
    </w:rPr>
  </w:style>
  <w:style w:type="paragraph" w:customStyle="1" w:styleId="a37">
    <w:name w:val="כותרת תרשים"/>
    <w:basedOn w:val="Normal"/>
    <w:next w:val="Normal"/>
    <w:link w:val="a39"/>
    <w:qFormat/>
    <w:rsid w:val="00E45648"/>
    <w:pPr>
      <w:keepNext/>
      <w:keepLines/>
      <w:numPr>
        <w:numId w:val="11"/>
      </w:numPr>
      <w:jc w:val="center"/>
      <w:outlineLvl w:val="4"/>
    </w:pPr>
    <w:rPr>
      <w:bCs/>
      <w:sz w:val="24"/>
    </w:rPr>
  </w:style>
  <w:style w:type="paragraph" w:customStyle="1" w:styleId="a38">
    <w:name w:val="כותרת לוח"/>
    <w:basedOn w:val="Normal"/>
    <w:next w:val="Normal"/>
    <w:link w:val="a41"/>
    <w:qFormat/>
    <w:rsid w:val="00E45648"/>
    <w:pPr>
      <w:keepNext/>
      <w:keepLines/>
      <w:numPr>
        <w:numId w:val="12"/>
      </w:numPr>
      <w:jc w:val="center"/>
      <w:outlineLvl w:val="4"/>
    </w:pPr>
    <w:rPr>
      <w:bCs/>
      <w:sz w:val="24"/>
    </w:rPr>
  </w:style>
  <w:style w:type="character" w:customStyle="1" w:styleId="a39">
    <w:name w:val="כותרת תרשים תו"/>
    <w:basedOn w:val="DefaultParagraphFont"/>
    <w:link w:val="a37"/>
    <w:rsid w:val="00E45648"/>
    <w:rPr>
      <w:bCs/>
      <w:sz w:val="24"/>
    </w:rPr>
  </w:style>
  <w:style w:type="paragraph" w:customStyle="1" w:styleId="a40">
    <w:name w:val="כותרת תמונה"/>
    <w:basedOn w:val="Normal"/>
    <w:next w:val="Normal"/>
    <w:link w:val="a42"/>
    <w:qFormat/>
    <w:rsid w:val="00E45648"/>
    <w:pPr>
      <w:keepNext/>
      <w:keepLines/>
      <w:numPr>
        <w:numId w:val="13"/>
      </w:numPr>
      <w:jc w:val="center"/>
      <w:outlineLvl w:val="4"/>
    </w:pPr>
    <w:rPr>
      <w:bCs/>
      <w:sz w:val="24"/>
    </w:rPr>
  </w:style>
  <w:style w:type="character" w:customStyle="1" w:styleId="a41">
    <w:name w:val="כותרת לוח תו"/>
    <w:basedOn w:val="DefaultParagraphFont"/>
    <w:link w:val="a38"/>
    <w:rsid w:val="00E45648"/>
    <w:rPr>
      <w:bCs/>
      <w:sz w:val="24"/>
    </w:rPr>
  </w:style>
  <w:style w:type="character" w:customStyle="1" w:styleId="a42">
    <w:name w:val="כותרת תמונה תו"/>
    <w:basedOn w:val="DefaultParagraphFont"/>
    <w:link w:val="a40"/>
    <w:rsid w:val="00E45648"/>
    <w:rPr>
      <w:bCs/>
      <w:sz w:val="24"/>
    </w:rPr>
  </w:style>
  <w:style w:type="paragraph" w:customStyle="1" w:styleId="a43">
    <w:name w:val="כותרת איור"/>
    <w:basedOn w:val="Normal"/>
    <w:next w:val="Normal"/>
    <w:link w:val="a44"/>
    <w:qFormat/>
    <w:rsid w:val="00E45648"/>
    <w:pPr>
      <w:keepNext/>
      <w:keepLines/>
      <w:numPr>
        <w:numId w:val="14"/>
      </w:numPr>
      <w:ind w:left="714" w:hanging="357"/>
      <w:jc w:val="center"/>
      <w:outlineLvl w:val="4"/>
    </w:pPr>
    <w:rPr>
      <w:bCs/>
      <w:sz w:val="24"/>
    </w:rPr>
  </w:style>
  <w:style w:type="character" w:customStyle="1" w:styleId="a44">
    <w:name w:val="כותרת איור תו"/>
    <w:basedOn w:val="DefaultParagraphFont"/>
    <w:link w:val="a43"/>
    <w:rsid w:val="00E45648"/>
    <w:rPr>
      <w:bCs/>
      <w:sz w:val="24"/>
    </w:rPr>
  </w:style>
  <w:style w:type="character" w:customStyle="1" w:styleId="124">
    <w:name w:val="אזכור לא מזוהה1"/>
    <w:basedOn w:val="DefaultParagraphFont"/>
    <w:uiPriority w:val="99"/>
    <w:semiHidden/>
    <w:unhideWhenUsed/>
    <w:rsid w:val="00E45648"/>
    <w:rPr>
      <w:color w:val="605E5C"/>
      <w:shd w:val="clear" w:color="auto" w:fill="E1DFDD"/>
    </w:rPr>
  </w:style>
  <w:style w:type="character" w:styleId="EndnoteReference">
    <w:name w:val="endnote reference"/>
    <w:basedOn w:val="DefaultParagraphFont"/>
    <w:uiPriority w:val="99"/>
    <w:semiHidden/>
    <w:unhideWhenUsed/>
    <w:rsid w:val="00E45648"/>
    <w:rPr>
      <w:vertAlign w:val="superscript"/>
    </w:rPr>
  </w:style>
  <w:style w:type="character" w:customStyle="1" w:styleId="29">
    <w:name w:val="אזכור לא מזוהה2"/>
    <w:basedOn w:val="DefaultParagraphFont"/>
    <w:uiPriority w:val="99"/>
    <w:semiHidden/>
    <w:unhideWhenUsed/>
    <w:rsid w:val="00E45648"/>
    <w:rPr>
      <w:color w:val="605E5C"/>
      <w:shd w:val="clear" w:color="auto" w:fill="E1DFDD"/>
    </w:rPr>
  </w:style>
  <w:style w:type="character" w:customStyle="1" w:styleId="35">
    <w:name w:val="אזכור לא מזוהה3"/>
    <w:basedOn w:val="DefaultParagraphFont"/>
    <w:uiPriority w:val="99"/>
    <w:semiHidden/>
    <w:unhideWhenUsed/>
    <w:rsid w:val="00E45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image" Target="media/image13.png" /><Relationship Id="rId29" Type="http://schemas.openxmlformats.org/officeDocument/2006/relationships/image" Target="media/image14.emf"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footer" Target="footer4.xml" /><Relationship Id="rId32" Type="http://schemas.openxmlformats.org/officeDocument/2006/relationships/header" Target="header6.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6C09E8-DE09-4AEE-90C6-EB9FBD233D3A}"/>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9</TotalTime>
  <Pages>13</Pages>
  <Words>2733</Words>
  <Characters>13670</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9</cp:revision>
  <cp:lastPrinted>2023-07-16T07:57:00Z</cp:lastPrinted>
  <dcterms:created xsi:type="dcterms:W3CDTF">2023-09-05T12:54:00Z</dcterms:created>
  <dcterms:modified xsi:type="dcterms:W3CDTF">2024-01-08T13:40:00Z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