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96C603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795913"/>
                <wp:effectExtent l="25400" t="0" r="25400" b="2730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79591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19.8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1973009</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5.35pt" to="231.45pt,155.35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1D83129B">
                            <w:pPr>
                              <w:pStyle w:val="a33"/>
                              <w:bidi/>
                              <w:rPr>
                                <w:rtl/>
                              </w:rPr>
                            </w:pPr>
                            <w:r w:rsidRPr="00954447">
                              <w:rPr>
                                <w:rtl/>
                              </w:rPr>
                              <w:t>דוח מבקר המדינה | אייר התשפ"ה | מאי</w:t>
                            </w:r>
                            <w:r>
                              <w:rPr>
                                <w:rFonts w:hint="cs"/>
                                <w:rtl/>
                              </w:rPr>
                              <w:t xml:space="preserve"> </w:t>
                            </w:r>
                            <w:r w:rsidR="00B66A3F">
                              <w:rPr>
                                <w:rFonts w:hint="cs"/>
                                <w:rtl/>
                              </w:rPr>
                              <w:t>2025</w:t>
                            </w:r>
                            <w:r w:rsidRPr="004532DC" w:rsidR="004532DC">
                              <w:rPr>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CE628A" w14:textId="469F9687">
                            <w:pPr>
                              <w:pStyle w:val="-1"/>
                              <w:spacing w:after="240"/>
                              <w:rPr>
                                <w:rtl/>
                              </w:rPr>
                            </w:pPr>
                            <w:r w:rsidRPr="00DB5149">
                              <w:rPr>
                                <w:rtl/>
                              </w:rPr>
                              <w:t>משרד החקלאות וביטחון המזון</w:t>
                            </w:r>
                          </w:p>
                          <w:p w:rsidR="00C30482" w:rsidRPr="000F5023" w:rsidP="00CE628A" w14:textId="76551668">
                            <w:pPr>
                              <w:pStyle w:val="a32"/>
                              <w:bidi/>
                              <w:spacing w:before="240"/>
                              <w:rPr>
                                <w:rtl/>
                              </w:rPr>
                            </w:pPr>
                            <w:r w:rsidRPr="00784D0C">
                              <w:rPr>
                                <w:rtl/>
                              </w:rPr>
                              <w:t xml:space="preserve">ההגנה מפני נזקי שיטפונות - </w:t>
                            </w:r>
                            <w:r>
                              <w:rPr>
                                <w:rtl/>
                              </w:rPr>
                              <w:br/>
                            </w:r>
                            <w:r w:rsidRPr="00784D0C">
                              <w:rPr>
                                <w:rtl/>
                              </w:rPr>
                              <w:t>ביקורת מעקב</w:t>
                            </w:r>
                            <w:r w:rsidR="00D73746">
                              <w:rPr>
                                <w:rFonts w:hint="cs"/>
                                <w:rtl/>
                              </w:rPr>
                              <w:t xml:space="preserve"> </w:t>
                            </w:r>
                          </w:p>
                          <w:p w:rsidR="00CE628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1D83129B">
                      <w:pPr>
                        <w:pStyle w:val="a33"/>
                        <w:bidi/>
                        <w:rPr>
                          <w:rtl/>
                        </w:rPr>
                      </w:pPr>
                      <w:r w:rsidRPr="00954447">
                        <w:rPr>
                          <w:rtl/>
                        </w:rPr>
                        <w:t>דוח מבקר המדינה | אייר התשפ"ה | מאי</w:t>
                      </w:r>
                      <w:r>
                        <w:rPr>
                          <w:rFonts w:hint="cs"/>
                          <w:rtl/>
                        </w:rPr>
                        <w:t xml:space="preserve"> </w:t>
                      </w:r>
                      <w:r w:rsidR="00B66A3F">
                        <w:rPr>
                          <w:rFonts w:hint="cs"/>
                          <w:rtl/>
                        </w:rPr>
                        <w:t>2025</w:t>
                      </w:r>
                      <w:r w:rsidRPr="004532DC" w:rsidR="004532D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CE628A" w14:paraId="361EED1E" w14:textId="469F9687">
                      <w:pPr>
                        <w:pStyle w:val="-1"/>
                        <w:spacing w:after="240"/>
                        <w:rPr>
                          <w:rtl/>
                        </w:rPr>
                      </w:pPr>
                      <w:r w:rsidRPr="00DB5149">
                        <w:rPr>
                          <w:rtl/>
                        </w:rPr>
                        <w:t>משרד החקלאות וביטחון המזון</w:t>
                      </w:r>
                    </w:p>
                    <w:p w:rsidR="00C30482" w:rsidRPr="000F5023" w:rsidP="00CE628A" w14:paraId="5BE5E625" w14:textId="76551668">
                      <w:pPr>
                        <w:pStyle w:val="a32"/>
                        <w:bidi/>
                        <w:spacing w:before="240"/>
                        <w:rPr>
                          <w:rtl/>
                        </w:rPr>
                      </w:pPr>
                      <w:r w:rsidRPr="00784D0C">
                        <w:rPr>
                          <w:rtl/>
                        </w:rPr>
                        <w:t xml:space="preserve">ההגנה מפני נזקי שיטפונות - </w:t>
                      </w:r>
                      <w:r>
                        <w:rPr>
                          <w:rtl/>
                        </w:rPr>
                        <w:br/>
                      </w:r>
                      <w:r w:rsidRPr="00784D0C">
                        <w:rPr>
                          <w:rtl/>
                        </w:rPr>
                        <w:t>ביקורת מעקב</w:t>
                      </w:r>
                      <w:r w:rsidR="00D73746">
                        <w:rPr>
                          <w:rFonts w:hint="cs"/>
                          <w:rtl/>
                        </w:rPr>
                        <w:t xml:space="preserve"> </w:t>
                      </w:r>
                    </w:p>
                    <w:p w:rsidR="00CE628A" w14:paraId="5E504609" w14:textId="77777777"/>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0224" behindDoc="0" locked="0" layoutInCell="1" allowOverlap="1">
                <wp:simplePos x="0" y="0"/>
                <wp:positionH relativeFrom="column">
                  <wp:posOffset>3907155</wp:posOffset>
                </wp:positionH>
                <wp:positionV relativeFrom="paragraph">
                  <wp:posOffset>6691363</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6.9pt;margin-left:307.65pt;flip:y;mso-height-percent:0;mso-height-relative:margin;mso-width-percent:0;mso-width-relative:margin;mso-wrap-distance-bottom:0;mso-wrap-distance-left:9pt;mso-wrap-distance-right:9pt;mso-wrap-distance-top:0;mso-wrap-style:square;position:absolute;visibility:visible;v-text-anchor:middle;z-index:25170124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561B5B48">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-687070</wp:posOffset>
                </wp:positionH>
                <wp:positionV relativeFrom="paragraph">
                  <wp:posOffset>257719</wp:posOffset>
                </wp:positionV>
                <wp:extent cx="247650" cy="5670641"/>
                <wp:effectExtent l="0" t="0" r="6350" b="635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247650" cy="567064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9.5pt;height:446.5pt;margin-top:20.3pt;margin-left:-54.1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FE3A0B">
        <w:rPr>
          <w:noProof/>
          <w:rtl/>
        </w:rPr>
        <w:drawing>
          <wp:anchor distT="0" distB="0" distL="114300" distR="114300" simplePos="0" relativeHeight="251683840"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784D0C" w:rsidR="00784D0C">
        <w:rPr>
          <w:noProof/>
          <w:rtl/>
        </w:rPr>
        <w:t>ההגנה מפני נזקי שיטפונות - ביקורת מעקב</w:t>
      </w:r>
      <w:r w:rsidR="00D73746">
        <w:rPr>
          <w:rFonts w:hint="cs"/>
          <w:noProof/>
          <w:rtl/>
        </w:rPr>
        <w:t xml:space="preserve"> </w:t>
      </w:r>
    </w:p>
    <w:p w:rsidR="00784D0C" w:rsidRPr="00C032C9" w:rsidP="00784D0C" w14:paraId="201FD423" w14:textId="77777777">
      <w:pPr>
        <w:pStyle w:val="7392"/>
        <w:spacing w:before="840"/>
        <w:rPr>
          <w:rtl/>
        </w:rPr>
      </w:pPr>
      <w:r w:rsidRPr="00C032C9">
        <w:rPr>
          <w:rtl/>
        </w:rPr>
        <w:t>שינויי האקלים ואירועי מזג אוויר קיצוניים גרמו לעלייה באסונות טבע ב-50 השנים האחרונות. סערות ושיטפונות הם אסונות הטבע השכיחים ביותר שהביאו להפסדים הכלכליים הגדולים ביותר ברחבי העולם</w:t>
      </w:r>
      <w:r>
        <w:rPr>
          <w:vertAlign w:val="superscript"/>
          <w:rtl/>
        </w:rPr>
        <w:footnoteReference w:id="2"/>
      </w:r>
      <w:r w:rsidRPr="00C032C9">
        <w:rPr>
          <w:rtl/>
        </w:rPr>
        <w:t>. בשנים</w:t>
      </w:r>
      <w:r w:rsidRPr="00C032C9">
        <w:rPr>
          <w:rFonts w:hint="cs"/>
          <w:rtl/>
        </w:rPr>
        <w:t xml:space="preserve"> 2000 - 2019 </w:t>
      </w:r>
      <w:r w:rsidRPr="00C032C9">
        <w:rPr>
          <w:rtl/>
        </w:rPr>
        <w:t>אירעו כ-3,230 שיטפונות שהשפיעו על כ-1.6 מיליארד אנשים ברחבי העולם וגרמו לכ-105,000 מקרי מוות בעולם. שיטפונות אלו הסבו נזקים והפסדים כלכליים בסך של כ-651 מיליארד דולר</w:t>
      </w:r>
      <w:r>
        <w:rPr>
          <w:vertAlign w:val="superscript"/>
          <w:rtl/>
        </w:rPr>
        <w:footnoteReference w:id="3"/>
      </w:r>
      <w:r w:rsidRPr="00C032C9">
        <w:rPr>
          <w:rtl/>
        </w:rPr>
        <w:t xml:space="preserve">. </w:t>
      </w:r>
    </w:p>
    <w:p w:rsidR="00784D0C" w:rsidRPr="00C032C9" w:rsidP="00784D0C" w14:paraId="001A1032" w14:textId="77777777">
      <w:pPr>
        <w:pStyle w:val="7392"/>
        <w:rPr>
          <w:rtl/>
        </w:rPr>
      </w:pPr>
      <w:r w:rsidRPr="00C032C9">
        <w:rPr>
          <w:rtl/>
        </w:rPr>
        <w:t>גם בישראל מסבים השיטפונות מדי שנה נזק רב לרכוש, לתשתיות, לקרקע חקלאית ולפעילות הכלכלית במשק ואף גובים קורבנות בנפש. כך בשנת 2018 טבעו 10 תלמידים באסון השיטפון בנחל צפית</w:t>
      </w:r>
      <w:r>
        <w:rPr>
          <w:vertAlign w:val="superscript"/>
          <w:rtl/>
        </w:rPr>
        <w:footnoteReference w:id="4"/>
      </w:r>
      <w:r w:rsidRPr="00C032C9">
        <w:rPr>
          <w:rtl/>
        </w:rPr>
        <w:t>; בחורף 2019</w:t>
      </w:r>
      <w:r w:rsidRPr="00C032C9">
        <w:t xml:space="preserve"> </w:t>
      </w:r>
      <w:r w:rsidRPr="00C032C9">
        <w:rPr>
          <w:rtl/>
        </w:rPr>
        <w:t>-</w:t>
      </w:r>
      <w:r w:rsidRPr="00C032C9">
        <w:t xml:space="preserve"> </w:t>
      </w:r>
      <w:r w:rsidRPr="00C032C9">
        <w:rPr>
          <w:rtl/>
        </w:rPr>
        <w:t>2020 טבעו חמישה בני אדם בארבעה אירועי שיטפונות והצפות; בחורף 2022</w:t>
      </w:r>
      <w:r w:rsidRPr="00C032C9">
        <w:t xml:space="preserve"> </w:t>
      </w:r>
      <w:r w:rsidRPr="00C032C9">
        <w:rPr>
          <w:rtl/>
        </w:rPr>
        <w:t>-</w:t>
      </w:r>
      <w:r w:rsidRPr="00C032C9">
        <w:t xml:space="preserve"> </w:t>
      </w:r>
      <w:r w:rsidRPr="00C032C9">
        <w:rPr>
          <w:rtl/>
        </w:rPr>
        <w:t xml:space="preserve">2023 טבעו שני בני אדם בשיטפון בנחל ציחור; ובחורף 2023 - 2024 טבע אדם בשיטפון בנחל ציפורי. בעשורים האחרונים הואץ תהליך העיור בארץ, ובעקבות זאת צומצמו השטחים הפתוחים, וגדל השטח האטום לחלחול הנגר העילי </w:t>
      </w:r>
      <w:r w:rsidRPr="00C032C9">
        <w:rPr>
          <w:rFonts w:hint="cs"/>
          <w:rtl/>
        </w:rPr>
        <w:t>(</w:t>
      </w:r>
      <w:r w:rsidRPr="00C032C9">
        <w:rPr>
          <w:rtl/>
        </w:rPr>
        <w:t>מי משקעים הזורמים או נקווים על פני הקרקע) ולהחדרתו</w:t>
      </w:r>
      <w:r>
        <w:rPr>
          <w:vertAlign w:val="superscript"/>
          <w:rtl/>
        </w:rPr>
        <w:footnoteReference w:id="5"/>
      </w:r>
      <w:r w:rsidRPr="00C032C9">
        <w:rPr>
          <w:rtl/>
        </w:rPr>
        <w:t>.</w:t>
      </w:r>
    </w:p>
    <w:p w:rsidR="00784D0C" w:rsidRPr="00C032C9" w:rsidP="00784D0C" w14:paraId="02EBFA9A" w14:textId="77777777">
      <w:pPr>
        <w:pStyle w:val="7392"/>
        <w:rPr>
          <w:rtl/>
        </w:rPr>
      </w:pPr>
      <w:r w:rsidRPr="00C032C9">
        <w:rPr>
          <w:rtl/>
        </w:rPr>
        <w:t xml:space="preserve">קיומה של תשתית ניקוז נרחבת ומשמעותית הכרחית כדי למנוע את נזקי השיטפונות או לצמצם את היקפם בקרות אירועי קיצון. שר החקלאות וביטחון המזון (שר החקלאות או השר) רשאי מכוח חוק הניקוז וההגנה מפני שיטפונות, התשי״ח-1957 (החוק או חוק הניקוז), להכריז על שטח מסוים כאזור ניקוז, ולהקים בצו רשויות ניקוז שהן תאגידים סטטוטוריים שתפקידן לפעול לניקוזו הסדיר של התחום שייקבע להן. לפי החוק, פועלת מועצה ארצית לענייני ניקוז, שתפקידה לייעץ לשר החקלאות בעניין הכרזה על אזור ניקוז, אישור תוכניות מפעלי ניקוז על ידי רשויות ניקוז, ובכל עניין אחר של מדיניות כללית הכרוך בביצוע החוק (מועצת הניקוז). משרד החקלאות אמון על תחום שימור הקרקע ועל תחום ניהול הנגר מתוקף חוק. </w:t>
      </w:r>
    </w:p>
    <w:p w:rsidR="00784D0C" w:rsidRPr="004B4A9F" w:rsidP="00784D0C" w14:paraId="31F98E69" w14:textId="77777777">
      <w:pPr>
        <w:pStyle w:val="7392"/>
      </w:pPr>
      <w:r w:rsidRPr="00C032C9">
        <w:rPr>
          <w:rtl/>
        </w:rPr>
        <w:t>המשרד הוא המאסדר (הרגולטור) של 11 רשויות ניקוז סטטוטוריות עצמאיות</w:t>
      </w:r>
      <w:r>
        <w:rPr>
          <w:vertAlign w:val="superscript"/>
          <w:rtl/>
        </w:rPr>
        <w:footnoteReference w:id="6"/>
      </w:r>
      <w:r w:rsidRPr="00784D0C">
        <w:rPr>
          <w:vertAlign w:val="superscript"/>
          <w:rtl/>
        </w:rPr>
        <w:t xml:space="preserve"> </w:t>
      </w:r>
      <w:r w:rsidRPr="00C032C9">
        <w:rPr>
          <w:rtl/>
        </w:rPr>
        <w:t xml:space="preserve">(רשויות הניקוז). לשם הסדרת ניקוזו של שטח, נדרשת רשות הניקוז להקים, לשנות, להחזיק ולפתח מפעלי ניקוז </w:t>
      </w:r>
      <w:r w:rsidRPr="00C032C9">
        <w:rPr>
          <w:rtl/>
        </w:rPr>
        <w:t>באותו תחום, שהם למעשה פרויקטי בנייה או תשתית, שאמורים למנוע נזקי שיטפונות (מפעל ניקוז). מרבית רשויות הניקוז</w:t>
      </w:r>
      <w:r>
        <w:rPr>
          <w:vertAlign w:val="superscript"/>
          <w:rtl/>
        </w:rPr>
        <w:footnoteReference w:id="7"/>
      </w:r>
      <w:r w:rsidRPr="00C032C9">
        <w:rPr>
          <w:rtl/>
        </w:rPr>
        <w:t xml:space="preserve"> נושאות משנת 2003 גם באחריות לטיפול בנחלים שבשטחן בשלל תחומים: ניקוז, פנאי ונופש, והיבטים סביבתיים-אקולוגיים בשל מינוין גם לרשויות נחל</w:t>
      </w:r>
      <w:r>
        <w:rPr>
          <w:vertAlign w:val="superscript"/>
          <w:rtl/>
        </w:rPr>
        <w:footnoteReference w:id="8"/>
      </w:r>
      <w:r w:rsidRPr="00C032C9">
        <w:rPr>
          <w:rtl/>
        </w:rPr>
        <w:t>. יובהר כי הטיפול במקורות זיהום מים ובאיכותם לא נכלל בתפקידים ובסמכויות שהוטלו על רשויות הניקוז.</w:t>
      </w:r>
    </w:p>
    <w:p w:rsidR="00784D0C" w:rsidRPr="00C032C9" w:rsidP="00784D0C" w14:paraId="4DD9174B" w14:textId="77777777">
      <w:pPr>
        <w:pStyle w:val="7392"/>
        <w:rPr>
          <w:rtl/>
        </w:rPr>
      </w:pPr>
      <w:r w:rsidRPr="00C032C9">
        <w:rPr>
          <w:rtl/>
        </w:rPr>
        <w:t>הספקת מים לכלל צורכי המדינה וניהול משק המים והביוב נמצאים באחריות הרשות הממשלתית למים ולביוב (רשות המים). הרשויות המקומיות אחראיות על ביצוע פעולות ניקוז בשטחיהן.</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784D0C">
        <w:tblPrEx>
          <w:tblW w:w="5000" w:type="pct"/>
          <w:tblLook w:val="04A0"/>
        </w:tblPrEx>
        <w:tc>
          <w:tcPr>
            <w:tcW w:w="1164" w:type="pct"/>
            <w:tcBorders>
              <w:bottom w:val="single" w:sz="12" w:space="0" w:color="000000" w:themeColor="text1"/>
            </w:tcBorders>
            <w:vAlign w:val="bottom"/>
          </w:tcPr>
          <w:p w:rsidR="00784D0C" w:rsidRPr="00784D0C" w:rsidP="00784D0C" w14:paraId="23EB689E" w14:textId="6A3E265D">
            <w:pPr>
              <w:spacing w:after="60" w:line="240" w:lineRule="auto"/>
              <w:jc w:val="left"/>
              <w:rPr>
                <w:b/>
                <w:bCs/>
                <w:spacing w:val="-28"/>
                <w:rtl/>
              </w:rPr>
            </w:pPr>
            <w:r w:rsidRPr="00784D0C">
              <w:rPr>
                <w:rFonts w:ascii="Tahoma" w:hAnsi="Tahoma" w:cs="Tahoma"/>
                <w:b/>
                <w:bCs/>
                <w:spacing w:val="-10"/>
                <w:sz w:val="36"/>
                <w:szCs w:val="36"/>
                <w:rtl/>
              </w:rPr>
              <w:t xml:space="preserve">1.6 </w:t>
            </w:r>
            <w:r w:rsidRPr="00784D0C">
              <w:rPr>
                <w:rFonts w:ascii="Tahoma" w:hAnsi="Tahoma" w:cs="Tahoma"/>
                <w:b/>
                <w:bCs/>
                <w:spacing w:val="-10"/>
                <w:sz w:val="26"/>
                <w:szCs w:val="26"/>
                <w:rtl/>
              </w:rPr>
              <w:t>מיליארד</w:t>
            </w:r>
            <w:r w:rsidRPr="00784D0C">
              <w:rPr>
                <w:rFonts w:ascii="Tahoma" w:hAnsi="Tahoma" w:cs="Tahoma"/>
                <w:b/>
                <w:bCs/>
                <w:spacing w:val="-10"/>
                <w:sz w:val="36"/>
                <w:szCs w:val="36"/>
                <w:rtl/>
              </w:rPr>
              <w:t xml:space="preserve"> </w:t>
            </w:r>
          </w:p>
        </w:tc>
        <w:tc>
          <w:tcPr>
            <w:tcW w:w="161" w:type="pct"/>
            <w:vAlign w:val="bottom"/>
          </w:tcPr>
          <w:p w:rsidR="00784D0C" w:rsidRPr="00784D0C" w:rsidP="00784D0C"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784D0C" w:rsidRPr="00784D0C" w:rsidP="00784D0C" w14:paraId="761F4116" w14:textId="17E56064">
            <w:pPr>
              <w:pStyle w:val="2021"/>
              <w:spacing w:before="0" w:after="60"/>
              <w:rPr>
                <w:spacing w:val="-10"/>
                <w:rtl/>
              </w:rPr>
            </w:pPr>
            <w:r w:rsidRPr="00784D0C">
              <w:rPr>
                <w:spacing w:val="-10"/>
              </w:rPr>
              <w:t>651</w:t>
            </w:r>
            <w:r w:rsidRPr="00784D0C">
              <w:rPr>
                <w:spacing w:val="-10"/>
                <w:rtl/>
              </w:rPr>
              <w:t xml:space="preserve"> </w:t>
            </w:r>
            <w:r w:rsidRPr="00784D0C">
              <w:rPr>
                <w:spacing w:val="-10"/>
                <w:sz w:val="26"/>
                <w:szCs w:val="26"/>
                <w:rtl/>
              </w:rPr>
              <w:t>מיליארד דולר</w:t>
            </w:r>
          </w:p>
        </w:tc>
        <w:tc>
          <w:tcPr>
            <w:tcW w:w="161" w:type="pct"/>
            <w:vAlign w:val="bottom"/>
          </w:tcPr>
          <w:p w:rsidR="00784D0C" w:rsidRPr="00784D0C" w:rsidP="00784D0C"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784D0C" w:rsidRPr="00784D0C" w:rsidP="00784D0C" w14:paraId="2A2E27BD" w14:textId="4BAB1DD1">
            <w:pPr>
              <w:pStyle w:val="2021"/>
              <w:spacing w:before="0" w:after="60"/>
              <w:rPr>
                <w:spacing w:val="-20"/>
                <w:sz w:val="24"/>
                <w:rtl/>
              </w:rPr>
            </w:pPr>
            <w:r w:rsidRPr="00784D0C">
              <w:rPr>
                <w:spacing w:val="-10"/>
                <w:rtl/>
              </w:rPr>
              <w:t>18</w:t>
            </w:r>
            <w:r w:rsidRPr="00784D0C">
              <w:rPr>
                <w:spacing w:val="-10"/>
                <w:sz w:val="26"/>
                <w:szCs w:val="26"/>
                <w:rtl/>
              </w:rPr>
              <w:t xml:space="preserve"> נספים</w:t>
            </w:r>
          </w:p>
        </w:tc>
        <w:tc>
          <w:tcPr>
            <w:tcW w:w="182" w:type="pct"/>
            <w:vAlign w:val="bottom"/>
          </w:tcPr>
          <w:p w:rsidR="00784D0C" w:rsidRPr="00784D0C" w:rsidP="00784D0C"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784D0C" w:rsidRPr="00784D0C" w:rsidP="00784D0C" w14:paraId="5F3A3FF5" w14:textId="6ADBC38B">
            <w:pPr>
              <w:pStyle w:val="2021"/>
              <w:spacing w:before="0" w:after="60"/>
              <w:rPr>
                <w:spacing w:val="-10"/>
                <w:rtl/>
              </w:rPr>
            </w:pPr>
            <w:r w:rsidRPr="00784D0C">
              <w:rPr>
                <w:spacing w:val="-10"/>
                <w:rtl/>
              </w:rPr>
              <w:t>11</w:t>
            </w:r>
          </w:p>
        </w:tc>
      </w:tr>
      <w:tr w14:paraId="6DFAF81C" w14:textId="77777777" w:rsidTr="00784D0C">
        <w:tblPrEx>
          <w:tblW w:w="5000" w:type="pct"/>
          <w:tblLook w:val="04A0"/>
        </w:tblPrEx>
        <w:tc>
          <w:tcPr>
            <w:tcW w:w="1164" w:type="pct"/>
            <w:tcBorders>
              <w:top w:val="single" w:sz="12" w:space="0" w:color="000000" w:themeColor="text1"/>
            </w:tcBorders>
          </w:tcPr>
          <w:p w:rsidR="00784D0C" w:rsidRPr="00E52143" w:rsidP="00784D0C" w14:paraId="1D96599A" w14:textId="589674BB">
            <w:pPr>
              <w:pStyle w:val="732021"/>
              <w:spacing w:before="0" w:line="240" w:lineRule="auto"/>
              <w:rPr>
                <w:rtl/>
              </w:rPr>
            </w:pPr>
            <w:r w:rsidRPr="00C032C9">
              <w:rPr>
                <w:rtl/>
              </w:rPr>
              <w:t>מספר האנשים שהושפעו ברחבי העולם משיטפונות שאירעו בשנים 2000 - 2019</w:t>
            </w:r>
          </w:p>
        </w:tc>
        <w:tc>
          <w:tcPr>
            <w:tcW w:w="161" w:type="pct"/>
          </w:tcPr>
          <w:p w:rsidR="00784D0C" w:rsidRPr="00E52143" w:rsidP="00784D0C" w14:paraId="2BF81D8C" w14:textId="77777777">
            <w:pPr>
              <w:pStyle w:val="732021"/>
              <w:spacing w:before="0" w:line="240" w:lineRule="auto"/>
              <w:rPr>
                <w:rtl/>
              </w:rPr>
            </w:pPr>
          </w:p>
        </w:tc>
        <w:tc>
          <w:tcPr>
            <w:tcW w:w="1038" w:type="pct"/>
            <w:tcBorders>
              <w:top w:val="single" w:sz="12" w:space="0" w:color="000000" w:themeColor="text1"/>
            </w:tcBorders>
          </w:tcPr>
          <w:p w:rsidR="00784D0C" w:rsidRPr="00E52143" w:rsidP="00784D0C" w14:paraId="68924AF7" w14:textId="36C8E147">
            <w:pPr>
              <w:pStyle w:val="732021"/>
              <w:spacing w:before="0" w:line="240" w:lineRule="auto"/>
              <w:rPr>
                <w:rtl/>
              </w:rPr>
            </w:pPr>
            <w:r w:rsidRPr="00C032C9">
              <w:rPr>
                <w:rtl/>
              </w:rPr>
              <w:t>אומדן הנזקים וההפסדים הכלכליים שהסבו שיטפונות שאירעו בעולם בשנים 2000 - 2019</w:t>
            </w:r>
          </w:p>
        </w:tc>
        <w:tc>
          <w:tcPr>
            <w:tcW w:w="161" w:type="pct"/>
          </w:tcPr>
          <w:p w:rsidR="00784D0C" w:rsidRPr="00E52143" w:rsidP="00784D0C" w14:paraId="4F52CE08" w14:textId="77777777">
            <w:pPr>
              <w:pStyle w:val="732021"/>
              <w:spacing w:before="0" w:line="240" w:lineRule="auto"/>
              <w:rPr>
                <w:rtl/>
              </w:rPr>
            </w:pPr>
          </w:p>
        </w:tc>
        <w:tc>
          <w:tcPr>
            <w:tcW w:w="1151" w:type="pct"/>
            <w:tcBorders>
              <w:top w:val="single" w:sz="12" w:space="0" w:color="000000" w:themeColor="text1"/>
            </w:tcBorders>
          </w:tcPr>
          <w:p w:rsidR="00784D0C" w:rsidRPr="00E52143" w:rsidP="00784D0C" w14:paraId="203F9568" w14:textId="17397B6D">
            <w:pPr>
              <w:pStyle w:val="732021"/>
              <w:spacing w:before="0" w:line="240" w:lineRule="auto"/>
              <w:rPr>
                <w:rtl/>
              </w:rPr>
            </w:pPr>
            <w:r w:rsidRPr="00C032C9">
              <w:rPr>
                <w:rtl/>
              </w:rPr>
              <w:t>קיפדו את חייהם בשיטפונות בישראל בשנים 2018 - 2023</w:t>
            </w:r>
            <w:r>
              <w:rPr>
                <w:vertAlign w:val="superscript"/>
                <w:rtl/>
              </w:rPr>
              <w:footnoteReference w:id="9"/>
            </w:r>
            <w:r w:rsidRPr="00C032C9">
              <w:rPr>
                <w:rtl/>
              </w:rPr>
              <w:t xml:space="preserve"> </w:t>
            </w:r>
          </w:p>
        </w:tc>
        <w:tc>
          <w:tcPr>
            <w:tcW w:w="182" w:type="pct"/>
          </w:tcPr>
          <w:p w:rsidR="00784D0C" w:rsidRPr="00E52143" w:rsidP="00784D0C" w14:paraId="42538096" w14:textId="77777777">
            <w:pPr>
              <w:pStyle w:val="732021"/>
              <w:spacing w:before="0" w:line="240" w:lineRule="auto"/>
              <w:rPr>
                <w:rtl/>
              </w:rPr>
            </w:pPr>
          </w:p>
        </w:tc>
        <w:tc>
          <w:tcPr>
            <w:tcW w:w="1143" w:type="pct"/>
            <w:tcBorders>
              <w:top w:val="single" w:sz="12" w:space="0" w:color="000000" w:themeColor="text1"/>
            </w:tcBorders>
          </w:tcPr>
          <w:p w:rsidR="00784D0C" w:rsidRPr="00E52143" w:rsidP="00784D0C" w14:paraId="1878D11D" w14:textId="7E08573C">
            <w:pPr>
              <w:pStyle w:val="732021"/>
              <w:spacing w:before="0" w:line="240" w:lineRule="auto"/>
              <w:rPr>
                <w:rtl/>
              </w:rPr>
            </w:pPr>
            <w:r w:rsidRPr="00C032C9">
              <w:rPr>
                <w:rtl/>
              </w:rPr>
              <w:t>מספר רשויות הניקוז שתפקידן לפעול לניקוז בשטחן</w:t>
            </w:r>
          </w:p>
        </w:tc>
      </w:tr>
      <w:tr w14:paraId="1BD5A20C" w14:textId="77777777" w:rsidTr="00784D0C">
        <w:tblPrEx>
          <w:tblW w:w="5000" w:type="pct"/>
          <w:tblLook w:val="04A0"/>
        </w:tblPrEx>
        <w:tc>
          <w:tcPr>
            <w:tcW w:w="1164" w:type="pct"/>
            <w:tcBorders>
              <w:bottom w:val="single" w:sz="12" w:space="0" w:color="000000" w:themeColor="text1"/>
            </w:tcBorders>
            <w:vAlign w:val="bottom"/>
          </w:tcPr>
          <w:p w:rsidR="00784D0C" w:rsidRPr="00784D0C" w:rsidP="00CE628A" w14:paraId="500D3B50" w14:textId="08952526">
            <w:pPr>
              <w:spacing w:after="60" w:line="240" w:lineRule="auto"/>
              <w:jc w:val="left"/>
              <w:rPr>
                <w:rFonts w:ascii="Tahoma" w:hAnsi="Tahoma" w:eastAsiaTheme="minorEastAsia" w:cs="Tahoma"/>
                <w:b/>
                <w:bCs/>
                <w:color w:val="0D0D0D" w:themeColor="text1" w:themeTint="F2"/>
                <w:spacing w:val="-10"/>
                <w:sz w:val="36"/>
                <w:szCs w:val="36"/>
                <w:rtl/>
              </w:rPr>
            </w:pPr>
            <w:r w:rsidRPr="00784D0C">
              <w:rPr>
                <w:rFonts w:ascii="Tahoma" w:hAnsi="Tahoma" w:cs="Tahoma"/>
                <w:b/>
                <w:bCs/>
                <w:spacing w:val="-10"/>
                <w:sz w:val="36"/>
                <w:szCs w:val="36"/>
                <w:rtl/>
              </w:rPr>
              <w:t xml:space="preserve">3 </w:t>
            </w:r>
            <w:r w:rsidRPr="00784D0C">
              <w:rPr>
                <w:rFonts w:ascii="Tahoma" w:hAnsi="Tahoma" w:cs="Tahoma"/>
                <w:b/>
                <w:bCs/>
                <w:spacing w:val="-10"/>
                <w:sz w:val="26"/>
                <w:szCs w:val="26"/>
                <w:rtl/>
              </w:rPr>
              <w:t>שנים</w:t>
            </w:r>
          </w:p>
        </w:tc>
        <w:tc>
          <w:tcPr>
            <w:tcW w:w="161" w:type="pct"/>
          </w:tcPr>
          <w:p w:rsidR="00784D0C" w:rsidRPr="00784D0C" w:rsidP="00CE628A"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784D0C" w:rsidRPr="00784D0C" w:rsidP="00CE628A" w14:paraId="48896DF7" w14:textId="20CA92D9">
            <w:pPr>
              <w:pStyle w:val="2021"/>
              <w:spacing w:before="0" w:after="60"/>
              <w:rPr>
                <w:spacing w:val="-10"/>
                <w:rtl/>
              </w:rPr>
            </w:pPr>
            <w:r w:rsidRPr="00784D0C">
              <w:rPr>
                <w:spacing w:val="-10"/>
                <w:rtl/>
              </w:rPr>
              <w:t xml:space="preserve">1.5 </w:t>
            </w:r>
            <w:r w:rsidRPr="00784D0C">
              <w:rPr>
                <w:spacing w:val="-10"/>
                <w:sz w:val="26"/>
                <w:szCs w:val="26"/>
                <w:rtl/>
              </w:rPr>
              <w:t>מיליארד ש"ח בלבד</w:t>
            </w:r>
            <w:r w:rsidRPr="00784D0C">
              <w:rPr>
                <w:spacing w:val="-10"/>
                <w:rtl/>
              </w:rPr>
              <w:t xml:space="preserve"> </w:t>
            </w:r>
          </w:p>
        </w:tc>
        <w:tc>
          <w:tcPr>
            <w:tcW w:w="161" w:type="pct"/>
          </w:tcPr>
          <w:p w:rsidR="00784D0C" w:rsidRPr="00784D0C" w:rsidP="00CE628A" w14:paraId="5B4C8A80" w14:textId="77777777">
            <w:pPr>
              <w:spacing w:after="60" w:line="240" w:lineRule="auto"/>
              <w:jc w:val="left"/>
              <w:rPr>
                <w:b/>
                <w:bCs/>
                <w:rtl/>
              </w:rPr>
            </w:pPr>
          </w:p>
        </w:tc>
        <w:tc>
          <w:tcPr>
            <w:tcW w:w="1151" w:type="pct"/>
            <w:tcBorders>
              <w:bottom w:val="single" w:sz="12" w:space="0" w:color="000000" w:themeColor="text1"/>
            </w:tcBorders>
            <w:vAlign w:val="bottom"/>
          </w:tcPr>
          <w:p w:rsidR="00784D0C" w:rsidRPr="00784D0C" w:rsidP="00CE628A" w14:paraId="226A2E50" w14:textId="6CC095F4">
            <w:pPr>
              <w:spacing w:after="60" w:line="192" w:lineRule="auto"/>
              <w:jc w:val="left"/>
              <w:rPr>
                <w:rFonts w:ascii="Tahoma" w:hAnsi="Tahoma" w:eastAsiaTheme="minorEastAsia" w:cs="Tahoma"/>
                <w:b/>
                <w:bCs/>
                <w:color w:val="0D0D0D" w:themeColor="text1" w:themeTint="F2"/>
                <w:spacing w:val="-10"/>
                <w:sz w:val="36"/>
                <w:szCs w:val="36"/>
                <w:rtl/>
              </w:rPr>
            </w:pPr>
            <w:r w:rsidRPr="00784D0C">
              <w:rPr>
                <w:rFonts w:ascii="Tahoma" w:hAnsi="Tahoma" w:cs="Tahoma"/>
                <w:b/>
                <w:bCs/>
                <w:spacing w:val="-10"/>
                <w:sz w:val="36"/>
                <w:szCs w:val="36"/>
                <w:rtl/>
              </w:rPr>
              <w:t xml:space="preserve">562 </w:t>
            </w:r>
            <w:r w:rsidRPr="00784D0C">
              <w:rPr>
                <w:rFonts w:ascii="Tahoma" w:hAnsi="Tahoma" w:cs="Tahoma"/>
                <w:b/>
                <w:bCs/>
                <w:spacing w:val="-10"/>
                <w:sz w:val="26"/>
                <w:szCs w:val="26"/>
                <w:rtl/>
              </w:rPr>
              <w:t>מיליון ש"ח</w:t>
            </w:r>
          </w:p>
        </w:tc>
        <w:tc>
          <w:tcPr>
            <w:tcW w:w="182" w:type="pct"/>
          </w:tcPr>
          <w:p w:rsidR="00784D0C" w:rsidRPr="00784D0C" w:rsidP="00CE628A"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784D0C" w:rsidRPr="00784D0C" w:rsidP="00CE628A" w14:paraId="5AEEF263" w14:textId="11E752B0">
            <w:pPr>
              <w:spacing w:after="60" w:line="240" w:lineRule="auto"/>
              <w:jc w:val="left"/>
              <w:rPr>
                <w:rFonts w:ascii="Tahoma" w:hAnsi="Tahoma" w:eastAsiaTheme="minorEastAsia" w:cs="Tahoma"/>
                <w:b/>
                <w:bCs/>
                <w:color w:val="0D0D0D" w:themeColor="text1" w:themeTint="F2"/>
                <w:spacing w:val="-10"/>
                <w:sz w:val="36"/>
                <w:szCs w:val="36"/>
                <w:rtl/>
              </w:rPr>
            </w:pPr>
            <w:r w:rsidRPr="00784D0C">
              <w:rPr>
                <w:rFonts w:ascii="Tahoma" w:hAnsi="Tahoma" w:cs="Tahoma"/>
                <w:b/>
                <w:bCs/>
                <w:spacing w:val="-10"/>
                <w:sz w:val="36"/>
                <w:szCs w:val="36"/>
                <w:rtl/>
              </w:rPr>
              <w:t xml:space="preserve">17 </w:t>
            </w:r>
            <w:r w:rsidRPr="00784D0C">
              <w:rPr>
                <w:rFonts w:ascii="Tahoma" w:hAnsi="Tahoma" w:cs="Tahoma"/>
                <w:b/>
                <w:bCs/>
                <w:spacing w:val="-10"/>
                <w:sz w:val="26"/>
                <w:szCs w:val="26"/>
                <w:rtl/>
              </w:rPr>
              <w:t>שנים</w:t>
            </w:r>
            <w:r w:rsidRPr="00784D0C">
              <w:rPr>
                <w:rFonts w:ascii="Tahoma" w:hAnsi="Tahoma" w:cs="Tahoma"/>
                <w:b/>
                <w:bCs/>
                <w:spacing w:val="-10"/>
                <w:sz w:val="36"/>
                <w:szCs w:val="36"/>
                <w:rtl/>
              </w:rPr>
              <w:t xml:space="preserve"> </w:t>
            </w:r>
          </w:p>
        </w:tc>
      </w:tr>
      <w:tr w14:paraId="54154FA5" w14:textId="77777777" w:rsidTr="00784D0C">
        <w:tblPrEx>
          <w:tblW w:w="5000" w:type="pct"/>
          <w:tblLook w:val="04A0"/>
        </w:tblPrEx>
        <w:tc>
          <w:tcPr>
            <w:tcW w:w="1164" w:type="pct"/>
            <w:tcBorders>
              <w:top w:val="single" w:sz="12" w:space="0" w:color="000000" w:themeColor="text1"/>
            </w:tcBorders>
          </w:tcPr>
          <w:p w:rsidR="00784D0C" w:rsidRPr="004562F8" w:rsidP="00784D0C" w14:paraId="6DB67748" w14:textId="5C4A192A">
            <w:pPr>
              <w:pStyle w:val="732021"/>
              <w:spacing w:before="0" w:after="0" w:line="240" w:lineRule="auto"/>
              <w:rPr>
                <w:rtl/>
              </w:rPr>
            </w:pPr>
            <w:r w:rsidRPr="00C032C9">
              <w:rPr>
                <w:rtl/>
              </w:rPr>
              <w:t xml:space="preserve">העיכוב של צוות המנכ"לים (בראשות מנכ"ל משרד ראש הממשלה), בהגשת התכנית הלאומית לניהול סיכוני שיטפונות לאישור הממשלה (התוכנית טרם הוגשה) </w:t>
            </w:r>
          </w:p>
        </w:tc>
        <w:tc>
          <w:tcPr>
            <w:tcW w:w="161" w:type="pct"/>
          </w:tcPr>
          <w:p w:rsidR="00784D0C" w:rsidRPr="008D750B" w:rsidP="00784D0C" w14:paraId="0C0AE598" w14:textId="77777777">
            <w:pPr>
              <w:pStyle w:val="732021"/>
              <w:spacing w:before="0" w:after="0" w:line="240" w:lineRule="auto"/>
              <w:rPr>
                <w:rtl/>
              </w:rPr>
            </w:pPr>
          </w:p>
        </w:tc>
        <w:tc>
          <w:tcPr>
            <w:tcW w:w="1038" w:type="pct"/>
            <w:tcBorders>
              <w:top w:val="single" w:sz="12" w:space="0" w:color="000000" w:themeColor="text1"/>
            </w:tcBorders>
          </w:tcPr>
          <w:p w:rsidR="00784D0C" w:rsidRPr="004562F8" w:rsidP="00784D0C" w14:paraId="1916A301" w14:textId="19F1E516">
            <w:pPr>
              <w:pStyle w:val="732021"/>
              <w:spacing w:before="0" w:after="0" w:line="240" w:lineRule="auto"/>
              <w:rPr>
                <w:rtl/>
              </w:rPr>
            </w:pPr>
            <w:r w:rsidRPr="00C032C9">
              <w:rPr>
                <w:rtl/>
              </w:rPr>
              <w:t>הסכום שסיכמו משרד האוצר, משרד החקלאות ורשות מקרקעי ישראל (רמ"י) שיוקצה למימון פעולות פיתוח בתחום הניקוז בשנים 2022 - 2026, לעומת אומדן צורכי הפיתוח בפרויקטי ניקוז: כ-7 מיליארד ש"ח. עם זאת, סכום זה משקף הקצאה של כ-300 מיליון ש"ח לשנה, פי שישה לערך מהסכום הממוצע בשנים 2012 - 2021</w:t>
            </w:r>
          </w:p>
        </w:tc>
        <w:tc>
          <w:tcPr>
            <w:tcW w:w="161" w:type="pct"/>
          </w:tcPr>
          <w:p w:rsidR="00784D0C" w:rsidP="00784D0C" w14:paraId="14782C57" w14:textId="77777777">
            <w:pPr>
              <w:pStyle w:val="732021"/>
              <w:spacing w:before="0" w:after="0" w:line="240" w:lineRule="auto"/>
              <w:rPr>
                <w:rtl/>
              </w:rPr>
            </w:pPr>
          </w:p>
        </w:tc>
        <w:tc>
          <w:tcPr>
            <w:tcW w:w="1151" w:type="pct"/>
            <w:tcBorders>
              <w:top w:val="single" w:sz="12" w:space="0" w:color="000000" w:themeColor="text1"/>
            </w:tcBorders>
          </w:tcPr>
          <w:p w:rsidR="00784D0C" w:rsidRPr="0062456C" w:rsidP="00784D0C" w14:paraId="6149CA50" w14:textId="1F534271">
            <w:pPr>
              <w:pStyle w:val="732021"/>
              <w:spacing w:before="0" w:after="0" w:line="240" w:lineRule="auto"/>
              <w:rPr>
                <w:rtl/>
              </w:rPr>
            </w:pPr>
            <w:r w:rsidRPr="00C032C9">
              <w:rPr>
                <w:rtl/>
              </w:rPr>
              <w:t>סך מקורות ההכנסה הצפויים של רשויות הניקוז לשנת 2024</w:t>
            </w:r>
          </w:p>
        </w:tc>
        <w:tc>
          <w:tcPr>
            <w:tcW w:w="182" w:type="pct"/>
          </w:tcPr>
          <w:p w:rsidR="00784D0C" w:rsidRPr="00C92141" w:rsidP="00784D0C" w14:paraId="66E34E8E" w14:textId="77777777">
            <w:pPr>
              <w:pStyle w:val="732021"/>
              <w:spacing w:before="0" w:after="0" w:line="240" w:lineRule="auto"/>
              <w:rPr>
                <w:rtl/>
              </w:rPr>
            </w:pPr>
          </w:p>
        </w:tc>
        <w:tc>
          <w:tcPr>
            <w:tcW w:w="1143" w:type="pct"/>
            <w:tcBorders>
              <w:top w:val="single" w:sz="12" w:space="0" w:color="000000" w:themeColor="text1"/>
            </w:tcBorders>
          </w:tcPr>
          <w:p w:rsidR="00784D0C" w:rsidRPr="00C92141" w:rsidP="00784D0C" w14:paraId="39498237" w14:textId="2AB32594">
            <w:pPr>
              <w:pStyle w:val="732021"/>
              <w:spacing w:before="0" w:after="0" w:line="240" w:lineRule="auto"/>
              <w:rPr>
                <w:rtl/>
              </w:rPr>
            </w:pPr>
            <w:r w:rsidRPr="00C032C9">
              <w:rPr>
                <w:rtl/>
              </w:rPr>
              <w:t>חלפו מהעדכון האחרון שנעשה לסך השטחים שלפיהם משלמת רמ"י היטלי ניקוז לרשויות הניקוז</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784D0C" w:rsidRPr="00C032C9" w:rsidP="00784D0C" w14:paraId="1D8E539C" w14:textId="411935BC">
      <w:pPr>
        <w:pStyle w:val="7317"/>
        <w:framePr w:hSpace="180" w:wrap="around" w:vAnchor="text" w:hAnchor="text" w:xAlign="center" w:y="1"/>
        <w:suppressOverlap/>
        <w:rPr>
          <w:noProof/>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32C9">
        <w:rPr>
          <w:noProof/>
          <w:rtl/>
        </w:rPr>
        <w:t>בשנת 2021 פרסם משרד מבקר המדינה דוח מיוחד בנושא "ההגנה מפני נזקי שיטפונות" (הדוח הקודם או הביקורת הקודמת)</w:t>
      </w:r>
      <w:r>
        <w:rPr>
          <w:noProof/>
          <w:vertAlign w:val="superscript"/>
          <w:rtl/>
        </w:rPr>
        <w:footnoteReference w:id="10"/>
      </w:r>
      <w:r w:rsidRPr="00C032C9">
        <w:rPr>
          <w:noProof/>
          <w:rtl/>
        </w:rPr>
        <w:t xml:space="preserve">, ובו בדק היבטים הנוגעים לניהול הנגר העילי בישראל ולצמצום נזקי השיטפונות. בביקורת הקודמת נבחנו בין היתר הנושאים האלה: התשתית הנורמטיבית של תחום הנגר; היבטי תכנון ובנייה הנוגעים לנושא הנגר ולהקמת מפעלי ניקוז; התנהלותן התקציבית של רשויות הניקוז; נושאים הקשורים להקמת מרכז לחיזוי שיטפונות ועוד. </w:t>
      </w:r>
    </w:p>
    <w:p w:rsidR="00EB672B" w:rsidP="00784D0C" w14:paraId="21608E70" w14:textId="7F2F43B0">
      <w:pPr>
        <w:pStyle w:val="7317"/>
        <w:rPr>
          <w:rtl/>
        </w:rPr>
      </w:pPr>
      <w:r w:rsidRPr="00C032C9">
        <w:rPr>
          <w:noProof/>
          <w:rtl/>
        </w:rPr>
        <w:t>בחודשים דצמבר 2023 עד אוקטובר 2024</w:t>
      </w:r>
      <w:r>
        <w:rPr>
          <w:noProof/>
          <w:vertAlign w:val="superscript"/>
          <w:rtl/>
        </w:rPr>
        <w:footnoteReference w:id="11"/>
      </w:r>
      <w:r w:rsidRPr="00C032C9">
        <w:rPr>
          <w:noProof/>
          <w:rtl/>
        </w:rPr>
        <w:t xml:space="preserve"> ביצע משרד מבקר המדינה ביקורת מעקב בעניין תיקון ליקויים ויישומן של כמה מההמלצות שהוגשו בדוח הקודם וכן בנוגע להיבטים רלוונטיים נוספים שעלו בביקורת המעקב. הביקורת נעשתה במשרד החקלאות וברשויות הניקוז. בדיקות השלמה נעשו במשרד ראש הממשלה (משרד רה"ם), במשרד האוצר, במינהל התכנון שבמשרד הפנים, במשרד האנרגייה (רשות המים), במשרד התחבורה והבטיחות בדרכים - בשירות המטאורולוגי (השמ"ט), במשרד הפנים, במרכז השלטון המקומי (מש"ם), במרכז השלטון האזורי, ברשות מקרקעי ישראל (רמ"י), ברשות החירום הלאומית שבמשרד הביטחון (רח"ל), במשרד להג"ס, במשרד לביטחון לאומי (המשרד לבל"ם), ברשות לאכיפה במקרקעין, במשטרת ישראל (המשטרה), ברשות לאכיפה במקרקעין, ברשות הארצית לכבאות והצלה (כב"ה), ברשות הטבע והגנים (רט"ג), בחברת נתיבי ישראל (נת"י) ובמטה לביטחון לאומי (מל"ל).</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784D0C" w:rsidRPr="00C032C9" w:rsidP="00784D0C" w14:paraId="030BE935" w14:textId="568C65D1">
      <w:pPr>
        <w:pStyle w:val="7317"/>
      </w:pPr>
      <w:r w:rsidRPr="00784D0C">
        <w:rPr>
          <w:rStyle w:val="7391"/>
          <w:rFonts w:hint="cs"/>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84D0C">
        <w:rPr>
          <w:rStyle w:val="7391"/>
          <w:rtl/>
        </w:rPr>
        <w:t>הסדרה מקיפה של תחום הניקוז -</w:t>
      </w:r>
      <w:r w:rsidRPr="00C032C9">
        <w:rPr>
          <w:rtl/>
        </w:rPr>
        <w:t xml:space="preserve"> </w:t>
      </w:r>
      <w:bookmarkStart w:id="2" w:name="_Hlk183079310"/>
      <w:r w:rsidRPr="00C032C9">
        <w:rPr>
          <w:rtl/>
        </w:rPr>
        <w:t xml:space="preserve">בביקורת הקודמת עלה כי </w:t>
      </w:r>
      <w:bookmarkEnd w:id="2"/>
      <w:r w:rsidRPr="00C032C9">
        <w:rPr>
          <w:rtl/>
        </w:rPr>
        <w:t xml:space="preserve">משנת 2014 ועד מועד סיום אותה הביקורת לא קודמו הליכי החקיקה </w:t>
      </w:r>
      <w:bookmarkStart w:id="3" w:name="_Hlk189124927"/>
      <w:r w:rsidRPr="00C032C9">
        <w:rPr>
          <w:rtl/>
        </w:rPr>
        <w:t>לאסדרת תחום הניקוז</w:t>
      </w:r>
      <w:bookmarkEnd w:id="3"/>
      <w:r w:rsidRPr="00C032C9">
        <w:rPr>
          <w:rtl/>
        </w:rPr>
        <w:t xml:space="preserve">. בביקורת המעקב נמצא כי </w:t>
      </w:r>
      <w:bookmarkStart w:id="4" w:name="_Hlk183081540"/>
      <w:r w:rsidRPr="00C032C9">
        <w:rPr>
          <w:rtl/>
        </w:rPr>
        <w:t xml:space="preserve">הליקוי </w:t>
      </w:r>
      <w:r w:rsidRPr="00784D0C">
        <w:rPr>
          <w:rStyle w:val="7391"/>
          <w:rtl/>
        </w:rPr>
        <w:t>תוקן במידה חלקית</w:t>
      </w:r>
      <w:r w:rsidRPr="00C032C9">
        <w:rPr>
          <w:rtl/>
        </w:rPr>
        <w:t xml:space="preserve">, עם אישור תיקון 7 לחוק הניקוז שהסדיר סוגיות אחדות בתחום הניקוז. לצד זאת, </w:t>
      </w:r>
      <w:bookmarkEnd w:id="4"/>
      <w:r w:rsidRPr="00C032C9">
        <w:rPr>
          <w:rtl/>
        </w:rPr>
        <w:t xml:space="preserve">משרד החקלאות לא השלים תיקון חוק, וכן הועלה כי לא התקבלה החלטת ממשלה או נעשתה פעולה אחרת שתביא להסדרה מקיפה וכוללת של תחום הניקוז כנדרש. בכלל זה לא הוסדרו הנושאים הבאים: </w:t>
      </w:r>
    </w:p>
    <w:p w:rsidR="00784D0C" w:rsidRPr="00C032C9" w:rsidP="00781C4B" w14:paraId="7AFE417C" w14:textId="77777777">
      <w:pPr>
        <w:pStyle w:val="7317"/>
        <w:numPr>
          <w:ilvl w:val="0"/>
          <w:numId w:val="1431"/>
        </w:numPr>
      </w:pPr>
      <w:r w:rsidRPr="00C032C9">
        <w:rPr>
          <w:rtl/>
        </w:rPr>
        <w:t xml:space="preserve">חלוקת הסמכויות והאחריות בתחום ניהול הנגר והטיפול בו בין רשויות הניקוז לבין רשויות המקומיות בכל הנוגע לשטח שבתחומי יישובים; </w:t>
      </w:r>
    </w:p>
    <w:p w:rsidR="00784D0C" w:rsidRPr="00C032C9" w:rsidP="00781C4B" w14:paraId="07232AD6" w14:textId="77777777">
      <w:pPr>
        <w:pStyle w:val="7317"/>
        <w:numPr>
          <w:ilvl w:val="0"/>
          <w:numId w:val="1431"/>
        </w:numPr>
      </w:pPr>
      <w:r w:rsidRPr="00C032C9">
        <w:rPr>
          <w:rtl/>
        </w:rPr>
        <w:t xml:space="preserve">סוגיית הגורם המאסדר לניקוז בתחומי הרשויות המקומיות; </w:t>
      </w:r>
    </w:p>
    <w:p w:rsidR="00784D0C" w:rsidRPr="00C032C9" w:rsidP="00781C4B" w14:paraId="6B2F16CD" w14:textId="77777777">
      <w:pPr>
        <w:pStyle w:val="7317"/>
        <w:numPr>
          <w:ilvl w:val="0"/>
          <w:numId w:val="1431"/>
        </w:numPr>
      </w:pPr>
      <w:r w:rsidRPr="00C032C9">
        <w:rPr>
          <w:rtl/>
        </w:rPr>
        <w:t>פעילותן של רשויות הניקוז ליישום הגישה האגנית</w:t>
      </w:r>
      <w:r>
        <w:rPr>
          <w:vertAlign w:val="superscript"/>
          <w:rtl/>
        </w:rPr>
        <w:footnoteReference w:id="12"/>
      </w:r>
      <w:r w:rsidRPr="00C032C9">
        <w:rPr>
          <w:rtl/>
        </w:rPr>
        <w:t xml:space="preserve">; </w:t>
      </w:r>
    </w:p>
    <w:p w:rsidR="00EB672B" w:rsidRPr="00AF3B73" w:rsidP="00781C4B" w14:paraId="0B694ADB" w14:textId="5DA52F64">
      <w:pPr>
        <w:pStyle w:val="7317"/>
        <w:numPr>
          <w:ilvl w:val="0"/>
          <w:numId w:val="1431"/>
        </w:numPr>
        <w:rPr>
          <w:rtl/>
        </w:rPr>
      </w:pPr>
      <w:r w:rsidRPr="00C032C9">
        <w:rPr>
          <w:rtl/>
        </w:rPr>
        <w:t>סמכויות פיקוח ואכיפה של הוראות החוק למניעת פגיעה בעורקי הנחל ובסביבתם.</w:t>
      </w:r>
    </w:p>
    <w:p w:rsidR="00EB672B" w:rsidRPr="00AF3B73" w:rsidP="00EB672B" w14:paraId="61697365" w14:textId="7B020370">
      <w:pPr>
        <w:pStyle w:val="7317"/>
      </w:pPr>
      <w:r w:rsidRPr="00781C4B">
        <w:rPr>
          <w:rStyle w:val="7391"/>
          <w:rFonts w:hint="cs"/>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81C4B" w:rsidR="00781C4B">
        <w:rPr>
          <w:rStyle w:val="7391"/>
          <w:rtl/>
        </w:rPr>
        <w:t>ה</w:t>
      </w:r>
      <w:r w:rsidRPr="00781C4B" w:rsidR="00781C4B">
        <w:rPr>
          <w:rStyle w:val="7391"/>
          <w:rFonts w:hint="cs"/>
          <w:rtl/>
        </w:rPr>
        <w:t>י</w:t>
      </w:r>
      <w:r w:rsidRPr="00781C4B" w:rsidR="00781C4B">
        <w:rPr>
          <w:rStyle w:val="7391"/>
          <w:rtl/>
        </w:rPr>
        <w:t>ערכות לגיבוש ת</w:t>
      </w:r>
      <w:r w:rsidRPr="00781C4B" w:rsidR="00781C4B">
        <w:rPr>
          <w:rStyle w:val="7391"/>
          <w:rFonts w:hint="cs"/>
          <w:rtl/>
        </w:rPr>
        <w:t>ו</w:t>
      </w:r>
      <w:r w:rsidRPr="00781C4B" w:rsidR="00781C4B">
        <w:rPr>
          <w:rStyle w:val="7391"/>
          <w:rtl/>
        </w:rPr>
        <w:t>כנית ארצית לניהול סיכוני שיטפונות -</w:t>
      </w:r>
      <w:r w:rsidRPr="00C032C9" w:rsidR="00781C4B">
        <w:rPr>
          <w:rtl/>
        </w:rPr>
        <w:t xml:space="preserve"> </w:t>
      </w:r>
      <w:bookmarkStart w:id="5" w:name="_Hlk183080877"/>
      <w:r w:rsidRPr="00C032C9" w:rsidR="00781C4B">
        <w:rPr>
          <w:rtl/>
        </w:rPr>
        <w:t xml:space="preserve">בביקורת הקודמת עלה כי </w:t>
      </w:r>
      <w:bookmarkEnd w:id="5"/>
      <w:r w:rsidRPr="00C032C9" w:rsidR="00781C4B">
        <w:rPr>
          <w:rtl/>
        </w:rPr>
        <w:t xml:space="preserve">מתודולוגיית התוכניות לניהול סיכוני השיטפונות מקומית ואינה כוללת הנחיה בדבר תכלולן של התוכניות האגניות לתוכנית לאומית לניהול סיכוני שיטפונות בראייה כלל-ארצית. בביקורת המעקב נמצא כי הליקוי </w:t>
      </w:r>
      <w:r w:rsidRPr="00781C4B" w:rsidR="00781C4B">
        <w:rPr>
          <w:rStyle w:val="7391"/>
          <w:rtl/>
        </w:rPr>
        <w:t>תוקן במידה מועטה</w:t>
      </w:r>
      <w:r w:rsidRPr="00C032C9" w:rsidR="00781C4B">
        <w:rPr>
          <w:rtl/>
        </w:rPr>
        <w:t>. משרד החקלאות פרסם בספטמבר 2021 את המדריך לגיבוש תוכניות ניהול סיכונים אגניות, ובמועד ביקורת המעקב רוב רשויות הניקוז מצויות בשלבים ראשוניים של הכנת התוכנית האגנית לניהול סיכוני שיטפונות. לצד זאת, רק במהלך הביקורת בשנת 2024 המשרד החל בפיתוח המתודולוגיה הארצית לניהול סיכוני שיטפונות בראי</w:t>
      </w:r>
      <w:r w:rsidRPr="00C032C9" w:rsidR="00781C4B">
        <w:rPr>
          <w:rFonts w:hint="cs"/>
          <w:rtl/>
        </w:rPr>
        <w:t>י</w:t>
      </w:r>
      <w:r w:rsidRPr="00C032C9" w:rsidR="00781C4B">
        <w:rPr>
          <w:rtl/>
        </w:rPr>
        <w:t>ה כלל ארצית והצפי המשוער לסיומה הוא לקראת סוף שנת 2026</w:t>
      </w:r>
      <w:r w:rsidRPr="00AF3B73">
        <w:rPr>
          <w:rFonts w:hint="cs"/>
          <w:rtl/>
        </w:rPr>
        <w:t xml:space="preserve">. </w:t>
      </w:r>
    </w:p>
    <w:p w:rsidR="00EB672B" w:rsidRPr="00AF3B73" w:rsidP="00EB672B" w14:paraId="257CE09B" w14:textId="7DBED588">
      <w:pPr>
        <w:pStyle w:val="7317"/>
        <w:rPr>
          <w:rtl/>
        </w:rPr>
      </w:pPr>
      <w:r w:rsidRPr="00781C4B">
        <w:rPr>
          <w:rStyle w:val="7391"/>
          <w:rFonts w:hint="cs"/>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81C4B" w:rsidR="00781C4B">
        <w:rPr>
          <w:rStyle w:val="7391"/>
          <w:rtl/>
        </w:rPr>
        <w:t xml:space="preserve">הסדרת שטחי הצפה באזור מפרץ חיפה - </w:t>
      </w:r>
      <w:r w:rsidRPr="00C032C9" w:rsidR="00781C4B">
        <w:rPr>
          <w:rtl/>
        </w:rPr>
        <w:t xml:space="preserve">בביקורת הקודמת עלה כי מתקני הוויסות של נחל שפרעם ונחל סומך לא הוסדרו כמפעל ניקוז בהתאם לחוק הניקוז. בביקורת המעקב נמצא כי הליקוי </w:t>
      </w:r>
      <w:r w:rsidRPr="00781C4B" w:rsidR="00781C4B">
        <w:rPr>
          <w:rStyle w:val="7391"/>
          <w:rtl/>
        </w:rPr>
        <w:t>תוקן במידה מועטה</w:t>
      </w:r>
      <w:r w:rsidRPr="00C032C9" w:rsidR="00781C4B">
        <w:rPr>
          <w:rtl/>
        </w:rPr>
        <w:t>. מתקן הוויסות של נחל סומך נבחן ואושר בידי הוועדה ההנדסית ומעמדו הוסדר בתוכנית מפעל ניקוז שאישר השר. לעומת זאת, רשות הניקוז קישון ומשרד החקלאות לא השלימו את הפעולות הנדרשות להתאמתו של המתקן בנחל שפרעם כדי לממש את ייעודו לספק הגנה נאותה בהתאם לאירועי התכן השונים ולהסדרתו בתוכנית מפעל ניקוז</w:t>
      </w:r>
      <w:r w:rsidRPr="00AF3B73">
        <w:rPr>
          <w:rFonts w:hint="cs"/>
          <w:rtl/>
        </w:rPr>
        <w:t>.</w:t>
      </w:r>
    </w:p>
    <w:p w:rsidR="00EB672B" w:rsidRPr="00AF3B73" w:rsidP="00EB672B" w14:paraId="42C157E6" w14:textId="43766101">
      <w:pPr>
        <w:pStyle w:val="7317"/>
      </w:pPr>
      <w:r w:rsidRPr="00781C4B">
        <w:rPr>
          <w:rStyle w:val="7391"/>
          <w:rFonts w:hint="cs"/>
          <w:rtl/>
        </w:rPr>
        <w:drawing>
          <wp:anchor distT="0" distB="0" distL="114300" distR="11430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81C4B" w:rsidR="00781C4B">
        <w:rPr>
          <w:rStyle w:val="7391"/>
          <w:rtl/>
        </w:rPr>
        <w:t>מודל כלכלי או תחשיבים כלכליים לתקצוב השוטף של רשויות הניקוז -</w:t>
      </w:r>
      <w:r w:rsidRPr="00C032C9" w:rsidR="00781C4B">
        <w:rPr>
          <w:rtl/>
        </w:rPr>
        <w:t xml:space="preserve"> </w:t>
      </w:r>
      <w:bookmarkStart w:id="6" w:name="_Hlk183082866"/>
      <w:r w:rsidRPr="00C032C9" w:rsidR="00781C4B">
        <w:rPr>
          <w:rtl/>
        </w:rPr>
        <w:t xml:space="preserve">בביקורת הקודמת עלה פער בשיעור של מאות אחוזים בתעריפים לבית אב ולדונם שגובות רשויות ניקוז שונות. עוד עלה כי </w:t>
      </w:r>
      <w:bookmarkEnd w:id="6"/>
      <w:r w:rsidRPr="00C032C9" w:rsidR="00781C4B">
        <w:rPr>
          <w:rtl/>
        </w:rPr>
        <w:t xml:space="preserve">אין ברשויות הניקוז או במשרד החקלאות תחשיבים כלכליים הבוחנים את התקציבים הנדרשים לכל אחת מרשויות הניקוז לצרכיה השוטפים ולצורכי הפיתוח שלה בהתאם לסיכונים המצויים בתחומי הרשות, תוך השוואתם למכסות שהיא גובה. בביקורת המעקב נמצא כי הליקוי </w:t>
      </w:r>
      <w:r w:rsidRPr="00781C4B" w:rsidR="00781C4B">
        <w:rPr>
          <w:rStyle w:val="7391"/>
          <w:rtl/>
        </w:rPr>
        <w:t>תוקן במידה מועטה</w:t>
      </w:r>
      <w:r w:rsidRPr="00C032C9" w:rsidR="00781C4B">
        <w:rPr>
          <w:rtl/>
        </w:rPr>
        <w:t>. משרדי החקלאות והאוצר לא הובילו תהליך לגיבוש מודל כלכלי חדש או מעודכן לגבייה הנדרשת מהרשויות המקומיות ומרמ"י, בהתאם להמלצת מבקר המדינה</w:t>
      </w:r>
      <w:r w:rsidRPr="00AF3B73">
        <w:rPr>
          <w:rFonts w:hint="cs"/>
          <w:rtl/>
        </w:rPr>
        <w:t xml:space="preserve">. </w:t>
      </w:r>
    </w:p>
    <w:p w:rsidR="00EB672B" w:rsidRPr="00AF3B73" w:rsidP="00EB672B" w14:paraId="0E55F83C" w14:textId="69A1AA4C">
      <w:pPr>
        <w:pStyle w:val="7317"/>
      </w:pPr>
      <w:r w:rsidRPr="00781C4B">
        <w:rPr>
          <w:rStyle w:val="7391"/>
          <w:rFonts w:hint="cs"/>
          <w:rtl/>
        </w:rPr>
        <w:drawing>
          <wp:anchor distT="0" distB="0" distL="114300" distR="11430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81C4B" w:rsidR="00781C4B">
        <w:rPr>
          <w:rStyle w:val="7391"/>
          <w:rtl/>
        </w:rPr>
        <w:t>תעריף היטלי הניקוז לבית אב ברשויות המקומיות ששטח שיפוטן שייך לתחומי כמה רשויות ניקוז -</w:t>
      </w:r>
      <w:r w:rsidRPr="00C032C9" w:rsidR="00781C4B">
        <w:rPr>
          <w:rtl/>
        </w:rPr>
        <w:t xml:space="preserve"> בביקורת הקודמת עלה כי היו מקרים שבהם רשויות ניקוז שונות גבו מאותה רשות מקומית תעריף שונה לבית אב (פערים של עד כ-300% יותר). בביקורת המעקב נמצא כי הליקוי </w:t>
      </w:r>
      <w:r w:rsidRPr="00781C4B" w:rsidR="00781C4B">
        <w:rPr>
          <w:rStyle w:val="7391"/>
          <w:rtl/>
        </w:rPr>
        <w:t>תוקן במידה מועטה</w:t>
      </w:r>
      <w:r w:rsidRPr="00C032C9" w:rsidR="00781C4B">
        <w:rPr>
          <w:rtl/>
        </w:rPr>
        <w:t xml:space="preserve"> וכי עדיין ניכרים פערים בשיעור של עד כ-154% בהיטלי הניקוז לבית אב שמטילות רשויות ניקוז שונות על אותה רשות מקומית</w:t>
      </w:r>
      <w:r w:rsidRPr="00AF3B73">
        <w:rPr>
          <w:rFonts w:hint="cs"/>
          <w:rtl/>
        </w:rPr>
        <w:t xml:space="preserve">. </w:t>
      </w:r>
    </w:p>
    <w:p w:rsidR="00EB672B" w:rsidRPr="00AF3B73" w:rsidP="00EB672B" w14:paraId="1320DBEF" w14:textId="53AE57A5">
      <w:pPr>
        <w:pStyle w:val="7317"/>
        <w:rPr>
          <w:rtl/>
        </w:rPr>
      </w:pPr>
      <w:r w:rsidRPr="00781C4B">
        <w:rPr>
          <w:rStyle w:val="7391"/>
          <w:rFonts w:hint="cs"/>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81C4B" w:rsidR="00781C4B">
        <w:rPr>
          <w:rStyle w:val="7391"/>
          <w:rtl/>
        </w:rPr>
        <w:t>חישוב השטחים שבגינם משלמת רמ"י היטלי ניקוז לרשויות הניקוז -</w:t>
      </w:r>
      <w:r w:rsidRPr="00C032C9" w:rsidR="00781C4B">
        <w:rPr>
          <w:rtl/>
        </w:rPr>
        <w:t xml:space="preserve"> בביקורת הקודמת עלה כי הבסיס לחישוב השטחים שבעדם משלמת רמ"י את היטלי הניקוז מתבסס על מיפוי שערך משרד החקלאות בשנת 2007 ולא עודכן מאז. בביקורת המעקב נמצא כי הליקוי </w:t>
      </w:r>
      <w:r w:rsidRPr="00781C4B" w:rsidR="00781C4B">
        <w:rPr>
          <w:rStyle w:val="7391"/>
          <w:rtl/>
        </w:rPr>
        <w:t>לא תוקן</w:t>
      </w:r>
      <w:r w:rsidRPr="00C032C9" w:rsidR="00781C4B">
        <w:rPr>
          <w:rtl/>
        </w:rPr>
        <w:t xml:space="preserve">. המיפוי משנת 2007 עדיין משמש בסיס לחישוב השטחים שבעדם משלמת רמ"י היטלים לרשויות הניקוז. משום כך לכאורה לא נגרעו השטחים שרמ"י </w:t>
      </w:r>
      <w:r w:rsidRPr="00C032C9" w:rsidR="00781C4B">
        <w:rPr>
          <w:rtl/>
        </w:rPr>
        <w:t>החכירה לדורות וכן שטחים שהוקמו עליהם ערים או שכונות חדשות מסך השטחים שלפיהם מחושבות המכסות, והמיפוי הקיים אינו משקף את המציאות לאשורה</w:t>
      </w:r>
      <w:r w:rsidRPr="00AF3B73">
        <w:rPr>
          <w:rFonts w:hint="cs"/>
          <w:rtl/>
        </w:rPr>
        <w:t>.</w:t>
      </w:r>
    </w:p>
    <w:p w:rsidR="00EB672B" w:rsidP="00EB672B" w14:paraId="6EA213E6" w14:textId="45C48286">
      <w:pPr>
        <w:pStyle w:val="7317"/>
        <w:rPr>
          <w:rtl/>
        </w:rPr>
      </w:pPr>
      <w:r w:rsidRPr="00781C4B">
        <w:rPr>
          <w:rStyle w:val="7391"/>
          <w:rFonts w:hint="cs"/>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81C4B" w:rsidR="00781C4B">
        <w:rPr>
          <w:rStyle w:val="7391"/>
          <w:rtl/>
        </w:rPr>
        <w:t>מועד העברת תשלומי ההיטלים מרמ"י לרשויות הניקוז -</w:t>
      </w:r>
      <w:r w:rsidRPr="00C032C9" w:rsidR="00781C4B">
        <w:rPr>
          <w:rtl/>
        </w:rPr>
        <w:t xml:space="preserve"> בביקורת הקודמת עלה כי העיכוב בתשלומי רמ"י לרשויות הניקוז, הנובע בין היתר ממועד קבלת החלטת הממשלה השנתית על התשלום, מקשה על רשויות הניקוז לפעול. בביקורת המעקב נמצא כי הליקוי </w:t>
      </w:r>
      <w:r w:rsidRPr="00781C4B" w:rsidR="00781C4B">
        <w:rPr>
          <w:rStyle w:val="7391"/>
          <w:rtl/>
        </w:rPr>
        <w:t>תוקן במידה מועטה</w:t>
      </w:r>
      <w:r w:rsidRPr="00C032C9" w:rsidR="00781C4B">
        <w:rPr>
          <w:rtl/>
        </w:rPr>
        <w:t>. חוק הניקוז תוקן באופן שמייתר את הצורך בהחלטת ממשלה לצורך ביצוע התשלום. עם זאת, רמ"י שילמה את כספי ההיטלים לשנת 2024 לרשויות הניקוז בסך של כ-59.6 מיליון ש"ח רק ביוני 2024. נמצא כי משרד החקלאות ורמ"י לא הסדירו את מועד העברת תשלומי ההיטלים לרשויות הניקוז באופן שיביא לתשלום ההיטל מיד בסמוך לאישור תקציבי רשות הניקוז, ויאפשר לרשויות הניקוז התנהלות תקציבית תקינה ומיטבית</w:t>
      </w:r>
      <w:r w:rsidRPr="00AF3B73">
        <w:rPr>
          <w:rFonts w:hint="cs"/>
          <w:rtl/>
        </w:rPr>
        <w:t xml:space="preserve">. </w:t>
      </w:r>
    </w:p>
    <w:p w:rsidR="00781C4B" w:rsidP="00781C4B" w14:paraId="0D390008" w14:textId="14541FBD">
      <w:pPr>
        <w:pStyle w:val="7317"/>
        <w:rPr>
          <w:rtl/>
        </w:rPr>
      </w:pPr>
      <w:r w:rsidRPr="00781C4B">
        <w:rPr>
          <w:rStyle w:val="7391"/>
          <w:rFonts w:hint="cs"/>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0196959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6959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81C4B">
        <w:rPr>
          <w:rStyle w:val="7391"/>
          <w:rtl/>
        </w:rPr>
        <w:t xml:space="preserve">גביית היטלי ניקוז מבעלי קרקעות פרטיים במקרקעין שאינם כלולים בתחום של רשות מקומית - </w:t>
      </w:r>
      <w:bookmarkStart w:id="7" w:name="_Hlk183085809"/>
      <w:r w:rsidRPr="00C032C9">
        <w:rPr>
          <w:rtl/>
        </w:rPr>
        <w:t>קיימים בעלי מקרקעין פרטיים שהקרקע שבבעלותם אינה בתחום של רשות מקומית. בביקורת הקודמת עלה כי</w:t>
      </w:r>
      <w:bookmarkEnd w:id="7"/>
      <w:r w:rsidRPr="00C032C9">
        <w:rPr>
          <w:rtl/>
        </w:rPr>
        <w:t xml:space="preserve"> רק שני גורמים נושאים בעלות ההוצאות השוטפות של רשויות הניקוז, הרשויות המקומיות ורמ"י, ואין גבייה מבעלי הקרקעות הפרטיים שמחוץ לתחומי הרשויות המקומיות. בביקורת המעקב נמצא כי הליקוי </w:t>
      </w:r>
      <w:r w:rsidRPr="00781C4B">
        <w:rPr>
          <w:rStyle w:val="7391"/>
          <w:rtl/>
        </w:rPr>
        <w:t>לא תוקן</w:t>
      </w:r>
      <w:r w:rsidRPr="00C032C9">
        <w:rPr>
          <w:rtl/>
        </w:rPr>
        <w:t>. המשרד ורשויות הניקוז לא פעלו לממש את האפשרות שניתנת לרשויות הניקוז בחוק לגבות ארנונות מיוחדות או היטלים מבעלי קרקעות פרטיים הנמצאים בתחומן ומחוץ לתחומי הרשויות המקומיות. בפועל בעלי קרקעות אלה אינם נושאים בעלות צורכי הניקוז, ככל שהם האחראים הישירים לצורך בפעולות הניקוז או נהנים מהן</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781C4B" w:rsidRPr="00C032C9" w:rsidP="00781C4B" w14:paraId="614C1E21" w14:textId="77777777">
      <w:pPr>
        <w:spacing w:after="180" w:line="288" w:lineRule="auto"/>
        <w:ind w:left="397"/>
        <w:rPr>
          <w:rFonts w:ascii="Tahoma" w:hAnsi="Tahoma" w:cs="Tahoma"/>
          <w:color w:val="0D0D0D" w:themeColor="text1" w:themeTint="F2"/>
          <w:sz w:val="18"/>
          <w:szCs w:val="18"/>
          <w:rtl/>
        </w:rPr>
      </w:pPr>
      <w:r w:rsidRPr="00781C4B">
        <w:rPr>
          <w:rStyle w:val="7391"/>
          <w:rtl/>
        </w:rPr>
        <w:t>תיקון חוק הניקוז -</w:t>
      </w:r>
      <w:r w:rsidRPr="00C032C9">
        <w:rPr>
          <w:rFonts w:ascii="Tahoma" w:hAnsi="Tahoma" w:cs="Tahoma"/>
          <w:color w:val="0D0D0D" w:themeColor="text1" w:themeTint="F2"/>
          <w:sz w:val="18"/>
          <w:szCs w:val="18"/>
          <w:rtl/>
        </w:rPr>
        <w:t xml:space="preserve"> בביקורת הקודמת עלה כי משרד החקלאות ומרכז השלטון המקומי לא הצליחו להגיע להסכמות ביניהם, ולפי כך לא קודמו הליכי החקיקה לאסדרת תחום הניקוז. </w:t>
      </w:r>
      <w:bookmarkStart w:id="8" w:name="_Hlk183335268"/>
      <w:r w:rsidRPr="00C032C9">
        <w:rPr>
          <w:rFonts w:ascii="Tahoma" w:hAnsi="Tahoma" w:cs="Tahoma"/>
          <w:color w:val="0D0D0D" w:themeColor="text1" w:themeTint="F2"/>
          <w:sz w:val="18"/>
          <w:szCs w:val="18"/>
          <w:rtl/>
        </w:rPr>
        <w:t>בביקורת המעקב עלה כי אושר תיקון 7 לחוק הניקוז. משרד מבקר המדינה מציין לחיוב את פעולות משרד החקלאות שהביאו לאישור התיקון שהסדיר סוגיות אחדות שעלו בתזכיר הממוקד, ובהן בין היתר: ריכוז סמכויות רגולטוריות בתחום ניהול הנגר על פי החוק במשרד החקלאות; מתן הוראות למען הבטחת התנהלות תקינה ויעילה של רשויות הניקוז; ועיגון סמכות רשות ניקוז לגבות היטלי ניקוז מרמ"י ישירות.</w:t>
      </w:r>
      <w:bookmarkEnd w:id="8"/>
    </w:p>
    <w:p w:rsidR="00781C4B" w:rsidRPr="00C032C9" w:rsidP="00781C4B" w14:paraId="402CB02E" w14:textId="77777777">
      <w:pPr>
        <w:spacing w:after="180" w:line="288" w:lineRule="auto"/>
        <w:ind w:left="397"/>
        <w:rPr>
          <w:rFonts w:ascii="Tahoma" w:hAnsi="Tahoma" w:cs="Tahoma"/>
          <w:color w:val="0D0D0D" w:themeColor="text1" w:themeTint="F2"/>
          <w:sz w:val="18"/>
          <w:szCs w:val="18"/>
          <w:rtl/>
        </w:rPr>
      </w:pPr>
      <w:r w:rsidRPr="00781C4B">
        <w:rPr>
          <w:rStyle w:val="7391"/>
          <w:rtl/>
        </w:rPr>
        <w:t xml:space="preserve">הסדרת פעילות המרכז לחיזוי שיטפונות וממשקיו עם גופי החירום - </w:t>
      </w:r>
      <w:r w:rsidRPr="00C032C9">
        <w:rPr>
          <w:rFonts w:ascii="Tahoma" w:hAnsi="Tahoma" w:cs="Tahoma"/>
          <w:color w:val="0D0D0D" w:themeColor="text1" w:themeTint="F2"/>
          <w:sz w:val="18"/>
          <w:szCs w:val="18"/>
          <w:rtl/>
        </w:rPr>
        <w:t xml:space="preserve">בביקורת הקודמת עלה הצורך בהסדרת מעמדו של המרכז לחיזוי שיטפונות (מרכז החיזוי). בביקורת המעקב עלה כי אף שצורך זה עלה לאורך השנים, מרכז החיזוי פעל רק באמצעות נוהל מוסכם בין הארגונים. בהיעדר הסדרה, כארבע שנים לאחר הקמתו, התגלעה מחלוקת מהותית בין השמ"ט ורשות המים בנוגע לתפקידים, לאחריות ולסמכות במתן תחזיות ואזהרות מפני שיטפונות והצפות. בביקורת המעקב נמצא כי הליקוי </w:t>
      </w:r>
      <w:r w:rsidRPr="00781C4B">
        <w:rPr>
          <w:rStyle w:val="7391"/>
          <w:rtl/>
        </w:rPr>
        <w:t xml:space="preserve">תוקן במידה חלקית. </w:t>
      </w:r>
      <w:r w:rsidRPr="00C032C9">
        <w:rPr>
          <w:rFonts w:ascii="Tahoma" w:hAnsi="Tahoma" w:cs="Tahoma"/>
          <w:color w:val="0D0D0D" w:themeColor="text1" w:themeTint="F2"/>
          <w:sz w:val="18"/>
          <w:szCs w:val="18"/>
          <w:rtl/>
        </w:rPr>
        <w:t>בדצמבר 2024 הממשלה החליטה</w:t>
      </w:r>
      <w:r>
        <w:rPr>
          <w:rFonts w:ascii="Tahoma" w:hAnsi="Tahoma" w:cs="Tahoma"/>
          <w:color w:val="0D0D0D" w:themeColor="text1" w:themeTint="F2"/>
          <w:sz w:val="18"/>
          <w:szCs w:val="18"/>
          <w:vertAlign w:val="superscript"/>
          <w:rtl/>
        </w:rPr>
        <w:footnoteReference w:id="13"/>
      </w:r>
      <w:r w:rsidRPr="00C032C9">
        <w:rPr>
          <w:rFonts w:ascii="Tahoma" w:hAnsi="Tahoma" w:cs="Tahoma"/>
          <w:color w:val="0D0D0D" w:themeColor="text1" w:themeTint="F2"/>
          <w:sz w:val="18"/>
          <w:szCs w:val="18"/>
          <w:rtl/>
        </w:rPr>
        <w:t xml:space="preserve"> שהשמ"ט יהיה הגוף האחראי להפיק תחזיות מזג אוויר ואזהרות מפני תופעות מזג אוויר מסוכנות לרכוש או לחיי אדם, ובכלל זה להפקת תחזיות </w:t>
      </w:r>
      <w:r w:rsidRPr="00C032C9">
        <w:rPr>
          <w:rFonts w:ascii="Tahoma" w:hAnsi="Tahoma" w:cs="Tahoma"/>
          <w:color w:val="0D0D0D" w:themeColor="text1" w:themeTint="F2"/>
          <w:sz w:val="18"/>
          <w:szCs w:val="18"/>
          <w:rtl/>
        </w:rPr>
        <w:t xml:space="preserve">ואזהרות מפני הצפות, שיטפונות, ושיטפונות בזק (מהירים). עוד הוחלט כי תוקם ועדת היגוי בראשות מנהל השמ"ט לצורך היערכות להפצת אזהרות בנושא שיטפונות ושיטפונות בזק. </w:t>
      </w:r>
    </w:p>
    <w:p w:rsidR="00781C4B" w:rsidRPr="00C032C9" w:rsidP="00781C4B" w14:paraId="0D6FA689" w14:textId="77777777">
      <w:pPr>
        <w:spacing w:after="180" w:line="288" w:lineRule="auto"/>
        <w:ind w:left="397"/>
        <w:rPr>
          <w:rFonts w:ascii="Tahoma" w:hAnsi="Tahoma" w:cs="Tahoma"/>
          <w:color w:val="0D0D0D" w:themeColor="text1" w:themeTint="F2"/>
          <w:sz w:val="18"/>
          <w:szCs w:val="18"/>
        </w:rPr>
      </w:pPr>
      <w:r w:rsidRPr="00C032C9">
        <w:rPr>
          <w:rFonts w:ascii="Tahoma" w:hAnsi="Tahoma" w:cs="Tahoma"/>
          <w:color w:val="0D0D0D" w:themeColor="text1" w:themeTint="F2"/>
          <w:sz w:val="18"/>
          <w:szCs w:val="18"/>
          <w:rtl/>
        </w:rPr>
        <w:t xml:space="preserve">בהקשר זה יצוין כי אירוע השיטפון בכביש 40 מאפריל 2023 </w:t>
      </w:r>
      <w:r w:rsidRPr="00C032C9">
        <w:rPr>
          <w:rFonts w:ascii="Tahoma" w:hAnsi="Tahoma" w:cs="Tahoma" w:hint="cs"/>
          <w:color w:val="0D0D0D" w:themeColor="text1" w:themeTint="F2"/>
          <w:sz w:val="18"/>
          <w:szCs w:val="18"/>
          <w:rtl/>
        </w:rPr>
        <w:t>ש</w:t>
      </w:r>
      <w:r w:rsidRPr="00C032C9">
        <w:rPr>
          <w:rFonts w:ascii="Tahoma" w:hAnsi="Tahoma" w:cs="Tahoma"/>
          <w:color w:val="0D0D0D" w:themeColor="text1" w:themeTint="F2"/>
          <w:sz w:val="18"/>
          <w:szCs w:val="18"/>
          <w:rtl/>
        </w:rPr>
        <w:t>בו נספו שני בני אדם, ממחיש את החשיבות בהשלמת התהליך להבטחת פעילות משולבת ומתואמת בין מרכז החיזוי לבין גופי החירום. פעולה זו הכרחית להבטחת היערכות הולמת מבעוד מועד לטיפול באירועי שיטפונות ולמניעת פגיעה בנפש וברכוש. מתחקיר המשטרה בעקבות האירוע עלה כי שיטת הפעולה של יצירת תמונת מצב ארצית ואזורית באמצעות תחזיות ואזהרות השמ"ט ומרכז החיזוי נמצאה יעילה אך מבחינת המשטרה יש לקבל מהמרכז לחיזוי שיטפונות מיקוד מדויק יותר של השיטפונות הצפויים לפי נחלים, בעוד שלפי רשות המים ההתרעה לגבי השיטפון בכביש 40 הי</w:t>
      </w:r>
      <w:r w:rsidRPr="00C032C9">
        <w:rPr>
          <w:rFonts w:ascii="Tahoma" w:hAnsi="Tahoma" w:cs="Tahoma" w:hint="cs"/>
          <w:color w:val="0D0D0D" w:themeColor="text1" w:themeTint="F2"/>
          <w:sz w:val="18"/>
          <w:szCs w:val="18"/>
          <w:rtl/>
        </w:rPr>
        <w:t>י</w:t>
      </w:r>
      <w:r w:rsidRPr="00C032C9">
        <w:rPr>
          <w:rFonts w:ascii="Tahoma" w:hAnsi="Tahoma" w:cs="Tahoma"/>
          <w:color w:val="0D0D0D" w:themeColor="text1" w:themeTint="F2"/>
          <w:sz w:val="18"/>
          <w:szCs w:val="18"/>
          <w:rtl/>
        </w:rPr>
        <w:t xml:space="preserve">תה מדויקת וממוקדת. </w:t>
      </w:r>
    </w:p>
    <w:p w:rsidR="00781C4B" w:rsidRPr="00C032C9" w:rsidP="00781C4B" w14:paraId="0F5496BC" w14:textId="77777777">
      <w:pPr>
        <w:spacing w:after="180" w:line="288" w:lineRule="auto"/>
        <w:ind w:left="397"/>
        <w:rPr>
          <w:rFonts w:ascii="Tahoma" w:hAnsi="Tahoma" w:cs="Tahoma"/>
          <w:color w:val="0D0D0D" w:themeColor="text1" w:themeTint="F2"/>
          <w:sz w:val="18"/>
          <w:szCs w:val="18"/>
        </w:rPr>
      </w:pPr>
      <w:r w:rsidRPr="00781C4B">
        <w:rPr>
          <w:rStyle w:val="7391"/>
          <w:rtl/>
        </w:rPr>
        <w:t>הרכב מועצת הניקוז -</w:t>
      </w:r>
      <w:r w:rsidRPr="00C032C9">
        <w:rPr>
          <w:rFonts w:ascii="Tahoma" w:hAnsi="Tahoma" w:cs="Tahoma"/>
          <w:color w:val="0D0D0D" w:themeColor="text1" w:themeTint="F2"/>
          <w:sz w:val="18"/>
          <w:szCs w:val="18"/>
          <w:rtl/>
        </w:rPr>
        <w:t xml:space="preserve"> בביקורת הקודמת עלה כי מועצת הניקוז פעלה ללא 12 נציגי ציבור, באופן שאינו תואם את הוראות החוק. בביקורת המעקב נמצא כי הליקוי </w:t>
      </w:r>
      <w:r w:rsidRPr="00781C4B">
        <w:rPr>
          <w:rStyle w:val="7391"/>
          <w:rtl/>
        </w:rPr>
        <w:t xml:space="preserve">תוקן באופן מלא. </w:t>
      </w:r>
      <w:r w:rsidRPr="00C032C9">
        <w:rPr>
          <w:rFonts w:ascii="Tahoma" w:hAnsi="Tahoma" w:cs="Tahoma"/>
          <w:color w:val="0D0D0D" w:themeColor="text1" w:themeTint="F2"/>
          <w:sz w:val="18"/>
          <w:szCs w:val="18"/>
          <w:rtl/>
        </w:rPr>
        <w:t>חוק הניקוז תוקן, הרכב המועצה שונה באופן שיהיו חברים בה נציגים ממשרדי ממשלה רלוונטיים, השלטון המקומי ונציגי ציבור, והוא אויש במלואו כקבוע בחוק.</w:t>
      </w:r>
    </w:p>
    <w:p w:rsidR="00781C4B" w:rsidRPr="00C032C9" w:rsidP="00781C4B" w14:paraId="3B277048" w14:textId="77777777">
      <w:pPr>
        <w:spacing w:after="180" w:line="288" w:lineRule="auto"/>
        <w:ind w:left="397"/>
        <w:rPr>
          <w:rFonts w:ascii="Tahoma" w:hAnsi="Tahoma" w:cs="Tahoma"/>
          <w:color w:val="0D0D0D" w:themeColor="text1" w:themeTint="F2"/>
          <w:sz w:val="18"/>
          <w:szCs w:val="18"/>
          <w:rtl/>
        </w:rPr>
      </w:pPr>
      <w:r w:rsidRPr="00781C4B">
        <w:rPr>
          <w:rStyle w:val="7391"/>
          <w:rtl/>
        </w:rPr>
        <w:t>פערים בסימון נחלים בת</w:t>
      </w:r>
      <w:r w:rsidRPr="00781C4B">
        <w:rPr>
          <w:rStyle w:val="7391"/>
          <w:rFonts w:hint="cs"/>
          <w:rtl/>
        </w:rPr>
        <w:t>ו</w:t>
      </w:r>
      <w:r w:rsidRPr="00781C4B">
        <w:rPr>
          <w:rStyle w:val="7391"/>
          <w:rtl/>
        </w:rPr>
        <w:t>כנית מתאר ארצית -</w:t>
      </w:r>
      <w:r w:rsidRPr="00C032C9">
        <w:rPr>
          <w:rFonts w:ascii="Tahoma" w:hAnsi="Tahoma" w:cs="Tahoma"/>
          <w:color w:val="0D0D0D" w:themeColor="text1" w:themeTint="F2"/>
          <w:sz w:val="18"/>
          <w:szCs w:val="18"/>
          <w:rtl/>
        </w:rPr>
        <w:t xml:space="preserve"> בביקורת הקודמת עלה כי הנחלים בתמ"א 1 מסומנים כקו ולא כפוליגון המשקף את כל תחומי הנחל על שימושיו השונים ואינם יכולים לשמש בסיס תכנוני להוראות ולתשריטי התוכניות הכפופים לתמ"א. כן עלה כי פשטי ההצפה</w:t>
      </w:r>
      <w:r>
        <w:rPr>
          <w:rFonts w:ascii="Tahoma" w:hAnsi="Tahoma" w:cs="Tahoma"/>
          <w:color w:val="0D0D0D" w:themeColor="text1" w:themeTint="F2"/>
          <w:sz w:val="18"/>
          <w:szCs w:val="18"/>
          <w:vertAlign w:val="superscript"/>
          <w:rtl/>
        </w:rPr>
        <w:footnoteReference w:id="14"/>
      </w:r>
      <w:r w:rsidRPr="00C032C9">
        <w:rPr>
          <w:rFonts w:ascii="Tahoma" w:hAnsi="Tahoma" w:cs="Tahoma"/>
          <w:color w:val="0D0D0D" w:themeColor="text1" w:themeTint="F2"/>
          <w:sz w:val="18"/>
          <w:szCs w:val="18"/>
          <w:rtl/>
        </w:rPr>
        <w:t xml:space="preserve"> המסומנים בתמ"א 1 אינם מעודכנים, וקיים חשש כי יעשה בהם שימוש האסור על פיה. </w:t>
      </w:r>
      <w:bookmarkStart w:id="9" w:name="_Hlk188180593"/>
      <w:r w:rsidRPr="00C032C9">
        <w:rPr>
          <w:rFonts w:ascii="Tahoma" w:hAnsi="Tahoma" w:cs="Tahoma"/>
          <w:color w:val="0D0D0D" w:themeColor="text1" w:themeTint="F2"/>
          <w:sz w:val="18"/>
          <w:szCs w:val="18"/>
          <w:rtl/>
        </w:rPr>
        <w:t xml:space="preserve">בביקורת המעקב נמצא כי </w:t>
      </w:r>
      <w:bookmarkEnd w:id="9"/>
      <w:r w:rsidRPr="00C032C9">
        <w:rPr>
          <w:rFonts w:ascii="Tahoma" w:hAnsi="Tahoma" w:cs="Tahoma"/>
          <w:color w:val="0D0D0D" w:themeColor="text1" w:themeTint="F2"/>
          <w:sz w:val="18"/>
          <w:szCs w:val="18"/>
          <w:rtl/>
        </w:rPr>
        <w:t xml:space="preserve">הליקוי </w:t>
      </w:r>
      <w:r w:rsidRPr="00781C4B">
        <w:rPr>
          <w:rStyle w:val="7391"/>
          <w:rtl/>
        </w:rPr>
        <w:t>תוקן במידה רבה.</w:t>
      </w:r>
      <w:r w:rsidRPr="00C032C9">
        <w:rPr>
          <w:rFonts w:ascii="Tahoma" w:hAnsi="Tahoma" w:cs="Tahoma"/>
          <w:color w:val="0D0D0D" w:themeColor="text1" w:themeTint="F2"/>
          <w:sz w:val="18"/>
          <w:szCs w:val="18"/>
          <w:rtl/>
        </w:rPr>
        <w:t xml:space="preserve"> במסגרת שינוי תמ"א 7/1 (שהכנתו מצויה בשלבי עבודה מתקדמים במועד ביקורת המעקב), פועלים מינהל התכנון ומשרד החקלאות כדי לעדכן את פשטי ההצפה בתמ"א 1 ואת ההנחיות על הרחבת תחומי הנחלים וסימונם כפוליגון בתוכניות הכפופות לתמ"א.</w:t>
      </w:r>
    </w:p>
    <w:p w:rsidR="00781C4B" w:rsidRPr="00C032C9" w:rsidP="00781C4B" w14:paraId="730B46A8" w14:textId="77777777">
      <w:pPr>
        <w:spacing w:after="180" w:line="288" w:lineRule="auto"/>
        <w:ind w:left="397"/>
        <w:rPr>
          <w:rFonts w:ascii="Tahoma" w:hAnsi="Tahoma" w:cs="Tahoma"/>
          <w:color w:val="0D0D0D" w:themeColor="text1" w:themeTint="F2"/>
          <w:sz w:val="18"/>
          <w:szCs w:val="18"/>
          <w:rtl/>
        </w:rPr>
      </w:pPr>
      <w:r w:rsidRPr="00781C4B">
        <w:rPr>
          <w:rStyle w:val="7391"/>
          <w:rtl/>
        </w:rPr>
        <w:t xml:space="preserve">עדכון רשויות הניקוז בהליכי התכנון של תוכניות מתאר שיש להן השפעה בתחום הניקוז - </w:t>
      </w:r>
      <w:r w:rsidRPr="00C032C9">
        <w:rPr>
          <w:rFonts w:ascii="Tahoma" w:hAnsi="Tahoma" w:cs="Tahoma"/>
          <w:color w:val="0D0D0D" w:themeColor="text1" w:themeTint="F2"/>
          <w:sz w:val="18"/>
          <w:szCs w:val="18"/>
          <w:rtl/>
        </w:rPr>
        <w:t xml:space="preserve">בביקורת הקודמת עלה כי רשויות הניקוז אינן מיודעות על הליכי התכנון של כל תוכניות המתאר אשר עשויות להשפיע מחוץ לגבולותיהן בנושאי נגר עילי, הצפות או מי תהום. זאת במקרים שבהם מוסד תכנון פטר את מגיש התוכנית מצירוף מסמך לניהול הנגר. בביקורת המעקב נמצא כי הליקוי </w:t>
      </w:r>
      <w:r w:rsidRPr="00781C4B">
        <w:rPr>
          <w:rStyle w:val="7391"/>
          <w:rtl/>
        </w:rPr>
        <w:t>תוקן באופן מלא.</w:t>
      </w:r>
      <w:r w:rsidRPr="00C032C9">
        <w:rPr>
          <w:rFonts w:ascii="Tahoma" w:hAnsi="Tahoma" w:cs="Tahoma"/>
          <w:color w:val="0D0D0D" w:themeColor="text1" w:themeTint="F2"/>
          <w:sz w:val="18"/>
          <w:szCs w:val="18"/>
          <w:rtl/>
        </w:rPr>
        <w:t xml:space="preserve"> בתמ"א 8/1, המעדכנת את תמ"א 1, נקבע כי פטור כאמור יינתן רק לאחר התייעצות עם רשות הניקוז, דבר האמור להבטיח כי רשויות הניקוז יהיו מודעות לכלל התוכניות, גם אלה שיקבלו פטור מהכנת מסמך לניהול הנגר.</w:t>
      </w:r>
    </w:p>
    <w:p w:rsidR="00781C4B" w:rsidRPr="00C032C9" w:rsidP="00781C4B" w14:paraId="12A28655" w14:textId="77777777">
      <w:pPr>
        <w:spacing w:after="180" w:line="288" w:lineRule="auto"/>
        <w:ind w:left="397"/>
        <w:rPr>
          <w:rFonts w:ascii="Tahoma" w:hAnsi="Tahoma" w:cs="Tahoma"/>
          <w:color w:val="0D0D0D" w:themeColor="text1" w:themeTint="F2"/>
          <w:sz w:val="18"/>
          <w:szCs w:val="18"/>
          <w:rtl/>
        </w:rPr>
      </w:pPr>
      <w:r w:rsidRPr="00781C4B">
        <w:rPr>
          <w:rStyle w:val="7391"/>
          <w:rtl/>
        </w:rPr>
        <w:t xml:space="preserve">מיזמים לאומיים לתיעדוף פעולות לצמצום נזקי שיטפונות, תוכנית מתאר ארצית ייעודית להגנה מפני נזקי שיטפונות - </w:t>
      </w:r>
      <w:r w:rsidRPr="00C032C9">
        <w:rPr>
          <w:rFonts w:ascii="Tahoma" w:hAnsi="Tahoma" w:cs="Tahoma"/>
          <w:color w:val="0D0D0D" w:themeColor="text1" w:themeTint="F2"/>
          <w:sz w:val="18"/>
          <w:szCs w:val="18"/>
          <w:rtl/>
        </w:rPr>
        <w:t xml:space="preserve">בביקורת הקודמת עלה כי בתוכניות המתאר הארציות אין הגנה סטטוטורית מספקת לתשתיות הידרולוגיות (נחלים, פשטי הצפה, ערוצי ניקוז ואתרי ויסות נגר) שנועדו לצמצם ואף למנוע נזקי שיטפונות במקומות מועדים לכך בארץ. בביקורת המעקב נמצא כי הליקוי </w:t>
      </w:r>
      <w:r w:rsidRPr="00781C4B">
        <w:rPr>
          <w:rStyle w:val="7391"/>
          <w:rtl/>
        </w:rPr>
        <w:t xml:space="preserve">תוקן במידה רבה. </w:t>
      </w:r>
      <w:r w:rsidRPr="00C032C9">
        <w:rPr>
          <w:rFonts w:ascii="Tahoma" w:hAnsi="Tahoma" w:cs="Tahoma"/>
          <w:color w:val="0D0D0D" w:themeColor="text1" w:themeTint="F2"/>
          <w:sz w:val="18"/>
          <w:szCs w:val="18"/>
          <w:rtl/>
        </w:rPr>
        <w:t xml:space="preserve">הכנתה של תמ"א 7/1 </w:t>
      </w:r>
      <w:r w:rsidRPr="00C032C9">
        <w:rPr>
          <w:rFonts w:ascii="Tahoma" w:hAnsi="Tahoma" w:cs="Tahoma"/>
          <w:color w:val="0D0D0D" w:themeColor="text1" w:themeTint="F2"/>
          <w:sz w:val="18"/>
          <w:szCs w:val="18"/>
          <w:rtl/>
        </w:rPr>
        <w:t>שהחלה במחצית שנת 2022, ונמצאת כעת בשלב הכנת החלופות של אתרי ויסות שייכללו בתמ"א ובחירת החלופות המתאימות להיכלל בה.</w:t>
      </w:r>
    </w:p>
    <w:p w:rsidR="00781C4B" w:rsidRPr="00C032C9" w:rsidP="00781C4B" w14:paraId="0008228E" w14:textId="77777777">
      <w:pPr>
        <w:spacing w:after="180" w:line="288" w:lineRule="auto"/>
        <w:ind w:left="397"/>
        <w:rPr>
          <w:rFonts w:ascii="Tahoma" w:hAnsi="Tahoma" w:cs="Tahoma"/>
          <w:color w:val="0D0D0D" w:themeColor="text1" w:themeTint="F2"/>
          <w:sz w:val="18"/>
          <w:szCs w:val="18"/>
          <w:rtl/>
        </w:rPr>
      </w:pPr>
      <w:r w:rsidRPr="00781C4B">
        <w:rPr>
          <w:rStyle w:val="7391"/>
          <w:rtl/>
        </w:rPr>
        <w:t>פרסום בדבר הכנת תוכניות מפעל ניקוז - שיתוף הציבור בהוראות התוכניות המאושרות ובתשריטים -</w:t>
      </w:r>
      <w:r w:rsidRPr="00C032C9">
        <w:rPr>
          <w:rFonts w:ascii="Tahoma" w:hAnsi="Tahoma" w:cs="Tahoma"/>
          <w:color w:val="0D0D0D" w:themeColor="text1" w:themeTint="F2"/>
          <w:sz w:val="18"/>
          <w:szCs w:val="18"/>
          <w:rtl/>
        </w:rPr>
        <w:t xml:space="preserve"> בביקורת הקודמת עלה כי המידע על תוכניות מפעלי הניקוז מאושרות, שהמשרד הנגיש לציבור באתר האינטרנט (המרשתת) שלו, אינו כולל את מסמכי התוכניות ואת התשריטים שלהן. בביקורת המעקב נמצא כי הליקוי </w:t>
      </w:r>
      <w:r w:rsidRPr="00781C4B">
        <w:rPr>
          <w:rStyle w:val="7391"/>
          <w:rtl/>
        </w:rPr>
        <w:t>תוקן במידה רבה.</w:t>
      </w:r>
      <w:r w:rsidRPr="00C032C9">
        <w:rPr>
          <w:rFonts w:ascii="Tahoma" w:hAnsi="Tahoma" w:cs="Tahoma"/>
          <w:color w:val="0D0D0D" w:themeColor="text1" w:themeTint="F2"/>
          <w:sz w:val="18"/>
          <w:szCs w:val="18"/>
          <w:rtl/>
        </w:rPr>
        <w:t xml:space="preserve"> אומנם המשרד טרם הנגיש לציבור באתרו במרשתת או בדרך אחרת את מסמכי תוכניות מפעלי הניקוז ואת התשריטים שלהן, עם זאת, בהתאם להנחיות המשותפות של המשרד ומינהל התכנון מפברואר 2024, ההוראות והתשריטים של תוכניות מפעלי ניקוז אמורות להיות מוטמעות במערכת ממוחשבת (מבא"ת</w:t>
      </w:r>
      <w:r>
        <w:rPr>
          <w:rFonts w:ascii="Tahoma" w:hAnsi="Tahoma" w:cs="Tahoma"/>
          <w:color w:val="0D0D0D" w:themeColor="text1" w:themeTint="F2"/>
          <w:sz w:val="18"/>
          <w:szCs w:val="18"/>
          <w:vertAlign w:val="superscript"/>
          <w:rtl/>
        </w:rPr>
        <w:footnoteReference w:id="15"/>
      </w:r>
      <w:r w:rsidRPr="00C032C9">
        <w:rPr>
          <w:rFonts w:ascii="Tahoma" w:hAnsi="Tahoma" w:cs="Tahoma"/>
          <w:color w:val="0D0D0D" w:themeColor="text1" w:themeTint="F2"/>
          <w:sz w:val="18"/>
          <w:szCs w:val="18"/>
          <w:rtl/>
        </w:rPr>
        <w:t>) ומונגשות לציבור באמצעות אתר המידע התכנוני של מינהל התכנון. כמן כן, שכבת המידע הגיאוגרפי על תוכניות מפעלי הניקוז המאושרות הוקמה גם באתר המפות הממשלתי.</w:t>
      </w:r>
    </w:p>
    <w:p w:rsidR="00781C4B" w:rsidRPr="00C032C9" w:rsidP="00781C4B" w14:paraId="5322537D" w14:textId="77777777">
      <w:pPr>
        <w:spacing w:after="180" w:line="288" w:lineRule="auto"/>
        <w:ind w:left="397"/>
        <w:rPr>
          <w:rFonts w:ascii="Tahoma" w:hAnsi="Tahoma" w:cs="Tahoma"/>
          <w:color w:val="0D0D0D" w:themeColor="text1" w:themeTint="F2"/>
          <w:sz w:val="18"/>
          <w:szCs w:val="18"/>
          <w:rtl/>
        </w:rPr>
      </w:pPr>
      <w:r w:rsidRPr="00781C4B">
        <w:rPr>
          <w:rStyle w:val="7391"/>
          <w:rtl/>
        </w:rPr>
        <w:t>פעולות המשרד להגדלת תקציב הפיתוח המוקצה לטיפול בשיטפונות -</w:t>
      </w:r>
      <w:r w:rsidRPr="00C032C9">
        <w:rPr>
          <w:rFonts w:ascii="Tahoma" w:hAnsi="Tahoma" w:cs="Tahoma"/>
          <w:color w:val="0D0D0D" w:themeColor="text1" w:themeTint="F2"/>
          <w:sz w:val="18"/>
          <w:szCs w:val="18"/>
          <w:rtl/>
        </w:rPr>
        <w:t xml:space="preserve"> בביקורת הקודמת עלה כי למרות הצורך בהקצאת משאבים מתאימים לתכנון, לפיתוח ולביצוע של פרויקטים חדשים לניקוז, ועל אף היעדר הסכם בתוקף בין משרדי החקלאות, האוצר ורמ"י לקידום תוכניות הניקוז החל בשנת 2023, לא נחתם סיכום תקציבי בנושא. כמו כן, התקציב הממשלתי המיועד לנושא, שנקבע בשנת 2010, לא שיקף את צורכי הניקוז באותה עת ואת הצרכים העתידיים. </w:t>
      </w:r>
      <w:bookmarkStart w:id="10" w:name="_Hlk183085450"/>
      <w:r w:rsidRPr="00C032C9">
        <w:rPr>
          <w:rFonts w:ascii="Tahoma" w:hAnsi="Tahoma" w:cs="Tahoma"/>
          <w:color w:val="0D0D0D" w:themeColor="text1" w:themeTint="F2"/>
          <w:sz w:val="18"/>
          <w:szCs w:val="18"/>
          <w:rtl/>
        </w:rPr>
        <w:t xml:space="preserve">בביקורת המעקב נמצא כי הליקוי </w:t>
      </w:r>
      <w:r w:rsidRPr="00781C4B">
        <w:rPr>
          <w:rStyle w:val="7391"/>
          <w:rtl/>
        </w:rPr>
        <w:t>תוקן במידה רבה.</w:t>
      </w:r>
      <w:r w:rsidRPr="00C032C9">
        <w:rPr>
          <w:rFonts w:ascii="Tahoma" w:hAnsi="Tahoma" w:cs="Tahoma"/>
          <w:color w:val="0D0D0D" w:themeColor="text1" w:themeTint="F2"/>
          <w:sz w:val="18"/>
          <w:szCs w:val="18"/>
          <w:rtl/>
        </w:rPr>
        <w:t xml:space="preserve"> </w:t>
      </w:r>
      <w:bookmarkEnd w:id="10"/>
      <w:r w:rsidRPr="00C032C9">
        <w:rPr>
          <w:rFonts w:ascii="Tahoma" w:hAnsi="Tahoma" w:cs="Tahoma"/>
          <w:color w:val="0D0D0D" w:themeColor="text1" w:themeTint="F2"/>
          <w:sz w:val="18"/>
          <w:szCs w:val="18"/>
          <w:rtl/>
        </w:rPr>
        <w:t>משרדי האוצר, החקלאות ורמ"י פעלו להקצאת תקציב בשנים 2022 - 2026 למימון פעולות לצמצום נזקי שיטפונות ולתכנון ולהקמה של פרויקטי ניקוז למימוש תוכניות לדיור בסך כולל של כמיליארד ש"ח וחצי; כ-695 מיליון ש"ח מתקציב המשרד וכ-800 מיליון ש"ח מתקציב רמ"י, שהוא פי ששה מהתקציב שהוקצה בעשור שקדם לתקופת הביקורת הקודמת. עם זאת, אומדן הצרכים הנוכחי הוא כ-7 מיליארד ש"ח.</w:t>
      </w:r>
    </w:p>
    <w:p w:rsidR="00781C4B" w:rsidRPr="00C032C9" w:rsidP="00781C4B" w14:paraId="66E9BB33" w14:textId="77777777">
      <w:pPr>
        <w:spacing w:after="180" w:line="288" w:lineRule="auto"/>
        <w:ind w:left="397"/>
        <w:rPr>
          <w:rFonts w:ascii="Tahoma" w:hAnsi="Tahoma" w:cs="Tahoma"/>
          <w:color w:val="0D0D0D" w:themeColor="text1" w:themeTint="F2"/>
          <w:sz w:val="18"/>
          <w:szCs w:val="18"/>
          <w:rtl/>
        </w:rPr>
      </w:pPr>
      <w:r w:rsidRPr="00781C4B">
        <w:rPr>
          <w:rStyle w:val="7391"/>
          <w:rtl/>
        </w:rPr>
        <w:t xml:space="preserve">דירוג הפרויקטים: תעריף בית אב - </w:t>
      </w:r>
      <w:r w:rsidRPr="00C032C9">
        <w:rPr>
          <w:rFonts w:ascii="Tahoma" w:hAnsi="Tahoma" w:cs="Tahoma"/>
          <w:color w:val="0D0D0D" w:themeColor="text1" w:themeTint="F2"/>
          <w:sz w:val="18"/>
          <w:szCs w:val="18"/>
          <w:rtl/>
        </w:rPr>
        <w:t xml:space="preserve">בביקורת הקודמת עלה כי השיטה שהונהגה בנוהל התמיכה של משרד החקלאות, לפיה אחוז ההשתתפות של המשרד בפרויקטים לניהול נגר של רשויות הניקוז נגזר מהתעריף לבית אב שקבעו רשויות הניקוז, עלולה לגרום לכך שפרויקטי ניקוז חשובים לא יזכו למימון מספיק ולכן לא יבוצעו. בביקורת המעקב נמצא כי הליקוי </w:t>
      </w:r>
      <w:r w:rsidRPr="00781C4B">
        <w:rPr>
          <w:rStyle w:val="7391"/>
          <w:rtl/>
        </w:rPr>
        <w:t>תוקן באופן מלא.</w:t>
      </w:r>
      <w:r w:rsidRPr="00C032C9">
        <w:rPr>
          <w:rFonts w:ascii="Tahoma" w:hAnsi="Tahoma" w:cs="Tahoma"/>
          <w:color w:val="0D0D0D" w:themeColor="text1" w:themeTint="F2"/>
          <w:sz w:val="18"/>
          <w:szCs w:val="18"/>
          <w:rtl/>
        </w:rPr>
        <w:t xml:space="preserve"> משרד החקלאות החליט לבטל את השיטה המתחשבת בגובה התעריף לבית אב של רשות הניקוז במתן התמיכות, וכך יפעל בתמיכות הבאות שיקצה. </w:t>
      </w:r>
    </w:p>
    <w:p w:rsidR="00781C4B" w:rsidRPr="00C032C9" w:rsidP="00781C4B" w14:paraId="2FBF845F" w14:textId="77777777">
      <w:pPr>
        <w:spacing w:after="180" w:line="288" w:lineRule="auto"/>
        <w:ind w:left="397"/>
        <w:rPr>
          <w:rFonts w:ascii="Tahoma" w:hAnsi="Tahoma" w:cs="Tahoma"/>
          <w:color w:val="0D0D0D" w:themeColor="text1" w:themeTint="F2"/>
          <w:sz w:val="18"/>
          <w:szCs w:val="18"/>
          <w:rtl/>
        </w:rPr>
      </w:pPr>
      <w:r w:rsidRPr="00781C4B">
        <w:rPr>
          <w:rStyle w:val="7391"/>
          <w:rtl/>
        </w:rPr>
        <w:t>ניצול תקציבי התמיכות שאישר משרד החקלאות לרשויות הניקוז -</w:t>
      </w:r>
      <w:r w:rsidRPr="00C032C9">
        <w:rPr>
          <w:rFonts w:ascii="Tahoma" w:hAnsi="Tahoma" w:cs="Tahoma"/>
          <w:color w:val="0D0D0D" w:themeColor="text1" w:themeTint="F2"/>
          <w:sz w:val="18"/>
          <w:szCs w:val="18"/>
          <w:rtl/>
        </w:rPr>
        <w:t xml:space="preserve"> </w:t>
      </w:r>
      <w:bookmarkStart w:id="11" w:name="_Hlk183086326"/>
      <w:r w:rsidRPr="00C032C9">
        <w:rPr>
          <w:rFonts w:ascii="Tahoma" w:hAnsi="Tahoma" w:cs="Tahoma"/>
          <w:color w:val="0D0D0D" w:themeColor="text1" w:themeTint="F2"/>
          <w:sz w:val="18"/>
          <w:szCs w:val="18"/>
          <w:rtl/>
        </w:rPr>
        <w:t xml:space="preserve">בביקורת הקודמת עלה כי </w:t>
      </w:r>
      <w:bookmarkEnd w:id="11"/>
      <w:r w:rsidRPr="00C032C9">
        <w:rPr>
          <w:rFonts w:ascii="Tahoma" w:hAnsi="Tahoma" w:cs="Tahoma"/>
          <w:color w:val="0D0D0D" w:themeColor="text1" w:themeTint="F2"/>
          <w:sz w:val="18"/>
          <w:szCs w:val="18"/>
          <w:rtl/>
        </w:rPr>
        <w:t xml:space="preserve">כמחצית מרשויות הניקוז (6) מימשו פחות מ-80% מכספי התמיכות עבור פרויקטים לניהול נגר וניקוז שאושרו להן בשנים 2014 - 2016. בביקורת המעקב נמצא כי הליקוי </w:t>
      </w:r>
      <w:r w:rsidRPr="00781C4B">
        <w:rPr>
          <w:rStyle w:val="7391"/>
          <w:rtl/>
        </w:rPr>
        <w:t>תוקן במידה רבה.</w:t>
      </w:r>
      <w:r w:rsidRPr="00C032C9">
        <w:rPr>
          <w:rFonts w:ascii="Tahoma" w:hAnsi="Tahoma" w:cs="Tahoma"/>
          <w:color w:val="0D0D0D" w:themeColor="text1" w:themeTint="F2"/>
          <w:sz w:val="18"/>
          <w:szCs w:val="18"/>
          <w:rtl/>
        </w:rPr>
        <w:t xml:space="preserve"> בשנים 2018 - 2020, שיעור ניצול התמיכות בתשע רשויות הניקוז עמד על יותר מ-80%, בשש מתוכן שיעור הניצול עמד על 90% ומעלה (קישון, כינרת, שרון, שורק לכיש, ים המלח, ערבה). לעומת זאת, שיעור ניצול התמיכות ברשות ניקוז גליל מערבי וברשות ניקוז ירקון עמד על 29% ו-75% (בהתאמה). </w:t>
      </w:r>
    </w:p>
    <w:p w:rsidR="00EB672B" w:rsidRPr="00CA4EB1" w:rsidP="00781C4B" w14:paraId="3D4B0578" w14:textId="6145F91E">
      <w:pPr>
        <w:pStyle w:val="7317"/>
        <w:rPr>
          <w:rtl/>
        </w:rPr>
      </w:pPr>
      <w:r w:rsidRPr="00781C4B">
        <w:rPr>
          <w:rStyle w:val="7391"/>
          <w:rtl/>
        </w:rPr>
        <w:t>התקציב לפעילות מרכז החיזוי -</w:t>
      </w:r>
      <w:r w:rsidRPr="00C032C9">
        <w:rPr>
          <w:rtl/>
        </w:rPr>
        <w:t xml:space="preserve"> בביקורת הקודמת עלה כי תקציב מרכז החיזוי לשנת 2021 נקבע על סמך הערכת המצב הקיים, ולא על בסיס תוכנית עבודה רב-שנתית מסודרת. בביקורת המעקב נמצא כי הליקוי </w:t>
      </w:r>
      <w:r w:rsidRPr="00781C4B">
        <w:rPr>
          <w:rStyle w:val="7391"/>
          <w:rtl/>
        </w:rPr>
        <w:t>תוקן במידה רבה</w:t>
      </w:r>
      <w:r w:rsidRPr="00C032C9">
        <w:rPr>
          <w:rtl/>
        </w:rPr>
        <w:t xml:space="preserve"> שכן השמ"ט הצהיר כי באפשרותו להפעיל את מרכז החיזוי מתקציבו הקיים</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206820CC">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032C9" w:rsidR="00781C4B">
        <w:rPr>
          <w:rtl/>
        </w:rPr>
        <w:t>על משרד החקלאות, משרד רה"ם, המשרד להג"ס, משרד הפנים ורשות המים, בהתייעצות עם מש"ם ומרכז השלטון האזורי לפעול כדי להשלים את הסדרת תחום הניקוז ולהכריע במחלוקות המתמשכות בנושא. בכלל זה, עליהם להחליט על המודל שיביא לאסדרה מיטבית כוללת של תחום ניהול הנגר והניקוז במדינה, ועל זהות הגורם הממשלתי שיהיה אחראי לניהול הנגר בתחומי הרשויות המקומיות; ולגבש הסכמות על גבולות הסמכות והאחריות בין רשויות הניקוז ובין הרשויות המקומיות. עוד עליהם להסדיר את סמכותן ותפקידן של רשויות הניקוז ליישום הגישה האגנית ולקבוע מנגנונים אפקטיביים לפיקוח ואכיפה של המגבלות שהוטלו בחוק למניעת פגיעה בעורקי הנחלים ובסביבתם</w:t>
      </w:r>
      <w:r w:rsidRPr="007C7D40">
        <w:rPr>
          <w:rFonts w:hint="cs"/>
          <w:rtl/>
        </w:rPr>
        <w:t xml:space="preserve">. </w:t>
      </w:r>
    </w:p>
    <w:p w:rsidR="00EB672B" w:rsidRPr="007C7D40" w:rsidP="00EB672B" w14:paraId="723E2ABD" w14:textId="534A0C49">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032C9" w:rsidR="00781C4B">
        <w:rPr>
          <w:rtl/>
        </w:rPr>
        <w:t xml:space="preserve">על השמ"ט לפעול כדי להבטיח שהמרכז לחיזוי שיטפונות שעל הקמתו החליטה הממשלה בדצמבר 2024, ימלא את ייעודו, יפיץ את תוצריו במועד בקרב כלל הנוגעים בדבר כדי למנוע קורבנות נוספים עקב אירועי שיטפון. </w:t>
      </w:r>
      <w:bookmarkStart w:id="12" w:name="_Hlk190068375"/>
      <w:r w:rsidRPr="00C032C9" w:rsidR="00781C4B">
        <w:rPr>
          <w:rtl/>
        </w:rPr>
        <w:t xml:space="preserve">נוכח החשיבות שבהפצת תוצרים אמינים מבעוד מועד, </w:t>
      </w:r>
      <w:bookmarkEnd w:id="12"/>
      <w:r w:rsidRPr="00C032C9" w:rsidR="00781C4B">
        <w:rPr>
          <w:rtl/>
        </w:rPr>
        <w:t>מצופה שכל הגורמים המעורבים - השמ"ט, המשרד לבל"ם, משרד החקלאות, רשות המים, המשטרה ויתר גופי החירום - ירתמו ויפעלו בשיתוף פעולה מלא להבטחת הפצת ההתראות כנדרש, ובאופן מדויק ככל האפשר, ולביצוע ההיערכות הנדרשת בשטח בעקבותיהן</w:t>
      </w:r>
      <w:r w:rsidRPr="007C7D40">
        <w:rPr>
          <w:rtl/>
        </w:rPr>
        <w:t xml:space="preserve">. </w:t>
      </w:r>
    </w:p>
    <w:p w:rsidR="00EB672B" w:rsidRPr="007C7D40" w:rsidP="00EB672B" w14:paraId="55FA89EC" w14:textId="73078907">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032C9" w:rsidR="00781C4B">
        <w:rPr>
          <w:rtl/>
        </w:rPr>
        <w:t>על משרד החקלאות לסיים את הכנת המתודולוגיה הארצית לניהול סיכוני שיטפונות במועד שנקבע ולכלול בה כלים לגיבוש החלטות ותיעדוף ברמה הלאומית. בהתאם לכך, עליו להקצות תמיכות עבור תוכניות ניהול נגר וניקוז בהלימה למתודולוגיה הארצית שתקבע</w:t>
      </w:r>
      <w:r w:rsidRPr="007C7D40">
        <w:rPr>
          <w:rFonts w:hint="cs"/>
          <w:rtl/>
        </w:rPr>
        <w:t>.</w:t>
      </w:r>
    </w:p>
    <w:p w:rsidR="00EB672B" w:rsidRPr="007C7D40" w:rsidP="00EB672B" w14:paraId="078A06EB" w14:textId="1DFD5DA5">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032C9" w:rsidR="00781C4B">
        <w:rPr>
          <w:rtl/>
        </w:rPr>
        <w:t>מומלץ שמשרד החקלאות יקבע בנוהל אחוד את המידע על מאפייני תוכנית מפעל ניקוז שיש לפרט, ובו הנחיות בנושאים הידרולוגיים ובנושאים אקולוגיים ונופיים. עוד מומלץ שלאחר שרשויות הניקוז ישלימו את הכנת תוכניות ניהול הסיכונים האגניות, המשרד ידרוש מרשויות הניקוז להוסיף לתוכניות מפעל הניקוז שמוגשות לאישורו פירוט על אודות התאמתן לאסטרטגיית הפעולה שנקבעה בתוכנית ניהול הסיכונים</w:t>
      </w:r>
      <w:r w:rsidRPr="007C7D40">
        <w:rPr>
          <w:rFonts w:hint="cs"/>
          <w:rtl/>
        </w:rPr>
        <w:t>.</w:t>
      </w:r>
    </w:p>
    <w:p w:rsidR="00EB672B" w:rsidRPr="007C7D40" w:rsidP="00EB672B" w14:paraId="5538133A" w14:textId="268614B7">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032C9" w:rsidR="00781C4B">
        <w:rPr>
          <w:rtl/>
        </w:rPr>
        <w:t>על משרד החקלאות ועל רשות ניקוז קישון לוודא את ביצוען של כל הפעולות הנדרשות להתאמת יכולתו ויעילותו של מתקן הוויסות של נחל שפרעם למניעת נזקי שיטפונות הצפויים להתרחש לפי תקופות חזרה שונות. יש להסדיר על פי דין את מעמדם של מתקן הוויסות וכל שטחי ההצפה הנדרשים בסמוך לו. אם בסופו של תהליך, יתברר שביצוע ההתאמות הנדרשות אינו אפשרי, על המשרד ועל רשות ניקוז קישון לפעול בהתאם לסמכויותיהם להסדרת פתרון ויסות חליפי ובר-קיימא לאורך שנים, בהתאם להוראות הדין</w:t>
      </w:r>
      <w:r w:rsidRPr="007C7D40">
        <w:rPr>
          <w:rFonts w:hint="cs"/>
          <w:rtl/>
        </w:rPr>
        <w:t>.</w:t>
      </w:r>
    </w:p>
    <w:p w:rsidR="00EB672B" w:rsidP="00EB672B" w14:paraId="63467834" w14:textId="3CCF5C1B">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032C9" w:rsidR="00781C4B">
        <w:rPr>
          <w:rtl/>
        </w:rPr>
        <w:t>על משרד החקלאות, בשיתוף משרדי האוצר, והפנים ובהתייעצות עם מש"ם והמרכז לשלטון אזורי, לערוך בחינה כלכלית מקיפה של המשאבים הנדרשים לרשויות הניקוז לעומת המקורות העומדים לרשותן, ולגבש מודל כלכלי מעודכן לגבייה הנדרשת מהרשויות המקומיות ומרמ"י. כאמור, על המודל להתבסס בין היתר על הערכת העלויות בתוכניות ניהול סיכונים של רשויות הניקוז, על עלות הקמת פרויקטי ניקוז ועלות תחזוקת תשתיות הניקוז, ובשים לב ככל האפשר, להנאה שיש לגורם המשלם מפעולות הניקוז, כקבוע בחוק</w:t>
      </w:r>
      <w:r w:rsidRPr="008E57FE">
        <w:rPr>
          <w:rFonts w:hint="cs"/>
          <w:rtl/>
        </w:rPr>
        <w:t>.</w:t>
      </w:r>
    </w:p>
    <w:p w:rsidR="00362505" w:rsidP="00362505" w14:paraId="74A7651D" w14:textId="3465CCEC">
      <w:pPr>
        <w:pStyle w:val="731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032C9" w:rsidR="00781C4B">
        <w:rPr>
          <w:rtl/>
        </w:rPr>
        <w:t>על רמ"י, בשיתוף משרדי החקלאות והפנים, לקיים מדי שנה בחינה של היקף השטחים שעל בסיסם מחושבים היטלי הניקוז המושתים עליה כדי שישקפו שינויים שחלו בהם. כמו כן, מומלץ שרמ"י תסדיר את עריכת הבדיקה ומאפייניה בנוהל, כדי שיתאפשר לה לבצעה מדי שנה באופן מיטבי ומוסכם. על רמ"י להשלים את ההליך בכללותו, כדי שתוכל ליישמו החל משנת 2026</w:t>
      </w:r>
      <w:r w:rsidRPr="008E57FE">
        <w:rPr>
          <w:rFonts w:hint="cs"/>
          <w:rtl/>
        </w:rPr>
        <w:t>.</w:t>
      </w:r>
    </w:p>
    <w:p w:rsidR="00781C4B" w:rsidP="00362505" w14:paraId="64F1A374" w14:textId="2DB48510">
      <w:pPr>
        <w:pStyle w:val="7317"/>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032C9">
        <w:rPr>
          <w:rtl/>
        </w:rPr>
        <w:t>נוכח היקף צורכי הפיתוח בסך 7 מיליארד ש"ח, שעליו הצביע משרד החקלאות, עליו לפעול עם משרד האוצר ורמ"י כדי לבחון את התקציב הנדרש לטיפול בצורכי הניקוז ולקדם את הקצאתו לצורך נקיטת פעולות לצמצום נזקי שיטפונות, ולמימון תכנון והקמה של פרויקטי ניקוז למימוש תוכניות לדיור של רמ"י</w:t>
      </w:r>
      <w:r w:rsidRPr="008E57FE">
        <w:rPr>
          <w:rFonts w:hint="cs"/>
          <w:rtl/>
        </w:rPr>
        <w:t>.</w:t>
      </w:r>
    </w:p>
    <w:p w:rsidR="00781C4B" w14:paraId="2F93B256"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5FD6A202">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75261</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66FCE132">
                            <w:pPr>
                              <w:pStyle w:val="7332"/>
                              <w:rPr>
                                <w:rtl/>
                              </w:rPr>
                            </w:pPr>
                            <w:r w:rsidRPr="00781C4B">
                              <w:rPr>
                                <w:rtl/>
                              </w:rPr>
                              <w:t>שיטפון בכביש 40 באזור נחל פארן, אפריל 2023</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95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66FCE132">
                      <w:pPr>
                        <w:pStyle w:val="7332"/>
                        <w:rPr>
                          <w:rtl/>
                        </w:rPr>
                      </w:pPr>
                      <w:r w:rsidRPr="00781C4B">
                        <w:rPr>
                          <w:rtl/>
                        </w:rPr>
                        <w:t>שיטפון בכביש 40 באזור נחל פארן, אפריל 2023</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713668" cy="2657706"/>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13668" cy="2657706"/>
                    </a:xfrm>
                    <a:prstGeom prst="rect">
                      <a:avLst/>
                    </a:prstGeom>
                  </pic:spPr>
                </pic:pic>
              </a:graphicData>
            </a:graphic>
          </wp:inline>
        </w:drawing>
      </w:r>
    </w:p>
    <w:p w:rsidR="00781C4B" w:rsidP="00D57BE9" w14:paraId="0DA8F7B9" w14:textId="2FC2D101">
      <w:pPr>
        <w:pStyle w:val="738"/>
        <w:rPr>
          <w:rtl/>
        </w:rPr>
      </w:pPr>
      <w:r w:rsidRPr="004B4A9F">
        <w:rPr>
          <w:rtl/>
        </w:rPr>
        <w:t xml:space="preserve">המקור: נתיבי ישראל, </w:t>
      </w:r>
      <w:r w:rsidR="00DB5149">
        <w:rPr>
          <w:rFonts w:hint="cs"/>
          <w:rtl/>
        </w:rPr>
        <w:t>צילום</w:t>
      </w:r>
      <w:r w:rsidRPr="004B4A9F">
        <w:rPr>
          <w:rtl/>
        </w:rPr>
        <w:t xml:space="preserve"> שי ידאל אל פורת</w:t>
      </w:r>
      <w:r w:rsidRPr="00D57BE9" w:rsidR="005D0F8C">
        <w:rPr>
          <w:rFonts w:hint="cs"/>
          <w:rtl/>
        </w:rPr>
        <w:t>.</w:t>
      </w:r>
    </w:p>
    <w:p w:rsidR="00781C4B" w14:paraId="37828BEA" w14:textId="77777777">
      <w:pPr>
        <w:bidi w:val="0"/>
        <w:spacing w:after="200" w:line="276" w:lineRule="auto"/>
        <w:rPr>
          <w:rFonts w:ascii="Tahoma" w:hAnsi="Tahoma" w:cs="Tahoma"/>
          <w:color w:val="0D0D0D" w:themeColor="text1" w:themeTint="F2"/>
          <w:sz w:val="16"/>
          <w:szCs w:val="16"/>
          <w:rtl/>
        </w:rPr>
      </w:pPr>
      <w:r>
        <w:rPr>
          <w:rtl/>
        </w:rPr>
        <w:br w:type="page"/>
      </w:r>
    </w:p>
    <w:p w:rsidR="00781C4B" w:rsidP="00781C4B" w14:paraId="27435801" w14:textId="77777777">
      <w:pPr>
        <w:pStyle w:val="73"/>
        <w:rPr>
          <w:rtl/>
        </w:rPr>
      </w:pPr>
      <w:r w:rsidRPr="00EF3061">
        <w:rPr>
          <w:rFonts w:hint="cs"/>
          <w:rtl/>
        </w:rPr>
        <w:t>סיכום</w:t>
      </w:r>
    </w:p>
    <w:p w:rsidR="00781C4B" w:rsidRPr="00C032C9" w:rsidP="00781C4B" w14:paraId="350E91FA" w14:textId="77777777">
      <w:pPr>
        <w:widowControl w:val="0"/>
        <w:tabs>
          <w:tab w:val="left" w:pos="9604"/>
        </w:tabs>
        <w:spacing w:before="240" w:line="276" w:lineRule="auto"/>
        <w:ind w:left="-1"/>
        <w:rPr>
          <w:rFonts w:ascii="Tahoma" w:hAnsi="Tahoma" w:cs="Tahoma"/>
          <w:sz w:val="18"/>
          <w:szCs w:val="18"/>
          <w:rtl/>
        </w:rPr>
      </w:pPr>
      <w:r w:rsidRPr="00C032C9">
        <w:rPr>
          <w:rFonts w:ascii="Tahoma" w:hAnsi="Tahoma" w:cs="Tahoma"/>
          <w:sz w:val="18"/>
          <w:szCs w:val="18"/>
          <w:rtl/>
        </w:rPr>
        <w:t>בשנת 2021 פרסם מבקר המדינה דוח מיוחד שבחן את פעולות הממשלה שנועדו להגן על הציבור מפני נזקי שיטפונות. בביקורת המעקב נמצא כי חלק מהליקויים תוקנו באופן מלא או במידה רבה, כפי שתואר לעיל. לצד זאת, נמצאו שני ליקויים שתוקנו באופן חלקי - אי קידום אסדרה מקיפה וכוללת של תחום הניקוז בחוק, לרבות חלוקת הסמכויות והאחריות בתחום הניקוז בין רשויות הניקוז לרשויות המקומיות ואת מנגנון האכיפה של הוראות החוק למניעת פגיעה בעורקי נחל ובסביבתם; והסדרת פעילותו של המרכז לחיזוי שיטפונות ושל ממשקיו עם גופי החירום. נוסף על כך, נמצאו כמה ליקויים שתוקנו במידה מועטה בלבד או לא תוקנו כלל, ובכלל זה - רק במהלך הביקורת בשנת 2024 המשרד החל בפיתוח המתודולוגיה הארצית לניהול סיכוני שיטפונות, שתכלול כלים לתיעדוף הטיפול בסיכונים ברמה הלאומית. נוסף על כך, המשרד, בשיתוף גורמים רלוונטיים נוספים, טרם הסדיר כמה סוגיות הנוגעות להיטלי הניקוז - ובהן מנגנונים ואמות מידה לקביעת תעריפי הניקוז ומיפוי מעודכן לחישוב השטחים שבעדם משלמת רמ"י היטלי ניקוז.</w:t>
      </w:r>
    </w:p>
    <w:p w:rsidR="00781C4B" w:rsidRPr="00C032C9" w:rsidP="00781C4B" w14:paraId="0B02FBF1" w14:textId="77777777">
      <w:pPr>
        <w:widowControl w:val="0"/>
        <w:tabs>
          <w:tab w:val="left" w:pos="9604"/>
        </w:tabs>
        <w:spacing w:before="240" w:line="276" w:lineRule="auto"/>
        <w:ind w:left="-1"/>
        <w:rPr>
          <w:rFonts w:ascii="Tahoma" w:hAnsi="Tahoma" w:cs="Tahoma"/>
          <w:sz w:val="18"/>
          <w:szCs w:val="18"/>
          <w:rtl/>
        </w:rPr>
      </w:pPr>
      <w:r w:rsidRPr="00C032C9">
        <w:rPr>
          <w:rFonts w:ascii="Tahoma" w:hAnsi="Tahoma" w:cs="Tahoma"/>
          <w:sz w:val="18"/>
          <w:szCs w:val="18"/>
          <w:rtl/>
        </w:rPr>
        <w:t xml:space="preserve">על משרד החקלאות ומשרד רה"ם, בשיתוף המשרד להג"ס, משרד הפנים ורשות המים, ובהתייעצות עם מש"ם ומרכז השלטון האזורי, לפעול כדי להשלים הסדרה כוללת של תחום הניקוז במדינה. כמו כן, על משרד החקלאות, בשיתוף משרדי האוצר, הפנים, ובהתייעצות עם מש"ם ומרכז השלטון האזורי, לערוך בחינה כלכלית מקיפה של המשאבים הנדרשים לרשויות הניקוז, לעומת המקורות העומדים לרשותן, ולגבש מודל כלכלי מעודכן לגבייה הנדרשת מהרשויות המקומיות ומרמ"י. על משרד החקלאות לסיים את הכנתה של מתודולוגיה ארצית לניהול סיכוני שיטפונות, שתכלול כלים לגיבוש החלטות ותיעדוף משאבים ברמה הלאומית ותסייע בידי משרד החקלאות בביצוע הבחינה הכלכלית האמורה. </w:t>
      </w:r>
      <w:bookmarkStart w:id="13" w:name="_Hlk189992886"/>
      <w:r w:rsidRPr="00C032C9">
        <w:rPr>
          <w:rFonts w:ascii="Tahoma" w:hAnsi="Tahoma" w:cs="Tahoma"/>
          <w:sz w:val="18"/>
          <w:szCs w:val="18"/>
          <w:rtl/>
        </w:rPr>
        <w:t xml:space="preserve">זאת בפרט משום שצורכי הניקוז לשנים הבאות הוערכו בכ-7 מיליארד ש"ח, לעומת הקצאה של מיליארד ש"ח וחצי עד שנת 2026. </w:t>
      </w:r>
      <w:bookmarkEnd w:id="13"/>
    </w:p>
    <w:p w:rsidR="00781C4B" w:rsidRPr="00C032C9" w:rsidP="00781C4B" w14:paraId="0C87F10B" w14:textId="77777777">
      <w:pPr>
        <w:widowControl w:val="0"/>
        <w:tabs>
          <w:tab w:val="left" w:pos="9604"/>
        </w:tabs>
        <w:spacing w:before="240" w:line="276" w:lineRule="auto"/>
        <w:ind w:left="-1"/>
        <w:rPr>
          <w:rFonts w:ascii="Tahoma" w:hAnsi="Tahoma" w:cs="Tahoma"/>
          <w:sz w:val="18"/>
          <w:szCs w:val="18"/>
          <w:rtl/>
        </w:rPr>
      </w:pPr>
      <w:r w:rsidRPr="00C032C9">
        <w:rPr>
          <w:rFonts w:ascii="Tahoma" w:hAnsi="Tahoma" w:cs="Tahoma"/>
          <w:sz w:val="18"/>
          <w:szCs w:val="18"/>
          <w:rtl/>
        </w:rPr>
        <w:t>במהלך ביקורת המעקב ולאחר שהתגלעה מחלוקת מהותית בין השמ"ט ורשות המים בדבר זהות הגורם האחראי ובעל הסמכות למתן תחזיות ואזהרות מפני שיטפונות והצפות, הסמיכה הממשלה את השמ"ט, בהחלטה 2632 מדצמבר 2024, להפעיל את המרכז הארצי לחיזוי שיטפונות. החשיבות שבהפעלתו התקינה והרציפה, ובשיתוף פעולה מיטבי שלו עם הגורמים האחראיים לניהול אירועי החירום במדינה, מקבלת משנה תוקף לנוכח נזקי השיטפונות שאירעו בשנים האחרונות בישראל וגבו קורבנות בנפש דוגמת אסון השיטפון בנחל צפית בו נספו 10 תלמידים, אירוע השיטפון בכביש 40 (נחל ציחור) בו נספו שני בני אדם ואירוע השיטפון בנחל ציפורי בו נספה אדם אחד.</w:t>
      </w:r>
    </w:p>
    <w:p w:rsidR="00781C4B" w:rsidRPr="00C032C9" w:rsidP="00781C4B" w14:paraId="5636F814" w14:textId="77777777">
      <w:pPr>
        <w:widowControl w:val="0"/>
        <w:tabs>
          <w:tab w:val="left" w:pos="9604"/>
        </w:tabs>
        <w:spacing w:before="240" w:line="276" w:lineRule="auto"/>
        <w:ind w:left="-1"/>
        <w:rPr>
          <w:rFonts w:ascii="Tahoma" w:hAnsi="Tahoma" w:cs="Tahoma"/>
          <w:sz w:val="18"/>
          <w:szCs w:val="18"/>
          <w:rtl/>
        </w:rPr>
      </w:pPr>
      <w:r w:rsidRPr="00C032C9">
        <w:rPr>
          <w:rFonts w:ascii="Tahoma" w:hAnsi="Tahoma" w:cs="Tahoma"/>
          <w:sz w:val="18"/>
          <w:szCs w:val="18"/>
          <w:rtl/>
        </w:rPr>
        <w:t>לנוכח ההשלכות החמורות והנזקים הכלכליים הצפויים משטיפונות עתידיים, נדרשים כלל הגורמים האמונים על ניהול הנגר ומפעלי הניקוז, ובראשם משרד החקלאות ורשויות הניקוז, בשיתוף עם משרד רה"ם, המשרד להג"ס, משרד האוצר ורשות המים, ובהתייעצות עם מש"ם ומרכז השלטון האזורי, לפעול לתיקון הליקויים שטרם תוקנו, ולפעול בראייה אסטרטגית כלל-ארצית, להקטנת הסיכונים ולמניעת נזקי שיטפונות.</w:t>
      </w:r>
    </w:p>
    <w:p w:rsidR="00781C4B" w:rsidP="00D57BE9" w14:paraId="2DF83CDB" w14:textId="77777777">
      <w:pPr>
        <w:pStyle w:val="738"/>
        <w:rPr>
          <w:rtl/>
        </w:rPr>
      </w:pP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0B31AA" w:rsidRPr="000B31AA" w:rsidP="00662020" w14:paraId="1001632A" w14:textId="13E2F080">
      <w:pPr>
        <w:pStyle w:val="738"/>
        <w:spacing w:before="0" w:after="0"/>
        <w:rPr>
          <w:rtl/>
        </w:rPr>
      </w:pPr>
      <w:r w:rsidRPr="00DC1D24">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4ED6E2D4">
                              <w:pPr>
                                <w:pStyle w:val="7332"/>
                              </w:pPr>
                              <w:r w:rsidRPr="00C035DE">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28" o:title=""/>
                </v:shape>
                <v:shape id="_x0000_s1038" type="#_x0000_t202" style="width:44284;height:3476;left:2028;mso-wrap-style:square;position:absolute;top:2665;visibility:visible;v-text-anchor:middle" fillcolor="#f05260" stroked="f">
                  <v:textbox>
                    <w:txbxContent>
                      <w:p w:rsidR="000B31AA" w:rsidRPr="00524400" w:rsidP="00524400" w14:paraId="64B50804" w14:textId="4ED6E2D4">
                        <w:pPr>
                          <w:pStyle w:val="7332"/>
                        </w:pPr>
                        <w:r w:rsidRPr="00C035DE">
                          <w:rPr>
                            <w:rtl/>
                          </w:rPr>
                          <w:t>מידת תיקון עיקרי הליקויים שעלו בדוח הקודם</w:t>
                        </w:r>
                      </w:p>
                    </w:txbxContent>
                  </v:textbox>
                </v:shape>
                <w10:wrap type="square"/>
              </v:group>
            </w:pict>
          </mc:Fallback>
        </mc:AlternateContent>
      </w:r>
    </w:p>
    <w:tbl>
      <w:tblPr>
        <w:tblStyle w:val="TableGrid"/>
        <w:bidiVisual/>
        <w:tblW w:w="7215" w:type="dxa"/>
        <w:tblInd w:w="1156"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007"/>
        <w:gridCol w:w="991"/>
        <w:gridCol w:w="1535"/>
        <w:gridCol w:w="748"/>
        <w:gridCol w:w="758"/>
        <w:gridCol w:w="758"/>
        <w:gridCol w:w="733"/>
        <w:gridCol w:w="685"/>
      </w:tblGrid>
      <w:tr w14:paraId="6C5BC994" w14:textId="77777777" w:rsidTr="00DB5149">
        <w:tblPrEx>
          <w:tblW w:w="7215" w:type="dxa"/>
          <w:tblInd w:w="1156" w:type="dxa"/>
          <w:shd w:val="clear" w:color="auto" w:fill="DFECEF"/>
          <w:tblLook w:val="04A0"/>
        </w:tblPrEx>
        <w:trPr>
          <w:tblHeader/>
        </w:trPr>
        <w:tc>
          <w:tcPr>
            <w:tcW w:w="1007" w:type="dxa"/>
            <w:vMerge w:val="restart"/>
            <w:shd w:val="clear" w:color="auto" w:fill="C8DCE4"/>
            <w:vAlign w:val="bottom"/>
          </w:tcPr>
          <w:p w:rsidR="00781C4B" w:rsidP="003E5AE8" w14:paraId="76B971AE" w14:textId="77777777">
            <w:pPr>
              <w:pStyle w:val="73R"/>
            </w:pPr>
            <w:r w:rsidRPr="007E204E">
              <w:rPr>
                <w:b/>
                <w:bCs/>
                <w:rtl/>
              </w:rPr>
              <w:t>פרק הביקורת</w:t>
            </w:r>
          </w:p>
        </w:tc>
        <w:tc>
          <w:tcPr>
            <w:tcW w:w="991" w:type="dxa"/>
            <w:vMerge w:val="restart"/>
            <w:shd w:val="clear" w:color="auto" w:fill="C8DCE4"/>
            <w:vAlign w:val="bottom"/>
          </w:tcPr>
          <w:p w:rsidR="00781C4B" w:rsidP="003E5AE8" w14:paraId="434B2954" w14:textId="77777777">
            <w:pPr>
              <w:pStyle w:val="73R"/>
              <w:rPr>
                <w:rtl/>
              </w:rPr>
            </w:pPr>
            <w:r w:rsidRPr="007E204E">
              <w:rPr>
                <w:rFonts w:hint="cs"/>
                <w:b/>
                <w:bCs/>
                <w:rtl/>
              </w:rPr>
              <w:t>הגוף המבוקר</w:t>
            </w:r>
          </w:p>
        </w:tc>
        <w:tc>
          <w:tcPr>
            <w:tcW w:w="1535" w:type="dxa"/>
            <w:vMerge w:val="restart"/>
            <w:shd w:val="clear" w:color="auto" w:fill="C8DCE4"/>
            <w:vAlign w:val="bottom"/>
          </w:tcPr>
          <w:p w:rsidR="00781C4B" w:rsidP="003E5AE8" w14:paraId="357D64F1" w14:textId="77777777">
            <w:pPr>
              <w:pStyle w:val="73R"/>
              <w:rPr>
                <w:rtl/>
              </w:rPr>
            </w:pPr>
            <w:r w:rsidRPr="007E204E">
              <w:rPr>
                <w:b/>
                <w:bCs/>
                <w:rtl/>
              </w:rPr>
              <w:t>הליקוי בדוח הביקורת</w:t>
            </w:r>
            <w:r w:rsidRPr="007E204E">
              <w:rPr>
                <w:rFonts w:hint="cs"/>
                <w:b/>
                <w:bCs/>
                <w:rtl/>
              </w:rPr>
              <w:t xml:space="preserve"> הקודם</w:t>
            </w:r>
          </w:p>
        </w:tc>
        <w:tc>
          <w:tcPr>
            <w:tcW w:w="3682" w:type="dxa"/>
            <w:gridSpan w:val="5"/>
            <w:shd w:val="clear" w:color="auto" w:fill="C8DCE4"/>
          </w:tcPr>
          <w:p w:rsidR="00781C4B" w:rsidRPr="00FA2D84" w:rsidP="003E5AE8" w14:paraId="26963AD5" w14:textId="410BA491">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6712AE2D" w14:textId="77777777" w:rsidTr="00DB5149">
        <w:tblPrEx>
          <w:tblW w:w="7215" w:type="dxa"/>
          <w:tblInd w:w="1156" w:type="dxa"/>
          <w:shd w:val="clear" w:color="auto" w:fill="DFECEF"/>
          <w:tblLook w:val="04A0"/>
        </w:tblPrEx>
        <w:trPr>
          <w:tblHeader/>
        </w:trPr>
        <w:tc>
          <w:tcPr>
            <w:tcW w:w="1007" w:type="dxa"/>
            <w:vMerge/>
            <w:shd w:val="clear" w:color="auto" w:fill="C8DCE4"/>
            <w:vAlign w:val="bottom"/>
          </w:tcPr>
          <w:p w:rsidR="00781C4B" w:rsidRPr="007E204E" w:rsidP="003E5AE8" w14:paraId="1851288E" w14:textId="77777777">
            <w:pPr>
              <w:pStyle w:val="73R"/>
              <w:rPr>
                <w:b/>
                <w:bCs/>
                <w:rtl/>
              </w:rPr>
            </w:pPr>
          </w:p>
        </w:tc>
        <w:tc>
          <w:tcPr>
            <w:tcW w:w="991" w:type="dxa"/>
            <w:vMerge/>
            <w:shd w:val="clear" w:color="auto" w:fill="C8DCE4"/>
            <w:vAlign w:val="bottom"/>
          </w:tcPr>
          <w:p w:rsidR="00781C4B" w:rsidRPr="007E204E" w:rsidP="003E5AE8" w14:paraId="7C8D97BD" w14:textId="77777777">
            <w:pPr>
              <w:pStyle w:val="73R"/>
              <w:rPr>
                <w:b/>
                <w:bCs/>
                <w:rtl/>
              </w:rPr>
            </w:pPr>
          </w:p>
        </w:tc>
        <w:tc>
          <w:tcPr>
            <w:tcW w:w="1535" w:type="dxa"/>
            <w:vMerge/>
            <w:shd w:val="clear" w:color="auto" w:fill="C8DCE4"/>
            <w:vAlign w:val="bottom"/>
          </w:tcPr>
          <w:p w:rsidR="00781C4B" w:rsidRPr="007E204E" w:rsidP="003E5AE8" w14:paraId="5F032ACA" w14:textId="77777777">
            <w:pPr>
              <w:pStyle w:val="73R"/>
              <w:rPr>
                <w:b/>
                <w:bCs/>
                <w:rtl/>
              </w:rPr>
            </w:pPr>
          </w:p>
        </w:tc>
        <w:tc>
          <w:tcPr>
            <w:tcW w:w="748" w:type="dxa"/>
            <w:shd w:val="clear" w:color="auto" w:fill="FF0100"/>
            <w:vAlign w:val="bottom"/>
          </w:tcPr>
          <w:p w:rsidR="00781C4B" w:rsidRPr="007E204E" w:rsidP="003E5AE8" w14:paraId="178D6E69"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8250"/>
          </w:tcPr>
          <w:p w:rsidR="00781C4B" w:rsidRPr="007E204E" w:rsidP="003E5AE8" w14:paraId="3F151C42" w14:textId="79B1EACE">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58" w:type="dxa"/>
            <w:shd w:val="clear" w:color="auto" w:fill="FFC002"/>
            <w:vAlign w:val="bottom"/>
          </w:tcPr>
          <w:p w:rsidR="00781C4B" w:rsidRPr="007E204E" w:rsidP="003E5AE8" w14:paraId="27D1829F" w14:textId="52FAB228">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Pr>
                <w:rFonts w:hint="cs"/>
                <w:b/>
                <w:bCs/>
                <w:rtl/>
              </w:rPr>
              <w:t>חלקית</w:t>
            </w:r>
          </w:p>
        </w:tc>
        <w:tc>
          <w:tcPr>
            <w:tcW w:w="733" w:type="dxa"/>
            <w:shd w:val="clear" w:color="auto" w:fill="FFFF00"/>
            <w:vAlign w:val="bottom"/>
          </w:tcPr>
          <w:p w:rsidR="00781C4B" w:rsidRPr="007E204E" w:rsidP="003E5AE8" w14:paraId="2B8CC463"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781C4B" w:rsidRPr="007E204E" w:rsidP="003E5AE8" w14:paraId="5256CD6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6FCE1E4" w14:textId="77777777" w:rsidTr="00DB5149">
        <w:tblPrEx>
          <w:tblW w:w="7215" w:type="dxa"/>
          <w:tblInd w:w="1156" w:type="dxa"/>
          <w:shd w:val="clear" w:color="auto" w:fill="DFECEF"/>
          <w:tblLook w:val="04A0"/>
        </w:tblPrEx>
        <w:tc>
          <w:tcPr>
            <w:tcW w:w="1007" w:type="dxa"/>
            <w:shd w:val="clear" w:color="auto" w:fill="DFECEF"/>
          </w:tcPr>
          <w:p w:rsidR="00781C4B" w:rsidP="00781C4B" w14:paraId="52B0D24F" w14:textId="247AE61B">
            <w:pPr>
              <w:pStyle w:val="73R"/>
              <w:rPr>
                <w:rtl/>
              </w:rPr>
            </w:pPr>
            <w:r w:rsidRPr="00C032C9">
              <w:rPr>
                <w:rtl/>
              </w:rPr>
              <w:t>הרכב מועצת הניקוז</w:t>
            </w:r>
          </w:p>
        </w:tc>
        <w:tc>
          <w:tcPr>
            <w:tcW w:w="991" w:type="dxa"/>
            <w:shd w:val="clear" w:color="auto" w:fill="DFECEF"/>
          </w:tcPr>
          <w:p w:rsidR="00781C4B" w:rsidP="00781C4B" w14:paraId="6480F1FF" w14:textId="566DF72F">
            <w:pPr>
              <w:pStyle w:val="73R"/>
              <w:rPr>
                <w:rtl/>
              </w:rPr>
            </w:pPr>
            <w:r w:rsidRPr="00C032C9">
              <w:rPr>
                <w:rtl/>
              </w:rPr>
              <w:t>משרד החקלאות</w:t>
            </w:r>
          </w:p>
        </w:tc>
        <w:tc>
          <w:tcPr>
            <w:tcW w:w="1535" w:type="dxa"/>
            <w:shd w:val="clear" w:color="auto" w:fill="DFECEF"/>
          </w:tcPr>
          <w:p w:rsidR="00781C4B" w:rsidP="00781C4B" w14:paraId="41D0A08C" w14:textId="5086D018">
            <w:pPr>
              <w:pStyle w:val="73R"/>
              <w:rPr>
                <w:rtl/>
              </w:rPr>
            </w:pPr>
            <w:r w:rsidRPr="00C032C9">
              <w:rPr>
                <w:rtl/>
              </w:rPr>
              <w:t>מועצת הניקוז פעלה ללא 12 נציגי ציבור, באופן שאינו תואם את הוראות החוק.</w:t>
            </w:r>
          </w:p>
        </w:tc>
        <w:tc>
          <w:tcPr>
            <w:tcW w:w="748" w:type="dxa"/>
            <w:shd w:val="clear" w:color="auto" w:fill="DFECEF"/>
          </w:tcPr>
          <w:p w:rsidR="00781C4B" w:rsidP="00781C4B" w14:paraId="7BABFDB0" w14:textId="77DF2D1D">
            <w:pPr>
              <w:pStyle w:val="73R"/>
              <w:rPr>
                <w:rtl/>
              </w:rPr>
            </w:pPr>
          </w:p>
        </w:tc>
        <w:tc>
          <w:tcPr>
            <w:tcW w:w="758" w:type="dxa"/>
            <w:shd w:val="clear" w:color="auto" w:fill="DFECEF"/>
          </w:tcPr>
          <w:p w:rsidR="00781C4B" w:rsidP="00781C4B" w14:paraId="51C4BF3B" w14:textId="11F56FA7">
            <w:pPr>
              <w:pStyle w:val="73R"/>
              <w:rPr>
                <w:rtl/>
              </w:rPr>
            </w:pPr>
          </w:p>
        </w:tc>
        <w:tc>
          <w:tcPr>
            <w:tcW w:w="758" w:type="dxa"/>
            <w:shd w:val="clear" w:color="auto" w:fill="DFECEF"/>
          </w:tcPr>
          <w:p w:rsidR="00781C4B" w:rsidP="00781C4B" w14:paraId="1030392F" w14:textId="27E9DCB4">
            <w:pPr>
              <w:pStyle w:val="73R"/>
              <w:rPr>
                <w:rtl/>
              </w:rPr>
            </w:pPr>
          </w:p>
        </w:tc>
        <w:tc>
          <w:tcPr>
            <w:tcW w:w="733" w:type="dxa"/>
            <w:shd w:val="clear" w:color="auto" w:fill="DFECEF"/>
          </w:tcPr>
          <w:p w:rsidR="00781C4B" w:rsidP="00781C4B" w14:paraId="250E7773" w14:textId="126F6FBC">
            <w:pPr>
              <w:pStyle w:val="73R"/>
              <w:rPr>
                <w:rtl/>
              </w:rPr>
            </w:pPr>
          </w:p>
        </w:tc>
        <w:tc>
          <w:tcPr>
            <w:tcW w:w="685" w:type="dxa"/>
            <w:shd w:val="clear" w:color="auto" w:fill="DFECEF"/>
          </w:tcPr>
          <w:p w:rsidR="00781C4B" w:rsidP="00781C4B" w14:paraId="3709332C" w14:textId="0431094A">
            <w:pPr>
              <w:pStyle w:val="73R"/>
              <w:rPr>
                <w:rtl/>
              </w:rPr>
            </w:pPr>
            <w:r w:rsidRPr="00973C85">
              <w:rPr>
                <w:noProof/>
                <w:rtl/>
              </w:rPr>
              <mc:AlternateContent>
                <mc:Choice Requires="wps">
                  <w:drawing>
                    <wp:anchor distT="0" distB="0" distL="114300" distR="114300" simplePos="0" relativeHeight="251709440" behindDoc="0" locked="0" layoutInCell="1" allowOverlap="1">
                      <wp:simplePos x="0" y="0"/>
                      <wp:positionH relativeFrom="column">
                        <wp:posOffset>-46990</wp:posOffset>
                      </wp:positionH>
                      <wp:positionV relativeFrom="paragraph">
                        <wp:posOffset>246380</wp:posOffset>
                      </wp:positionV>
                      <wp:extent cx="2301622" cy="223520"/>
                      <wp:effectExtent l="12700" t="12700" r="10160" b="17780"/>
                      <wp:wrapNone/>
                      <wp:docPr id="729965945" name="חץ שמאלה 729965945"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2301622" cy="223520"/>
                              </a:xfrm>
                              <a:prstGeom prst="leftArrow">
                                <a:avLst>
                                  <a:gd name="adj1" fmla="val 50000"/>
                                  <a:gd name="adj2" fmla="val 50000"/>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729965945" o:spid="_x0000_s1039" type="#_x0000_t66" alt="תוקן באופן מלא" style="width:181.25pt;height:17.6pt;margin-top:19.4pt;margin-left:-3.7pt;mso-height-percent:0;mso-height-relative:margin;mso-width-percent:0;mso-width-relative:margin;mso-wrap-distance-bottom:0;mso-wrap-distance-left:9pt;mso-wrap-distance-right:9pt;mso-wrap-distance-top:0;mso-wrap-style:square;position:absolute;visibility:visible;v-text-anchor:middle;z-index:251710464" adj="1049" fillcolor="#92cf4f" strokecolor="#92cf4f" strokeweight="2pt"/>
                  </w:pict>
                </mc:Fallback>
              </mc:AlternateContent>
            </w:r>
          </w:p>
        </w:tc>
      </w:tr>
      <w:tr w14:paraId="0E36FD75" w14:textId="77777777" w:rsidTr="00DB5149">
        <w:tblPrEx>
          <w:tblW w:w="7215" w:type="dxa"/>
          <w:tblInd w:w="1156" w:type="dxa"/>
          <w:shd w:val="clear" w:color="auto" w:fill="DFECEF"/>
          <w:tblLook w:val="04A0"/>
        </w:tblPrEx>
        <w:tc>
          <w:tcPr>
            <w:tcW w:w="1007" w:type="dxa"/>
            <w:shd w:val="clear" w:color="auto" w:fill="F0F8F9"/>
          </w:tcPr>
          <w:p w:rsidR="00781C4B" w:rsidP="00781C4B" w14:paraId="5E72EFE5" w14:textId="6A0F95F1">
            <w:pPr>
              <w:pStyle w:val="73R"/>
              <w:rPr>
                <w:rtl/>
              </w:rPr>
            </w:pPr>
            <w:r w:rsidRPr="00C032C9">
              <w:rPr>
                <w:rtl/>
              </w:rPr>
              <w:t>מעורבות רשויות הניקוז באישור תוכניות המשפיעות על הנגר</w:t>
            </w:r>
          </w:p>
        </w:tc>
        <w:tc>
          <w:tcPr>
            <w:tcW w:w="991" w:type="dxa"/>
            <w:shd w:val="clear" w:color="auto" w:fill="F0F8F9"/>
          </w:tcPr>
          <w:p w:rsidR="00781C4B" w:rsidP="00781C4B" w14:paraId="7A6A1EFF" w14:textId="5AA295CE">
            <w:pPr>
              <w:pStyle w:val="73R"/>
              <w:rPr>
                <w:rtl/>
              </w:rPr>
            </w:pPr>
            <w:r w:rsidRPr="00C032C9">
              <w:rPr>
                <w:rtl/>
              </w:rPr>
              <w:t>מינהל התכנון</w:t>
            </w:r>
          </w:p>
        </w:tc>
        <w:tc>
          <w:tcPr>
            <w:tcW w:w="1535" w:type="dxa"/>
            <w:shd w:val="clear" w:color="auto" w:fill="F0F8F9"/>
          </w:tcPr>
          <w:p w:rsidR="00781C4B" w:rsidP="00781C4B" w14:paraId="543411AC" w14:textId="4092EEBC">
            <w:pPr>
              <w:pStyle w:val="73R"/>
              <w:rPr>
                <w:rtl/>
              </w:rPr>
            </w:pPr>
            <w:r w:rsidRPr="00C032C9">
              <w:rPr>
                <w:rtl/>
              </w:rPr>
              <w:t>רשויות הניקוז אינן מיודעות לגבי הליכי התכנון של כל תוכניות המתאר אשר עשויות להשפיע מחוץ לגבולותיהן בנושאי נגר עילי, הצפות או מי תהום.</w:t>
            </w:r>
          </w:p>
        </w:tc>
        <w:tc>
          <w:tcPr>
            <w:tcW w:w="748" w:type="dxa"/>
            <w:shd w:val="clear" w:color="auto" w:fill="F0F8F9"/>
          </w:tcPr>
          <w:p w:rsidR="00781C4B" w:rsidP="00781C4B" w14:paraId="6C96E932" w14:textId="621B4B98">
            <w:pPr>
              <w:pStyle w:val="73R"/>
              <w:rPr>
                <w:rtl/>
              </w:rPr>
            </w:pPr>
            <w:r w:rsidRPr="00973C85">
              <w:rPr>
                <w:noProof/>
                <w:rtl/>
              </w:rPr>
              <mc:AlternateContent>
                <mc:Choice Requires="wps">
                  <w:drawing>
                    <wp:anchor distT="0" distB="0" distL="114300" distR="114300" simplePos="0" relativeHeight="251713536" behindDoc="0" locked="0" layoutInCell="1" allowOverlap="1">
                      <wp:simplePos x="0" y="0"/>
                      <wp:positionH relativeFrom="column">
                        <wp:posOffset>-1912620</wp:posOffset>
                      </wp:positionH>
                      <wp:positionV relativeFrom="paragraph">
                        <wp:posOffset>518160</wp:posOffset>
                      </wp:positionV>
                      <wp:extent cx="2301622" cy="223520"/>
                      <wp:effectExtent l="12700" t="12700" r="10160" b="17780"/>
                      <wp:wrapNone/>
                      <wp:docPr id="115102327" name="חץ שמאלה 115102327"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2301622" cy="223520"/>
                              </a:xfrm>
                              <a:prstGeom prst="leftArrow">
                                <a:avLst>
                                  <a:gd name="adj1" fmla="val 50000"/>
                                  <a:gd name="adj2" fmla="val 50000"/>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5102327" o:spid="_x0000_s1040" type="#_x0000_t66" alt="תוקן באופן מלא" style="width:181.25pt;height:17.6pt;margin-top:40.8pt;margin-left:-150.6pt;mso-height-percent:0;mso-height-relative:margin;mso-width-percent:0;mso-width-relative:margin;mso-wrap-distance-bottom:0;mso-wrap-distance-left:9pt;mso-wrap-distance-right:9pt;mso-wrap-distance-top:0;mso-wrap-style:square;position:absolute;visibility:visible;v-text-anchor:middle;z-index:251714560" adj="1049" fillcolor="#92cf4f" strokecolor="#92cf4f" strokeweight="2pt"/>
                  </w:pict>
                </mc:Fallback>
              </mc:AlternateContent>
            </w:r>
          </w:p>
        </w:tc>
        <w:tc>
          <w:tcPr>
            <w:tcW w:w="758" w:type="dxa"/>
            <w:shd w:val="clear" w:color="auto" w:fill="F0F8F9"/>
          </w:tcPr>
          <w:p w:rsidR="00781C4B" w:rsidP="00781C4B" w14:paraId="1E824133" w14:textId="77777777">
            <w:pPr>
              <w:pStyle w:val="73R"/>
              <w:rPr>
                <w:rtl/>
              </w:rPr>
            </w:pPr>
          </w:p>
        </w:tc>
        <w:tc>
          <w:tcPr>
            <w:tcW w:w="758" w:type="dxa"/>
            <w:shd w:val="clear" w:color="auto" w:fill="F0F8F9"/>
          </w:tcPr>
          <w:p w:rsidR="00781C4B" w:rsidP="00781C4B" w14:paraId="747D0AB6" w14:textId="03E90C1C">
            <w:pPr>
              <w:pStyle w:val="73R"/>
              <w:rPr>
                <w:rtl/>
              </w:rPr>
            </w:pPr>
          </w:p>
        </w:tc>
        <w:tc>
          <w:tcPr>
            <w:tcW w:w="733" w:type="dxa"/>
            <w:shd w:val="clear" w:color="auto" w:fill="F0F8F9"/>
          </w:tcPr>
          <w:p w:rsidR="00781C4B" w:rsidP="00781C4B" w14:paraId="7C10E984" w14:textId="77777777">
            <w:pPr>
              <w:pStyle w:val="73R"/>
              <w:rPr>
                <w:rtl/>
              </w:rPr>
            </w:pPr>
          </w:p>
        </w:tc>
        <w:tc>
          <w:tcPr>
            <w:tcW w:w="685" w:type="dxa"/>
            <w:shd w:val="clear" w:color="auto" w:fill="F0F8F9"/>
          </w:tcPr>
          <w:p w:rsidR="00781C4B" w:rsidP="00781C4B" w14:paraId="2FDB6178" w14:textId="13C08007">
            <w:pPr>
              <w:pStyle w:val="73R"/>
              <w:rPr>
                <w:rtl/>
              </w:rPr>
            </w:pPr>
          </w:p>
        </w:tc>
      </w:tr>
      <w:tr w14:paraId="5C8A1751" w14:textId="77777777" w:rsidTr="00DB5149">
        <w:tblPrEx>
          <w:tblW w:w="7215" w:type="dxa"/>
          <w:tblInd w:w="1156" w:type="dxa"/>
          <w:shd w:val="clear" w:color="auto" w:fill="DFECEF"/>
          <w:tblLook w:val="04A0"/>
        </w:tblPrEx>
        <w:tc>
          <w:tcPr>
            <w:tcW w:w="1007" w:type="dxa"/>
            <w:shd w:val="clear" w:color="auto" w:fill="DFECEF"/>
          </w:tcPr>
          <w:p w:rsidR="00781C4B" w:rsidP="00781C4B" w14:paraId="6EA62234" w14:textId="38D7006C">
            <w:pPr>
              <w:pStyle w:val="73R"/>
              <w:rPr>
                <w:rtl/>
              </w:rPr>
            </w:pPr>
            <w:r w:rsidRPr="00C032C9">
              <w:rPr>
                <w:rtl/>
              </w:rPr>
              <w:t>היבטי תכנון ובנייה במיזמי ניקוז והסדרת נחלים</w:t>
            </w:r>
          </w:p>
        </w:tc>
        <w:tc>
          <w:tcPr>
            <w:tcW w:w="991" w:type="dxa"/>
            <w:shd w:val="clear" w:color="auto" w:fill="DFECEF"/>
          </w:tcPr>
          <w:p w:rsidR="00781C4B" w:rsidRPr="00C032C9" w:rsidP="00781C4B" w14:paraId="44FBAA74" w14:textId="77777777">
            <w:pPr>
              <w:pStyle w:val="73R"/>
              <w:rPr>
                <w:rtl/>
              </w:rPr>
            </w:pPr>
            <w:r w:rsidRPr="00C032C9">
              <w:rPr>
                <w:rtl/>
              </w:rPr>
              <w:t>משרד החקלאות,</w:t>
            </w:r>
          </w:p>
          <w:p w:rsidR="00781C4B" w:rsidP="00781C4B" w14:paraId="767B27A3" w14:textId="05C6F405">
            <w:pPr>
              <w:pStyle w:val="73R"/>
              <w:rPr>
                <w:rtl/>
              </w:rPr>
            </w:pPr>
            <w:r w:rsidRPr="00C032C9">
              <w:rPr>
                <w:rtl/>
              </w:rPr>
              <w:t>מינהל התכנון</w:t>
            </w:r>
          </w:p>
        </w:tc>
        <w:tc>
          <w:tcPr>
            <w:tcW w:w="1535" w:type="dxa"/>
            <w:shd w:val="clear" w:color="auto" w:fill="DFECEF"/>
          </w:tcPr>
          <w:p w:rsidR="00781C4B" w:rsidP="00781C4B" w14:paraId="6DAC9711" w14:textId="5FDD7876">
            <w:pPr>
              <w:pStyle w:val="73R"/>
              <w:rPr>
                <w:rtl/>
              </w:rPr>
            </w:pPr>
            <w:r w:rsidRPr="00C032C9">
              <w:rPr>
                <w:rtl/>
              </w:rPr>
              <w:t>הנחלים בתמ"א 1 מסומנים כקו ולא כפוליגון, ולכן אינם משקפים את כל תחומי הנחל על שימושיו השונים. פשטי ההצפה המסומנים בתמ"א 1 אינם מעודכנים.</w:t>
            </w:r>
          </w:p>
        </w:tc>
        <w:tc>
          <w:tcPr>
            <w:tcW w:w="748" w:type="dxa"/>
            <w:shd w:val="clear" w:color="auto" w:fill="DFECEF"/>
          </w:tcPr>
          <w:p w:rsidR="00781C4B" w:rsidP="00781C4B" w14:paraId="112C54F3" w14:textId="167A7764">
            <w:pPr>
              <w:pStyle w:val="73R"/>
              <w:rPr>
                <w:rtl/>
              </w:rPr>
            </w:pPr>
          </w:p>
        </w:tc>
        <w:tc>
          <w:tcPr>
            <w:tcW w:w="758" w:type="dxa"/>
            <w:shd w:val="clear" w:color="auto" w:fill="DFECEF"/>
          </w:tcPr>
          <w:p w:rsidR="00781C4B" w:rsidP="00781C4B" w14:paraId="17C52ADE" w14:textId="77777777">
            <w:pPr>
              <w:pStyle w:val="73R"/>
              <w:rPr>
                <w:rtl/>
              </w:rPr>
            </w:pPr>
          </w:p>
        </w:tc>
        <w:tc>
          <w:tcPr>
            <w:tcW w:w="758" w:type="dxa"/>
            <w:shd w:val="clear" w:color="auto" w:fill="DFECEF"/>
          </w:tcPr>
          <w:p w:rsidR="00781C4B" w:rsidP="00781C4B" w14:paraId="6CC3A5CC" w14:textId="060C0FC2">
            <w:pPr>
              <w:pStyle w:val="73R"/>
              <w:rPr>
                <w:rtl/>
              </w:rPr>
            </w:pPr>
          </w:p>
        </w:tc>
        <w:tc>
          <w:tcPr>
            <w:tcW w:w="733" w:type="dxa"/>
            <w:shd w:val="clear" w:color="auto" w:fill="DFECEF"/>
          </w:tcPr>
          <w:p w:rsidR="00781C4B" w:rsidP="00781C4B" w14:paraId="28BC73CE" w14:textId="7342F19F">
            <w:pPr>
              <w:pStyle w:val="73R"/>
              <w:rPr>
                <w:rtl/>
              </w:rPr>
            </w:pPr>
            <w:r w:rsidRPr="00973C85">
              <w:rPr>
                <w:noProof/>
                <w:rtl/>
              </w:rPr>
              <mc:AlternateContent>
                <mc:Choice Requires="wps">
                  <w:drawing>
                    <wp:anchor distT="0" distB="0" distL="114300" distR="114300" simplePos="0" relativeHeight="251703296" behindDoc="0" locked="0" layoutInCell="1" allowOverlap="1">
                      <wp:simplePos x="0" y="0"/>
                      <wp:positionH relativeFrom="column">
                        <wp:posOffset>-37465</wp:posOffset>
                      </wp:positionH>
                      <wp:positionV relativeFrom="paragraph">
                        <wp:posOffset>514350</wp:posOffset>
                      </wp:positionV>
                      <wp:extent cx="1856178" cy="223520"/>
                      <wp:effectExtent l="12700" t="12700" r="10795" b="17780"/>
                      <wp:wrapNone/>
                      <wp:docPr id="57" name="חץ שמאלה 5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856178"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1" type="#_x0000_t66" alt="תוקן במידה רבה" style="width:146.15pt;height:17.6pt;margin-top:40.5pt;margin-left:-2.95pt;mso-height-percent:0;mso-height-relative:margin;mso-width-percent:0;mso-width-relative:margin;mso-wrap-distance-bottom:0;mso-wrap-distance-left:9pt;mso-wrap-distance-right:9pt;mso-wrap-distance-top:0;mso-wrap-style:square;position:absolute;visibility:visible;v-text-anchor:middle;z-index:251704320" adj="1301" fillcolor="#fdf000" strokecolor="#fdf000" strokeweight="2pt"/>
                  </w:pict>
                </mc:Fallback>
              </mc:AlternateContent>
            </w:r>
          </w:p>
        </w:tc>
        <w:tc>
          <w:tcPr>
            <w:tcW w:w="685" w:type="dxa"/>
            <w:shd w:val="clear" w:color="auto" w:fill="DFECEF"/>
          </w:tcPr>
          <w:p w:rsidR="00781C4B" w:rsidP="00781C4B" w14:paraId="60B36081" w14:textId="77777777">
            <w:pPr>
              <w:pStyle w:val="73R"/>
              <w:rPr>
                <w:rtl/>
              </w:rPr>
            </w:pPr>
          </w:p>
        </w:tc>
      </w:tr>
      <w:tr w14:paraId="7E35F5BE" w14:textId="77777777" w:rsidTr="00DB5149">
        <w:tblPrEx>
          <w:tblW w:w="7215" w:type="dxa"/>
          <w:tblInd w:w="1156" w:type="dxa"/>
          <w:shd w:val="clear" w:color="auto" w:fill="DFECEF"/>
          <w:tblLook w:val="04A0"/>
        </w:tblPrEx>
        <w:tc>
          <w:tcPr>
            <w:tcW w:w="1007" w:type="dxa"/>
            <w:shd w:val="clear" w:color="auto" w:fill="F0F8F9"/>
          </w:tcPr>
          <w:p w:rsidR="00781C4B" w:rsidP="00781C4B" w14:paraId="38AD7231" w14:textId="20E062A5">
            <w:pPr>
              <w:pStyle w:val="73R"/>
              <w:rPr>
                <w:rtl/>
              </w:rPr>
            </w:pPr>
            <w:r w:rsidRPr="00C032C9">
              <w:rPr>
                <w:rtl/>
              </w:rPr>
              <w:t>תוכנית מתאר ארצית ייעודית להגנה מפני נזקי שיטפונות</w:t>
            </w:r>
          </w:p>
        </w:tc>
        <w:tc>
          <w:tcPr>
            <w:tcW w:w="991" w:type="dxa"/>
            <w:shd w:val="clear" w:color="auto" w:fill="F0F8F9"/>
          </w:tcPr>
          <w:p w:rsidR="00781C4B" w:rsidP="00781C4B" w14:paraId="71028DA0" w14:textId="38BD15F3">
            <w:pPr>
              <w:pStyle w:val="73R"/>
              <w:rPr>
                <w:rtl/>
              </w:rPr>
            </w:pPr>
            <w:r w:rsidRPr="00C032C9">
              <w:rPr>
                <w:rtl/>
              </w:rPr>
              <w:t>מינהל התכנון</w:t>
            </w:r>
          </w:p>
        </w:tc>
        <w:tc>
          <w:tcPr>
            <w:tcW w:w="1535" w:type="dxa"/>
            <w:shd w:val="clear" w:color="auto" w:fill="F0F8F9"/>
          </w:tcPr>
          <w:p w:rsidR="00781C4B" w:rsidP="00781C4B" w14:paraId="0A002C70" w14:textId="4E6342B9">
            <w:pPr>
              <w:pStyle w:val="73R"/>
              <w:rPr>
                <w:rtl/>
              </w:rPr>
            </w:pPr>
            <w:r w:rsidRPr="00C032C9">
              <w:rPr>
                <w:rtl/>
              </w:rPr>
              <w:t>בתוכניות המתאר הארציות אין הגנה סטטוטורית מספקת לתשתיות הידרולוגיות.</w:t>
            </w:r>
          </w:p>
        </w:tc>
        <w:tc>
          <w:tcPr>
            <w:tcW w:w="748" w:type="dxa"/>
            <w:shd w:val="clear" w:color="auto" w:fill="F0F8F9"/>
          </w:tcPr>
          <w:p w:rsidR="00781C4B" w:rsidP="00781C4B" w14:paraId="43B57B29" w14:textId="1737359B">
            <w:pPr>
              <w:pStyle w:val="73R"/>
              <w:rPr>
                <w:rtl/>
              </w:rPr>
            </w:pPr>
            <w:r w:rsidRPr="00973C85">
              <w:rPr>
                <w:noProof/>
                <w:rtl/>
              </w:rPr>
              <mc:AlternateContent>
                <mc:Choice Requires="wps">
                  <w:drawing>
                    <wp:anchor distT="0" distB="0" distL="114300" distR="114300" simplePos="0" relativeHeight="251715584" behindDoc="0" locked="0" layoutInCell="1" allowOverlap="1">
                      <wp:simplePos x="0" y="0"/>
                      <wp:positionH relativeFrom="column">
                        <wp:posOffset>-1467485</wp:posOffset>
                      </wp:positionH>
                      <wp:positionV relativeFrom="paragraph">
                        <wp:posOffset>356870</wp:posOffset>
                      </wp:positionV>
                      <wp:extent cx="1856178" cy="223520"/>
                      <wp:effectExtent l="12700" t="12700" r="10795" b="17780"/>
                      <wp:wrapNone/>
                      <wp:docPr id="12801182" name="חץ שמאלה 12801182"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856178"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801182" o:spid="_x0000_s1042" type="#_x0000_t66" alt="תוקן במידה רבה" style="width:146.15pt;height:17.6pt;margin-top:28.1pt;margin-left:-115.55pt;mso-height-percent:0;mso-height-relative:margin;mso-width-percent:0;mso-width-relative:margin;mso-wrap-distance-bottom:0;mso-wrap-distance-left:9pt;mso-wrap-distance-right:9pt;mso-wrap-distance-top:0;mso-wrap-style:square;position:absolute;visibility:visible;v-text-anchor:middle;z-index:251716608" adj="1301" fillcolor="#fdf000" strokecolor="#fdf000" strokeweight="2pt"/>
                  </w:pict>
                </mc:Fallback>
              </mc:AlternateContent>
            </w:r>
          </w:p>
        </w:tc>
        <w:tc>
          <w:tcPr>
            <w:tcW w:w="758" w:type="dxa"/>
            <w:shd w:val="clear" w:color="auto" w:fill="F0F8F9"/>
          </w:tcPr>
          <w:p w:rsidR="00781C4B" w:rsidRPr="00973C85" w:rsidP="00781C4B" w14:paraId="6110A501" w14:textId="77777777">
            <w:pPr>
              <w:pStyle w:val="73R"/>
              <w:rPr>
                <w:noProof/>
                <w:rtl/>
              </w:rPr>
            </w:pPr>
          </w:p>
        </w:tc>
        <w:tc>
          <w:tcPr>
            <w:tcW w:w="758" w:type="dxa"/>
            <w:shd w:val="clear" w:color="auto" w:fill="F0F8F9"/>
          </w:tcPr>
          <w:p w:rsidR="00781C4B" w:rsidP="00781C4B" w14:paraId="2442AFC2" w14:textId="0B295030">
            <w:pPr>
              <w:pStyle w:val="73R"/>
              <w:rPr>
                <w:rtl/>
              </w:rPr>
            </w:pPr>
          </w:p>
        </w:tc>
        <w:tc>
          <w:tcPr>
            <w:tcW w:w="733" w:type="dxa"/>
            <w:shd w:val="clear" w:color="auto" w:fill="F0F8F9"/>
          </w:tcPr>
          <w:p w:rsidR="00781C4B" w:rsidP="00781C4B" w14:paraId="2D5D737A" w14:textId="667EABA3">
            <w:pPr>
              <w:pStyle w:val="73R"/>
              <w:rPr>
                <w:rtl/>
              </w:rPr>
            </w:pPr>
          </w:p>
        </w:tc>
        <w:tc>
          <w:tcPr>
            <w:tcW w:w="685" w:type="dxa"/>
            <w:shd w:val="clear" w:color="auto" w:fill="F0F8F9"/>
          </w:tcPr>
          <w:p w:rsidR="00781C4B" w:rsidP="00781C4B" w14:paraId="7523EC87" w14:textId="77777777">
            <w:pPr>
              <w:pStyle w:val="73R"/>
              <w:rPr>
                <w:rtl/>
              </w:rPr>
            </w:pPr>
          </w:p>
        </w:tc>
      </w:tr>
      <w:tr w14:paraId="13C82713" w14:textId="77777777" w:rsidTr="00DB5149">
        <w:tblPrEx>
          <w:tblW w:w="7215" w:type="dxa"/>
          <w:tblInd w:w="1156" w:type="dxa"/>
          <w:shd w:val="clear" w:color="auto" w:fill="DFECEF"/>
          <w:tblLook w:val="04A0"/>
        </w:tblPrEx>
        <w:tc>
          <w:tcPr>
            <w:tcW w:w="1007" w:type="dxa"/>
            <w:shd w:val="clear" w:color="auto" w:fill="DFECEF"/>
          </w:tcPr>
          <w:p w:rsidR="00781C4B" w:rsidP="00781C4B" w14:paraId="77218038" w14:textId="1DD49540">
            <w:pPr>
              <w:pStyle w:val="73R"/>
              <w:rPr>
                <w:rtl/>
              </w:rPr>
            </w:pPr>
            <w:r w:rsidRPr="00C032C9">
              <w:rPr>
                <w:rtl/>
              </w:rPr>
              <w:t>פרסום בדבר הכנת תוכניות מפעל ניקוז - שיתוף הציבור בהוראות התוכניות המאושרות ובתשריטים</w:t>
            </w:r>
          </w:p>
        </w:tc>
        <w:tc>
          <w:tcPr>
            <w:tcW w:w="991" w:type="dxa"/>
            <w:shd w:val="clear" w:color="auto" w:fill="DFECEF"/>
          </w:tcPr>
          <w:p w:rsidR="00781C4B" w:rsidP="00781C4B" w14:paraId="5B40CA78" w14:textId="0D9A0C46">
            <w:pPr>
              <w:pStyle w:val="73R"/>
              <w:rPr>
                <w:rtl/>
              </w:rPr>
            </w:pPr>
            <w:r w:rsidRPr="00C032C9">
              <w:rPr>
                <w:rtl/>
              </w:rPr>
              <w:t>משרד החקלאות</w:t>
            </w:r>
          </w:p>
        </w:tc>
        <w:tc>
          <w:tcPr>
            <w:tcW w:w="1535" w:type="dxa"/>
            <w:shd w:val="clear" w:color="auto" w:fill="DFECEF"/>
          </w:tcPr>
          <w:p w:rsidR="00781C4B" w:rsidP="00781C4B" w14:paraId="5FA44D9C" w14:textId="54D7D92B">
            <w:pPr>
              <w:pStyle w:val="73R"/>
              <w:rPr>
                <w:rtl/>
              </w:rPr>
            </w:pPr>
            <w:r w:rsidRPr="00C032C9">
              <w:rPr>
                <w:rtl/>
              </w:rPr>
              <w:t>המידע על תוכניות מפעלי ניקוז מאושרות, שהנגיש המשרד לציבור באתר האינטרנט שלו, אינו כולל את מסמכי התוכניות ואת התשריטים שלהן.</w:t>
            </w:r>
          </w:p>
        </w:tc>
        <w:tc>
          <w:tcPr>
            <w:tcW w:w="748" w:type="dxa"/>
            <w:shd w:val="clear" w:color="auto" w:fill="DFECEF"/>
          </w:tcPr>
          <w:p w:rsidR="00781C4B" w:rsidP="00781C4B" w14:paraId="3D4248B7" w14:textId="14B8A758">
            <w:pPr>
              <w:pStyle w:val="73R"/>
              <w:rPr>
                <w:rtl/>
              </w:rPr>
            </w:pPr>
            <w:r w:rsidRPr="00973C85">
              <w:rPr>
                <w:noProof/>
                <w:rtl/>
              </w:rPr>
              <mc:AlternateContent>
                <mc:Choice Requires="wps">
                  <w:drawing>
                    <wp:anchor distT="0" distB="0" distL="114300" distR="114300" simplePos="0" relativeHeight="251717632" behindDoc="0" locked="0" layoutInCell="1" allowOverlap="1">
                      <wp:simplePos x="0" y="0"/>
                      <wp:positionH relativeFrom="column">
                        <wp:posOffset>-1466850</wp:posOffset>
                      </wp:positionH>
                      <wp:positionV relativeFrom="paragraph">
                        <wp:posOffset>589915</wp:posOffset>
                      </wp:positionV>
                      <wp:extent cx="1856105" cy="223520"/>
                      <wp:effectExtent l="12700" t="12700" r="10795" b="17780"/>
                      <wp:wrapNone/>
                      <wp:docPr id="2141585993" name="חץ שמאלה 2141585993"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8561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141585993" o:spid="_x0000_s1043" type="#_x0000_t66" alt="תוקן במידה רבה" style="width:146.15pt;height:17.6pt;margin-top:46.45pt;margin-left:-115.5pt;mso-height-percent:0;mso-height-relative:margin;mso-width-percent:0;mso-width-relative:margin;mso-wrap-distance-bottom:0;mso-wrap-distance-left:9pt;mso-wrap-distance-right:9pt;mso-wrap-distance-top:0;mso-wrap-style:square;position:absolute;visibility:visible;v-text-anchor:middle;z-index:251718656" adj="1301" fillcolor="#fdf000" strokecolor="#fdf000" strokeweight="2pt"/>
                  </w:pict>
                </mc:Fallback>
              </mc:AlternateContent>
            </w:r>
          </w:p>
        </w:tc>
        <w:tc>
          <w:tcPr>
            <w:tcW w:w="758" w:type="dxa"/>
            <w:shd w:val="clear" w:color="auto" w:fill="DFECEF"/>
          </w:tcPr>
          <w:p w:rsidR="00781C4B" w:rsidP="00781C4B" w14:paraId="7CA3E788" w14:textId="77777777">
            <w:pPr>
              <w:pStyle w:val="73R"/>
              <w:rPr>
                <w:rtl/>
              </w:rPr>
            </w:pPr>
          </w:p>
        </w:tc>
        <w:tc>
          <w:tcPr>
            <w:tcW w:w="758" w:type="dxa"/>
            <w:shd w:val="clear" w:color="auto" w:fill="DFECEF"/>
          </w:tcPr>
          <w:p w:rsidR="00781C4B" w:rsidP="00781C4B" w14:paraId="32EC75AA" w14:textId="5697123F">
            <w:pPr>
              <w:pStyle w:val="73R"/>
              <w:rPr>
                <w:rtl/>
              </w:rPr>
            </w:pPr>
          </w:p>
        </w:tc>
        <w:tc>
          <w:tcPr>
            <w:tcW w:w="733" w:type="dxa"/>
            <w:shd w:val="clear" w:color="auto" w:fill="DFECEF"/>
          </w:tcPr>
          <w:p w:rsidR="00781C4B" w:rsidP="00781C4B" w14:paraId="346AC4CA" w14:textId="606819F5">
            <w:pPr>
              <w:pStyle w:val="73R"/>
              <w:rPr>
                <w:rtl/>
              </w:rPr>
            </w:pPr>
          </w:p>
        </w:tc>
        <w:tc>
          <w:tcPr>
            <w:tcW w:w="685" w:type="dxa"/>
            <w:shd w:val="clear" w:color="auto" w:fill="DFECEF"/>
          </w:tcPr>
          <w:p w:rsidR="00781C4B" w:rsidP="00781C4B" w14:paraId="7F0C3E8A" w14:textId="77777777">
            <w:pPr>
              <w:pStyle w:val="73R"/>
              <w:rPr>
                <w:rtl/>
              </w:rPr>
            </w:pPr>
          </w:p>
        </w:tc>
      </w:tr>
      <w:tr w14:paraId="5CB1B12E" w14:textId="77777777" w:rsidTr="00DB5149">
        <w:tblPrEx>
          <w:tblW w:w="7215" w:type="dxa"/>
          <w:tblInd w:w="1156" w:type="dxa"/>
          <w:shd w:val="clear" w:color="auto" w:fill="DFECEF"/>
          <w:tblLook w:val="04A0"/>
        </w:tblPrEx>
        <w:tc>
          <w:tcPr>
            <w:tcW w:w="1007" w:type="dxa"/>
            <w:shd w:val="clear" w:color="auto" w:fill="F0F8F9"/>
          </w:tcPr>
          <w:p w:rsidR="00781C4B" w:rsidRPr="00FA2D84" w:rsidP="00781C4B" w14:paraId="008FCFF5" w14:textId="730F6A00">
            <w:pPr>
              <w:pStyle w:val="73R"/>
              <w:spacing w:after="240"/>
              <w:rPr>
                <w:spacing w:val="2"/>
                <w:rtl/>
              </w:rPr>
            </w:pPr>
            <w:r w:rsidRPr="00C032C9">
              <w:rPr>
                <w:rtl/>
              </w:rPr>
              <w:t>פעולות המשרד להגדלת תקציב הפיתוח המוקצה לטיפול בשיטפונות</w:t>
            </w:r>
          </w:p>
        </w:tc>
        <w:tc>
          <w:tcPr>
            <w:tcW w:w="991" w:type="dxa"/>
            <w:shd w:val="clear" w:color="auto" w:fill="F0F8F9"/>
          </w:tcPr>
          <w:p w:rsidR="00781C4B" w:rsidRPr="00C032C9" w:rsidP="00781C4B" w14:paraId="1160B501" w14:textId="7F528B6C">
            <w:pPr>
              <w:pStyle w:val="73R"/>
              <w:rPr>
                <w:rtl/>
              </w:rPr>
            </w:pPr>
            <w:r w:rsidRPr="00C032C9">
              <w:rPr>
                <w:rtl/>
              </w:rPr>
              <w:t>משרד האוצר,</w:t>
            </w:r>
          </w:p>
          <w:p w:rsidR="00781C4B" w:rsidRPr="00C032C9" w:rsidP="00781C4B" w14:paraId="460C9A8A" w14:textId="77777777">
            <w:pPr>
              <w:pStyle w:val="73R"/>
              <w:rPr>
                <w:rtl/>
              </w:rPr>
            </w:pPr>
            <w:r w:rsidRPr="00C032C9">
              <w:rPr>
                <w:rtl/>
              </w:rPr>
              <w:t>משרד החקלאות,</w:t>
            </w:r>
          </w:p>
          <w:p w:rsidR="00781C4B" w:rsidP="00781C4B" w14:paraId="2829AB7E" w14:textId="6C917C4B">
            <w:pPr>
              <w:pStyle w:val="73R"/>
              <w:spacing w:after="240"/>
              <w:rPr>
                <w:rtl/>
              </w:rPr>
            </w:pPr>
            <w:r w:rsidRPr="00C032C9">
              <w:rPr>
                <w:rtl/>
              </w:rPr>
              <w:t>רמ"י</w:t>
            </w:r>
          </w:p>
        </w:tc>
        <w:tc>
          <w:tcPr>
            <w:tcW w:w="1535" w:type="dxa"/>
            <w:shd w:val="clear" w:color="auto" w:fill="F0F8F9"/>
          </w:tcPr>
          <w:p w:rsidR="00781C4B" w:rsidP="00781C4B" w14:paraId="61A4D12C" w14:textId="04870F1B">
            <w:pPr>
              <w:pStyle w:val="73R"/>
              <w:spacing w:after="240"/>
              <w:rPr>
                <w:rtl/>
              </w:rPr>
            </w:pPr>
            <w:r w:rsidRPr="00C032C9">
              <w:rPr>
                <w:rtl/>
              </w:rPr>
              <w:t>לא נחתם סיכום תקציבי לשנת 2023 ואילך לקידום תוכניות ניקוז. התקציב הממשלתי המיועד לנושא, שנקבע בשנת 2010, לא שיקף את צורכי הניקוז באותה עת ואת הצרכים העתידיים.</w:t>
            </w:r>
          </w:p>
        </w:tc>
        <w:tc>
          <w:tcPr>
            <w:tcW w:w="748" w:type="dxa"/>
            <w:shd w:val="clear" w:color="auto" w:fill="F0F8F9"/>
          </w:tcPr>
          <w:p w:rsidR="00781C4B" w:rsidRPr="00DB5149" w:rsidP="00781C4B" w14:paraId="0AF96682" w14:textId="563388A7">
            <w:pPr>
              <w:pStyle w:val="73R"/>
              <w:rPr>
                <w:b/>
                <w:bCs/>
                <w:rtl/>
              </w:rPr>
            </w:pPr>
          </w:p>
        </w:tc>
        <w:tc>
          <w:tcPr>
            <w:tcW w:w="758" w:type="dxa"/>
            <w:shd w:val="clear" w:color="auto" w:fill="F0F8F9"/>
          </w:tcPr>
          <w:p w:rsidR="00781C4B" w:rsidP="00781C4B" w14:paraId="1E53B78C" w14:textId="26C57B08">
            <w:pPr>
              <w:pStyle w:val="73R"/>
              <w:rPr>
                <w:rtl/>
              </w:rPr>
            </w:pPr>
          </w:p>
        </w:tc>
        <w:tc>
          <w:tcPr>
            <w:tcW w:w="758" w:type="dxa"/>
            <w:shd w:val="clear" w:color="auto" w:fill="F0F8F9"/>
          </w:tcPr>
          <w:p w:rsidR="00781C4B" w:rsidP="00781C4B" w14:paraId="1CDE3909" w14:textId="36F634C8">
            <w:pPr>
              <w:pStyle w:val="73R"/>
              <w:rPr>
                <w:rtl/>
              </w:rPr>
            </w:pPr>
          </w:p>
        </w:tc>
        <w:tc>
          <w:tcPr>
            <w:tcW w:w="733" w:type="dxa"/>
            <w:shd w:val="clear" w:color="auto" w:fill="F0F8F9"/>
          </w:tcPr>
          <w:p w:rsidR="00781C4B" w:rsidP="00781C4B" w14:paraId="143EBD67" w14:textId="120E4CB5">
            <w:pPr>
              <w:pStyle w:val="73R"/>
              <w:rPr>
                <w:rtl/>
              </w:rPr>
            </w:pPr>
            <w:r w:rsidRPr="00973C85">
              <w:rPr>
                <w:noProof/>
                <w:rtl/>
              </w:rPr>
              <mc:AlternateContent>
                <mc:Choice Requires="wps">
                  <w:drawing>
                    <wp:anchor distT="0" distB="0" distL="114300" distR="114300" simplePos="0" relativeHeight="251719680" behindDoc="0" locked="0" layoutInCell="1" allowOverlap="1">
                      <wp:simplePos x="0" y="0"/>
                      <wp:positionH relativeFrom="column">
                        <wp:posOffset>-39370</wp:posOffset>
                      </wp:positionH>
                      <wp:positionV relativeFrom="paragraph">
                        <wp:posOffset>683895</wp:posOffset>
                      </wp:positionV>
                      <wp:extent cx="1856105" cy="223520"/>
                      <wp:effectExtent l="12700" t="12700" r="10795" b="17780"/>
                      <wp:wrapNone/>
                      <wp:docPr id="1696857326" name="חץ שמאלה 1696857326"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8561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96857326" o:spid="_x0000_s1044" type="#_x0000_t66" alt="תוקן במידה רבה" style="width:146.15pt;height:17.6pt;margin-top:53.85pt;margin-left:-3.1pt;mso-height-percent:0;mso-height-relative:margin;mso-width-percent:0;mso-width-relative:margin;mso-wrap-distance-bottom:0;mso-wrap-distance-left:9pt;mso-wrap-distance-right:9pt;mso-wrap-distance-top:0;mso-wrap-style:square;position:absolute;visibility:visible;v-text-anchor:middle;z-index:251720704" adj="1301" fillcolor="#fdf000" strokecolor="#fdf000" strokeweight="2pt"/>
                  </w:pict>
                </mc:Fallback>
              </mc:AlternateContent>
            </w:r>
          </w:p>
        </w:tc>
        <w:tc>
          <w:tcPr>
            <w:tcW w:w="685" w:type="dxa"/>
            <w:shd w:val="clear" w:color="auto" w:fill="F0F8F9"/>
          </w:tcPr>
          <w:p w:rsidR="00781C4B" w:rsidP="00781C4B" w14:paraId="45F4D58F" w14:textId="3EABDA00">
            <w:pPr>
              <w:pStyle w:val="73R"/>
              <w:rPr>
                <w:rtl/>
              </w:rPr>
            </w:pPr>
          </w:p>
        </w:tc>
      </w:tr>
      <w:tr w14:paraId="705B3505" w14:textId="77777777" w:rsidTr="00DB5149">
        <w:tblPrEx>
          <w:tblW w:w="7215" w:type="dxa"/>
          <w:tblInd w:w="1156" w:type="dxa"/>
          <w:shd w:val="clear" w:color="auto" w:fill="DFECEF"/>
          <w:tblLook w:val="04A0"/>
        </w:tblPrEx>
        <w:tc>
          <w:tcPr>
            <w:tcW w:w="1007" w:type="dxa"/>
            <w:shd w:val="clear" w:color="auto" w:fill="DFECEF"/>
          </w:tcPr>
          <w:p w:rsidR="00781C4B" w:rsidP="00781C4B" w14:paraId="27E71092" w14:textId="274D0321">
            <w:pPr>
              <w:pStyle w:val="73R"/>
              <w:spacing w:after="240"/>
              <w:rPr>
                <w:rtl/>
              </w:rPr>
            </w:pPr>
            <w:r w:rsidRPr="00C032C9">
              <w:rPr>
                <w:rtl/>
              </w:rPr>
              <w:t>ניצול תקציבי התמיכות שאישר משרד החקלאות לרשויות הניקוז</w:t>
            </w:r>
          </w:p>
        </w:tc>
        <w:tc>
          <w:tcPr>
            <w:tcW w:w="991" w:type="dxa"/>
            <w:shd w:val="clear" w:color="auto" w:fill="DFECEF"/>
          </w:tcPr>
          <w:p w:rsidR="00781C4B" w:rsidRPr="00C032C9" w:rsidP="00781C4B" w14:paraId="3367F910" w14:textId="0B8B21E3">
            <w:pPr>
              <w:pStyle w:val="73R"/>
              <w:rPr>
                <w:rtl/>
              </w:rPr>
            </w:pPr>
            <w:r w:rsidRPr="00C032C9">
              <w:rPr>
                <w:rtl/>
              </w:rPr>
              <w:t>משרד החקלאות,</w:t>
            </w:r>
          </w:p>
          <w:p w:rsidR="00781C4B" w:rsidP="00781C4B" w14:paraId="6673893A" w14:textId="36CABB9F">
            <w:pPr>
              <w:pStyle w:val="73R"/>
              <w:spacing w:after="240"/>
              <w:rPr>
                <w:rtl/>
              </w:rPr>
            </w:pPr>
            <w:r w:rsidRPr="00C032C9">
              <w:rPr>
                <w:rtl/>
              </w:rPr>
              <w:t>רשויות הניקוז</w:t>
            </w:r>
          </w:p>
        </w:tc>
        <w:tc>
          <w:tcPr>
            <w:tcW w:w="1535" w:type="dxa"/>
            <w:shd w:val="clear" w:color="auto" w:fill="DFECEF"/>
          </w:tcPr>
          <w:p w:rsidR="00781C4B" w:rsidP="00781C4B" w14:paraId="79646E41" w14:textId="77B32C39">
            <w:pPr>
              <w:pStyle w:val="73R"/>
              <w:spacing w:after="240"/>
              <w:rPr>
                <w:rtl/>
              </w:rPr>
            </w:pPr>
            <w:r w:rsidRPr="00C032C9">
              <w:rPr>
                <w:rtl/>
              </w:rPr>
              <w:t>כמחצית מרשויות הניקוז (6) מימשו פחות מ-80% מכספי התמיכות עבור פרויקטים לניהול נגר וניקוז שאושרו להן בשנים 2014 - 2016.</w:t>
            </w:r>
          </w:p>
        </w:tc>
        <w:tc>
          <w:tcPr>
            <w:tcW w:w="748" w:type="dxa"/>
            <w:shd w:val="clear" w:color="auto" w:fill="DFECEF"/>
          </w:tcPr>
          <w:p w:rsidR="00781C4B" w:rsidP="00781C4B" w14:paraId="1CE69AF1" w14:textId="71823388">
            <w:pPr>
              <w:pStyle w:val="73R"/>
              <w:rPr>
                <w:rtl/>
              </w:rPr>
            </w:pPr>
            <w:r w:rsidRPr="00973C85">
              <w:rPr>
                <w:noProof/>
                <w:rtl/>
              </w:rPr>
              <mc:AlternateContent>
                <mc:Choice Requires="wps">
                  <w:drawing>
                    <wp:anchor distT="0" distB="0" distL="114300" distR="114300" simplePos="0" relativeHeight="251721728" behindDoc="0" locked="0" layoutInCell="1" allowOverlap="1">
                      <wp:simplePos x="0" y="0"/>
                      <wp:positionH relativeFrom="column">
                        <wp:posOffset>-1466850</wp:posOffset>
                      </wp:positionH>
                      <wp:positionV relativeFrom="paragraph">
                        <wp:posOffset>511175</wp:posOffset>
                      </wp:positionV>
                      <wp:extent cx="1856105" cy="223520"/>
                      <wp:effectExtent l="12700" t="12700" r="10795" b="17780"/>
                      <wp:wrapNone/>
                      <wp:docPr id="1626144509" name="חץ שמאלה 1626144509"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8561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26144509" o:spid="_x0000_s1045" type="#_x0000_t66" alt="תוקן במידה רבה" style="width:146.15pt;height:17.6pt;margin-top:40.25pt;margin-left:-115.5pt;mso-height-percent:0;mso-height-relative:margin;mso-width-percent:0;mso-width-relative:margin;mso-wrap-distance-bottom:0;mso-wrap-distance-left:9pt;mso-wrap-distance-right:9pt;mso-wrap-distance-top:0;mso-wrap-style:square;position:absolute;visibility:visible;v-text-anchor:middle;z-index:251722752" adj="1301" fillcolor="#fdf000" strokecolor="#fdf000" strokeweight="2pt"/>
                  </w:pict>
                </mc:Fallback>
              </mc:AlternateContent>
            </w:r>
          </w:p>
        </w:tc>
        <w:tc>
          <w:tcPr>
            <w:tcW w:w="758" w:type="dxa"/>
            <w:shd w:val="clear" w:color="auto" w:fill="DFECEF"/>
          </w:tcPr>
          <w:p w:rsidR="00781C4B" w:rsidP="00781C4B" w14:paraId="1EE5640F" w14:textId="0986B83F">
            <w:pPr>
              <w:pStyle w:val="73R"/>
              <w:rPr>
                <w:rtl/>
              </w:rPr>
            </w:pPr>
          </w:p>
        </w:tc>
        <w:tc>
          <w:tcPr>
            <w:tcW w:w="758" w:type="dxa"/>
            <w:shd w:val="clear" w:color="auto" w:fill="DFECEF"/>
          </w:tcPr>
          <w:p w:rsidR="00781C4B" w:rsidP="00781C4B" w14:paraId="55D2D59C" w14:textId="0CB53600">
            <w:pPr>
              <w:pStyle w:val="73R"/>
              <w:rPr>
                <w:rtl/>
              </w:rPr>
            </w:pPr>
          </w:p>
        </w:tc>
        <w:tc>
          <w:tcPr>
            <w:tcW w:w="733" w:type="dxa"/>
            <w:shd w:val="clear" w:color="auto" w:fill="DFECEF"/>
          </w:tcPr>
          <w:p w:rsidR="00781C4B" w:rsidP="00781C4B" w14:paraId="14599525" w14:textId="170337D9">
            <w:pPr>
              <w:pStyle w:val="73R"/>
              <w:rPr>
                <w:rtl/>
              </w:rPr>
            </w:pPr>
          </w:p>
        </w:tc>
        <w:tc>
          <w:tcPr>
            <w:tcW w:w="685" w:type="dxa"/>
            <w:shd w:val="clear" w:color="auto" w:fill="DFECEF"/>
          </w:tcPr>
          <w:p w:rsidR="00781C4B" w:rsidP="00781C4B" w14:paraId="4BBB6D41" w14:textId="77777777">
            <w:pPr>
              <w:pStyle w:val="73R"/>
              <w:rPr>
                <w:rtl/>
              </w:rPr>
            </w:pPr>
          </w:p>
        </w:tc>
      </w:tr>
      <w:tr w14:paraId="04D64242" w14:textId="77777777" w:rsidTr="00DB5149">
        <w:tblPrEx>
          <w:tblW w:w="7215" w:type="dxa"/>
          <w:tblInd w:w="1156" w:type="dxa"/>
          <w:shd w:val="clear" w:color="auto" w:fill="DFECEF"/>
          <w:tblLook w:val="04A0"/>
        </w:tblPrEx>
        <w:tc>
          <w:tcPr>
            <w:tcW w:w="1007" w:type="dxa"/>
            <w:shd w:val="clear" w:color="auto" w:fill="F0F8F9"/>
          </w:tcPr>
          <w:p w:rsidR="00781C4B" w:rsidP="00781C4B" w14:paraId="760DFBEC" w14:textId="03690AC2">
            <w:pPr>
              <w:pStyle w:val="73R"/>
              <w:spacing w:after="240"/>
              <w:rPr>
                <w:rtl/>
              </w:rPr>
            </w:pPr>
            <w:r w:rsidRPr="00C032C9">
              <w:rPr>
                <w:rtl/>
              </w:rPr>
              <w:t>אסדרה מקיפה של תחום הניקוז</w:t>
            </w:r>
          </w:p>
        </w:tc>
        <w:tc>
          <w:tcPr>
            <w:tcW w:w="991" w:type="dxa"/>
            <w:shd w:val="clear" w:color="auto" w:fill="F0F8F9"/>
          </w:tcPr>
          <w:p w:rsidR="00781C4B" w:rsidP="00781C4B" w14:paraId="1186775C" w14:textId="1D8926D4">
            <w:pPr>
              <w:pStyle w:val="73R"/>
              <w:spacing w:after="240"/>
              <w:rPr>
                <w:rtl/>
              </w:rPr>
            </w:pPr>
            <w:r w:rsidRPr="00C032C9">
              <w:rPr>
                <w:rtl/>
              </w:rPr>
              <w:t>משרד החקלאות</w:t>
            </w:r>
          </w:p>
        </w:tc>
        <w:tc>
          <w:tcPr>
            <w:tcW w:w="1535" w:type="dxa"/>
            <w:shd w:val="clear" w:color="auto" w:fill="F0F8F9"/>
          </w:tcPr>
          <w:p w:rsidR="00781C4B" w:rsidP="00781C4B" w14:paraId="6E9DCA2D" w14:textId="2A3F02D6">
            <w:pPr>
              <w:pStyle w:val="73R"/>
              <w:spacing w:after="240"/>
              <w:rPr>
                <w:rtl/>
              </w:rPr>
            </w:pPr>
            <w:r w:rsidRPr="00C032C9">
              <w:rPr>
                <w:rtl/>
              </w:rPr>
              <w:t>משנת 2014 ועד מועד סיום הביקורת לא קודמו הליכי החקיקה לאסדרת תחום הניקוז.</w:t>
            </w:r>
          </w:p>
        </w:tc>
        <w:tc>
          <w:tcPr>
            <w:tcW w:w="748" w:type="dxa"/>
            <w:shd w:val="clear" w:color="auto" w:fill="F0F8F9"/>
          </w:tcPr>
          <w:p w:rsidR="00781C4B" w:rsidP="00781C4B" w14:paraId="366224AC" w14:textId="7A5EACFA">
            <w:pPr>
              <w:pStyle w:val="73R"/>
              <w:rPr>
                <w:rtl/>
              </w:rPr>
            </w:pPr>
          </w:p>
        </w:tc>
        <w:tc>
          <w:tcPr>
            <w:tcW w:w="758" w:type="dxa"/>
            <w:shd w:val="clear" w:color="auto" w:fill="F0F8F9"/>
          </w:tcPr>
          <w:p w:rsidR="00781C4B" w:rsidP="00781C4B" w14:paraId="65452C8C" w14:textId="29EC57EA">
            <w:pPr>
              <w:pStyle w:val="73R"/>
              <w:rPr>
                <w:rtl/>
              </w:rPr>
            </w:pPr>
          </w:p>
        </w:tc>
        <w:tc>
          <w:tcPr>
            <w:tcW w:w="758" w:type="dxa"/>
            <w:shd w:val="clear" w:color="auto" w:fill="F0F8F9"/>
          </w:tcPr>
          <w:p w:rsidR="00781C4B" w:rsidP="00781C4B" w14:paraId="6E25ABEE" w14:textId="6AF58552">
            <w:pPr>
              <w:pStyle w:val="73R"/>
              <w:rPr>
                <w:rtl/>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-57785</wp:posOffset>
                      </wp:positionH>
                      <wp:positionV relativeFrom="paragraph">
                        <wp:posOffset>349885</wp:posOffset>
                      </wp:positionV>
                      <wp:extent cx="1411043" cy="223520"/>
                      <wp:effectExtent l="12700" t="12700" r="11430" b="17780"/>
                      <wp:wrapNone/>
                      <wp:docPr id="58" name="חץ שמאלה 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1411043"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46" type="#_x0000_t66" alt="תוקן במידה מועטה" style="width:111.1pt;height:17.6pt;margin-top:27.55pt;margin-left:-4.55pt;mso-height-percent:0;mso-height-relative:margin;mso-width-percent:0;mso-width-relative:margin;mso-wrap-distance-bottom:0;mso-wrap-distance-left:9pt;mso-wrap-distance-right:9pt;mso-wrap-distance-top:0;mso-wrap-style:square;position:absolute;visibility:visible;v-text-anchor:middle;z-index:251706368" adj="1711" fillcolor="#ffc002" strokecolor="#ffc002" strokeweight="2pt"/>
                  </w:pict>
                </mc:Fallback>
              </mc:AlternateContent>
            </w:r>
          </w:p>
        </w:tc>
        <w:tc>
          <w:tcPr>
            <w:tcW w:w="733" w:type="dxa"/>
            <w:shd w:val="clear" w:color="auto" w:fill="F0F8F9"/>
          </w:tcPr>
          <w:p w:rsidR="00781C4B" w:rsidP="00781C4B" w14:paraId="3641B44F" w14:textId="215F8350">
            <w:pPr>
              <w:pStyle w:val="73R"/>
              <w:rPr>
                <w:rtl/>
              </w:rPr>
            </w:pPr>
          </w:p>
        </w:tc>
        <w:tc>
          <w:tcPr>
            <w:tcW w:w="685" w:type="dxa"/>
            <w:shd w:val="clear" w:color="auto" w:fill="F0F8F9"/>
          </w:tcPr>
          <w:p w:rsidR="00781C4B" w:rsidP="00781C4B" w14:paraId="11AF1571" w14:textId="77777777">
            <w:pPr>
              <w:pStyle w:val="73R"/>
              <w:rPr>
                <w:rtl/>
              </w:rPr>
            </w:pPr>
          </w:p>
        </w:tc>
      </w:tr>
      <w:tr w14:paraId="7688E1C3" w14:textId="77777777" w:rsidTr="00DB5149">
        <w:tblPrEx>
          <w:tblW w:w="7215" w:type="dxa"/>
          <w:tblInd w:w="1156" w:type="dxa"/>
          <w:shd w:val="clear" w:color="auto" w:fill="DFECEF"/>
          <w:tblLook w:val="04A0"/>
        </w:tblPrEx>
        <w:tc>
          <w:tcPr>
            <w:tcW w:w="1007" w:type="dxa"/>
            <w:shd w:val="clear" w:color="auto" w:fill="DFECEF"/>
          </w:tcPr>
          <w:p w:rsidR="00781C4B" w:rsidP="00781C4B" w14:paraId="2AB885EA" w14:textId="5DBB9EB2">
            <w:pPr>
              <w:pStyle w:val="73R"/>
              <w:spacing w:after="240"/>
              <w:rPr>
                <w:rtl/>
              </w:rPr>
            </w:pPr>
            <w:r w:rsidRPr="00C032C9">
              <w:rPr>
                <w:rtl/>
              </w:rPr>
              <w:t>ניהול סיכוני שיטפונות</w:t>
            </w:r>
          </w:p>
        </w:tc>
        <w:tc>
          <w:tcPr>
            <w:tcW w:w="991" w:type="dxa"/>
            <w:shd w:val="clear" w:color="auto" w:fill="DFECEF"/>
          </w:tcPr>
          <w:p w:rsidR="00781C4B" w:rsidP="00781C4B" w14:paraId="03F634BC" w14:textId="634F395A">
            <w:pPr>
              <w:pStyle w:val="73R"/>
              <w:spacing w:after="240"/>
              <w:rPr>
                <w:rtl/>
              </w:rPr>
            </w:pPr>
            <w:r w:rsidRPr="00C032C9">
              <w:rPr>
                <w:rtl/>
              </w:rPr>
              <w:t>משרד החקלאות</w:t>
            </w:r>
          </w:p>
        </w:tc>
        <w:tc>
          <w:tcPr>
            <w:tcW w:w="1535" w:type="dxa"/>
            <w:shd w:val="clear" w:color="auto" w:fill="DFECEF"/>
          </w:tcPr>
          <w:p w:rsidR="00781C4B" w:rsidRPr="00FA2D84" w:rsidP="00781C4B" w14:paraId="1751B1CB" w14:textId="353B905D">
            <w:pPr>
              <w:pStyle w:val="73R"/>
              <w:spacing w:after="240"/>
              <w:rPr>
                <w:spacing w:val="2"/>
                <w:rtl/>
              </w:rPr>
            </w:pPr>
            <w:r w:rsidRPr="00C032C9">
              <w:rPr>
                <w:rtl/>
              </w:rPr>
              <w:t>מתודולוגיית התוכניות לניהול סיכוני השיטפונות אינה כוללת הנחיה בדבר תכלולן של התוכניות האגניות לתוכנית לאומית לניהול סיכוני שיטפונות בראייה כלל-ארצית.</w:t>
            </w:r>
          </w:p>
        </w:tc>
        <w:tc>
          <w:tcPr>
            <w:tcW w:w="748" w:type="dxa"/>
            <w:shd w:val="clear" w:color="auto" w:fill="DFECEF"/>
          </w:tcPr>
          <w:p w:rsidR="00781C4B" w:rsidP="00781C4B" w14:paraId="341E73A4" w14:textId="28A782C5">
            <w:pPr>
              <w:pStyle w:val="73R"/>
              <w:rPr>
                <w:rtl/>
              </w:rPr>
            </w:pPr>
            <w:r w:rsidRPr="00781C4B">
              <w:rPr>
                <w:noProof/>
                <w:color w:val="FF8250"/>
                <w:rtl/>
              </w:rPr>
              <mc:AlternateContent>
                <mc:Choice Requires="wps">
                  <w:drawing>
                    <wp:anchor distT="0" distB="0" distL="114300" distR="114300" simplePos="0" relativeHeight="251711488" behindDoc="0" locked="0" layoutInCell="1" allowOverlap="1">
                      <wp:simplePos x="0" y="0"/>
                      <wp:positionH relativeFrom="column">
                        <wp:posOffset>-530860</wp:posOffset>
                      </wp:positionH>
                      <wp:positionV relativeFrom="paragraph">
                        <wp:posOffset>571500</wp:posOffset>
                      </wp:positionV>
                      <wp:extent cx="924373" cy="223520"/>
                      <wp:effectExtent l="12700" t="12700" r="15875" b="17780"/>
                      <wp:wrapNone/>
                      <wp:docPr id="1772019185" name="חץ שמאלה 1772019185"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924373"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72019185" o:spid="_x0000_s1047" type="#_x0000_t66" alt="תוקן במידה מועטה" style="width:72.8pt;height:17.6pt;margin-top:45pt;margin-left:-41.8pt;mso-height-percent:0;mso-height-relative:margin;mso-width-percent:0;mso-width-relative:margin;mso-wrap-distance-bottom:0;mso-wrap-distance-left:9pt;mso-wrap-distance-right:9pt;mso-wrap-distance-top:0;mso-wrap-style:square;position:absolute;visibility:visible;v-text-anchor:middle;z-index:251712512" adj="2612" fillcolor="#ff8250" strokecolor="#ff8250" strokeweight="2pt"/>
                  </w:pict>
                </mc:Fallback>
              </mc:AlternateContent>
            </w:r>
          </w:p>
        </w:tc>
        <w:tc>
          <w:tcPr>
            <w:tcW w:w="758" w:type="dxa"/>
            <w:shd w:val="clear" w:color="auto" w:fill="DFECEF"/>
          </w:tcPr>
          <w:p w:rsidR="00781C4B" w:rsidP="00781C4B" w14:paraId="65648CCF" w14:textId="55293372">
            <w:pPr>
              <w:pStyle w:val="73R"/>
              <w:rPr>
                <w:rtl/>
              </w:rPr>
            </w:pPr>
          </w:p>
        </w:tc>
        <w:tc>
          <w:tcPr>
            <w:tcW w:w="758" w:type="dxa"/>
            <w:shd w:val="clear" w:color="auto" w:fill="DFECEF"/>
          </w:tcPr>
          <w:p w:rsidR="00781C4B" w:rsidRPr="00781C4B" w:rsidP="00781C4B" w14:paraId="0F472B94" w14:textId="45FB108D">
            <w:pPr>
              <w:pStyle w:val="73R"/>
              <w:rPr>
                <w:color w:val="FF8250"/>
                <w:rtl/>
              </w:rPr>
            </w:pPr>
          </w:p>
        </w:tc>
        <w:tc>
          <w:tcPr>
            <w:tcW w:w="733" w:type="dxa"/>
            <w:shd w:val="clear" w:color="auto" w:fill="DFECEF"/>
          </w:tcPr>
          <w:p w:rsidR="00781C4B" w:rsidP="00781C4B" w14:paraId="385F8DCE" w14:textId="77777777">
            <w:pPr>
              <w:pStyle w:val="73R"/>
              <w:rPr>
                <w:rtl/>
              </w:rPr>
            </w:pPr>
          </w:p>
        </w:tc>
        <w:tc>
          <w:tcPr>
            <w:tcW w:w="685" w:type="dxa"/>
            <w:shd w:val="clear" w:color="auto" w:fill="DFECEF"/>
          </w:tcPr>
          <w:p w:rsidR="00781C4B" w:rsidP="00781C4B" w14:paraId="44CFE4CA" w14:textId="77777777">
            <w:pPr>
              <w:pStyle w:val="73R"/>
              <w:rPr>
                <w:rtl/>
              </w:rPr>
            </w:pPr>
          </w:p>
        </w:tc>
      </w:tr>
      <w:tr w14:paraId="1422C672" w14:textId="77777777" w:rsidTr="00DB5149">
        <w:tblPrEx>
          <w:tblW w:w="7215" w:type="dxa"/>
          <w:tblInd w:w="1156" w:type="dxa"/>
          <w:shd w:val="clear" w:color="auto" w:fill="DFECEF"/>
          <w:tblLook w:val="04A0"/>
        </w:tblPrEx>
        <w:tc>
          <w:tcPr>
            <w:tcW w:w="1007" w:type="dxa"/>
            <w:shd w:val="clear" w:color="auto" w:fill="F0F8F9"/>
          </w:tcPr>
          <w:p w:rsidR="00781C4B" w:rsidP="00781C4B" w14:paraId="7C49E182" w14:textId="593A2A26">
            <w:pPr>
              <w:pStyle w:val="73R"/>
              <w:spacing w:after="240"/>
              <w:rPr>
                <w:rtl/>
              </w:rPr>
            </w:pPr>
            <w:r w:rsidRPr="00C032C9">
              <w:rPr>
                <w:rtl/>
              </w:rPr>
              <w:t>הסדרת שטחי הצפה באזור מפרץ חיפה</w:t>
            </w:r>
          </w:p>
        </w:tc>
        <w:tc>
          <w:tcPr>
            <w:tcW w:w="991" w:type="dxa"/>
            <w:shd w:val="clear" w:color="auto" w:fill="F0F8F9"/>
          </w:tcPr>
          <w:p w:rsidR="00781C4B" w:rsidRPr="00C032C9" w:rsidP="00781C4B" w14:paraId="5DB32AEB" w14:textId="77777777">
            <w:pPr>
              <w:pStyle w:val="73R"/>
              <w:rPr>
                <w:rtl/>
              </w:rPr>
            </w:pPr>
            <w:r w:rsidRPr="00C032C9">
              <w:rPr>
                <w:rtl/>
              </w:rPr>
              <w:t>משרד החקלאות,</w:t>
            </w:r>
          </w:p>
          <w:p w:rsidR="00781C4B" w:rsidP="00781C4B" w14:paraId="395D392E" w14:textId="3D825A1B">
            <w:pPr>
              <w:pStyle w:val="73R"/>
              <w:spacing w:after="240"/>
              <w:rPr>
                <w:rtl/>
              </w:rPr>
            </w:pPr>
            <w:r w:rsidRPr="00C032C9">
              <w:rPr>
                <w:rtl/>
              </w:rPr>
              <w:t>רשות ניקוז קישון</w:t>
            </w:r>
          </w:p>
        </w:tc>
        <w:tc>
          <w:tcPr>
            <w:tcW w:w="1535" w:type="dxa"/>
            <w:shd w:val="clear" w:color="auto" w:fill="F0F8F9"/>
          </w:tcPr>
          <w:p w:rsidR="00781C4B" w:rsidP="00781C4B" w14:paraId="4867646A" w14:textId="58C4858C">
            <w:pPr>
              <w:pStyle w:val="73R"/>
              <w:spacing w:after="240"/>
              <w:rPr>
                <w:rtl/>
              </w:rPr>
            </w:pPr>
            <w:r w:rsidRPr="00C032C9">
              <w:rPr>
                <w:rtl/>
              </w:rPr>
              <w:t>מתקני הוויסות של נחל שפרעם ונחל סומך לא הוסדרו כמפעל ניקוז בהתאם לחוק הניקוז.</w:t>
            </w:r>
          </w:p>
        </w:tc>
        <w:tc>
          <w:tcPr>
            <w:tcW w:w="748" w:type="dxa"/>
            <w:shd w:val="clear" w:color="auto" w:fill="F0F8F9"/>
          </w:tcPr>
          <w:p w:rsidR="00781C4B" w:rsidP="00781C4B" w14:paraId="41841405" w14:textId="07F2D6D9">
            <w:pPr>
              <w:pStyle w:val="73R"/>
              <w:rPr>
                <w:rtl/>
              </w:rPr>
            </w:pPr>
            <w:r w:rsidRPr="00781C4B">
              <w:rPr>
                <w:noProof/>
                <w:color w:val="FF8250"/>
                <w:rtl/>
              </w:rPr>
              <mc:AlternateContent>
                <mc:Choice Requires="wps">
                  <w:drawing>
                    <wp:anchor distT="0" distB="0" distL="114300" distR="114300" simplePos="0" relativeHeight="251723776" behindDoc="0" locked="0" layoutInCell="1" allowOverlap="1">
                      <wp:simplePos x="0" y="0"/>
                      <wp:positionH relativeFrom="column">
                        <wp:posOffset>-531495</wp:posOffset>
                      </wp:positionH>
                      <wp:positionV relativeFrom="paragraph">
                        <wp:posOffset>364490</wp:posOffset>
                      </wp:positionV>
                      <wp:extent cx="924373" cy="223520"/>
                      <wp:effectExtent l="12700" t="12700" r="15875" b="17780"/>
                      <wp:wrapNone/>
                      <wp:docPr id="676513055" name="חץ שמאלה 676513055"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924373"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76513055" o:spid="_x0000_s1048" type="#_x0000_t66" alt="תוקן במידה מועטה" style="width:72.8pt;height:17.6pt;margin-top:28.7pt;margin-left:-41.85pt;mso-height-percent:0;mso-height-relative:margin;mso-width-percent:0;mso-width-relative:margin;mso-wrap-distance-bottom:0;mso-wrap-distance-left:9pt;mso-wrap-distance-right:9pt;mso-wrap-distance-top:0;mso-wrap-style:square;position:absolute;visibility:visible;v-text-anchor:middle;z-index:251724800" adj="2612" fillcolor="#ff8250" strokecolor="#ff8250" strokeweight="2pt"/>
                  </w:pict>
                </mc:Fallback>
              </mc:AlternateContent>
            </w:r>
          </w:p>
        </w:tc>
        <w:tc>
          <w:tcPr>
            <w:tcW w:w="758" w:type="dxa"/>
            <w:shd w:val="clear" w:color="auto" w:fill="F0F8F9"/>
          </w:tcPr>
          <w:p w:rsidR="00781C4B" w:rsidP="00781C4B" w14:paraId="4AE74377" w14:textId="310866C8">
            <w:pPr>
              <w:pStyle w:val="73R"/>
              <w:rPr>
                <w:rtl/>
              </w:rPr>
            </w:pPr>
          </w:p>
        </w:tc>
        <w:tc>
          <w:tcPr>
            <w:tcW w:w="758" w:type="dxa"/>
            <w:shd w:val="clear" w:color="auto" w:fill="F0F8F9"/>
          </w:tcPr>
          <w:p w:rsidR="00781C4B" w:rsidP="00781C4B" w14:paraId="0300D1AC" w14:textId="04150703">
            <w:pPr>
              <w:pStyle w:val="73R"/>
              <w:rPr>
                <w:rtl/>
              </w:rPr>
            </w:pPr>
          </w:p>
        </w:tc>
        <w:tc>
          <w:tcPr>
            <w:tcW w:w="733" w:type="dxa"/>
            <w:shd w:val="clear" w:color="auto" w:fill="F0F8F9"/>
          </w:tcPr>
          <w:p w:rsidR="00781C4B" w:rsidP="00781C4B" w14:paraId="51785C65" w14:textId="77777777">
            <w:pPr>
              <w:pStyle w:val="73R"/>
              <w:rPr>
                <w:rtl/>
              </w:rPr>
            </w:pPr>
          </w:p>
        </w:tc>
        <w:tc>
          <w:tcPr>
            <w:tcW w:w="685" w:type="dxa"/>
            <w:shd w:val="clear" w:color="auto" w:fill="F0F8F9"/>
          </w:tcPr>
          <w:p w:rsidR="00781C4B" w:rsidP="00781C4B" w14:paraId="117D6F48" w14:textId="3806F93C">
            <w:pPr>
              <w:pStyle w:val="73R"/>
              <w:rPr>
                <w:rtl/>
              </w:rPr>
            </w:pPr>
          </w:p>
        </w:tc>
      </w:tr>
      <w:tr w14:paraId="2CF095CE" w14:textId="77777777" w:rsidTr="00DB5149">
        <w:tblPrEx>
          <w:tblW w:w="7215" w:type="dxa"/>
          <w:tblInd w:w="1156" w:type="dxa"/>
          <w:shd w:val="clear" w:color="auto" w:fill="DFECEF"/>
          <w:tblLook w:val="04A0"/>
        </w:tblPrEx>
        <w:tc>
          <w:tcPr>
            <w:tcW w:w="1007" w:type="dxa"/>
            <w:shd w:val="clear" w:color="auto" w:fill="DFECEF"/>
          </w:tcPr>
          <w:p w:rsidR="00781C4B" w:rsidP="003E5AE8" w14:paraId="1523BA1D" w14:textId="5C904D72">
            <w:pPr>
              <w:pStyle w:val="73R"/>
              <w:spacing w:after="240"/>
              <w:rPr>
                <w:rtl/>
              </w:rPr>
            </w:pPr>
            <w:r w:rsidRPr="00C032C9">
              <w:rPr>
                <w:rtl/>
              </w:rPr>
              <w:t>היטלי ניקוז המשולמים על ידי הרשויות המקומיות</w:t>
            </w:r>
          </w:p>
        </w:tc>
        <w:tc>
          <w:tcPr>
            <w:tcW w:w="991" w:type="dxa"/>
            <w:shd w:val="clear" w:color="auto" w:fill="DFECEF"/>
          </w:tcPr>
          <w:p w:rsidR="00781C4B" w:rsidRPr="00C032C9" w:rsidP="00781C4B" w14:paraId="275A5E06" w14:textId="77777777">
            <w:pPr>
              <w:pStyle w:val="73R"/>
              <w:rPr>
                <w:rtl/>
              </w:rPr>
            </w:pPr>
            <w:r w:rsidRPr="00C032C9">
              <w:rPr>
                <w:rtl/>
              </w:rPr>
              <w:t>משרד החקלאות,</w:t>
            </w:r>
          </w:p>
          <w:p w:rsidR="00781C4B" w:rsidRPr="00C032C9" w:rsidP="00781C4B" w14:paraId="50D5C101" w14:textId="77777777">
            <w:pPr>
              <w:pStyle w:val="73R"/>
              <w:rPr>
                <w:rtl/>
              </w:rPr>
            </w:pPr>
            <w:r w:rsidRPr="00C032C9">
              <w:rPr>
                <w:rtl/>
              </w:rPr>
              <w:t>משרד האוצר,</w:t>
            </w:r>
          </w:p>
          <w:p w:rsidR="00781C4B" w:rsidP="00781C4B" w14:paraId="16A7B4F1" w14:textId="335A1F60">
            <w:pPr>
              <w:pStyle w:val="73R"/>
              <w:spacing w:after="240"/>
              <w:rPr>
                <w:rtl/>
              </w:rPr>
            </w:pPr>
            <w:r w:rsidRPr="00C032C9">
              <w:rPr>
                <w:rtl/>
              </w:rPr>
              <w:t>משרד הפנים</w:t>
            </w:r>
          </w:p>
        </w:tc>
        <w:tc>
          <w:tcPr>
            <w:tcW w:w="1535" w:type="dxa"/>
            <w:shd w:val="clear" w:color="auto" w:fill="DFECEF"/>
          </w:tcPr>
          <w:p w:rsidR="00781C4B" w:rsidP="003E5AE8" w14:paraId="3AD54330" w14:textId="543D8DC5">
            <w:pPr>
              <w:pStyle w:val="73R"/>
              <w:spacing w:after="240"/>
              <w:rPr>
                <w:rtl/>
              </w:rPr>
            </w:pPr>
            <w:r w:rsidRPr="00C032C9">
              <w:rPr>
                <w:rtl/>
              </w:rPr>
              <w:t>קיים פער בשיעור של מאות אחוזים בתעריפים לבית אב ולדונם שגובות רשויות ניקוז שונות. עוד עלה כי אין ברשויות הניקוז או במשרד החקלאות תחשיבים כלכליים הבוחנים את התקציבים הנדרשים לכל אחת מרשויות הניקוז.</w:t>
            </w:r>
          </w:p>
        </w:tc>
        <w:tc>
          <w:tcPr>
            <w:tcW w:w="748" w:type="dxa"/>
            <w:shd w:val="clear" w:color="auto" w:fill="DFECEF"/>
          </w:tcPr>
          <w:p w:rsidR="00781C4B" w:rsidP="003E5AE8" w14:paraId="227F66C6" w14:textId="48754ADF">
            <w:pPr>
              <w:pStyle w:val="73R"/>
              <w:rPr>
                <w:rtl/>
              </w:rPr>
            </w:pPr>
          </w:p>
        </w:tc>
        <w:tc>
          <w:tcPr>
            <w:tcW w:w="758" w:type="dxa"/>
            <w:shd w:val="clear" w:color="auto" w:fill="DFECEF"/>
          </w:tcPr>
          <w:p w:rsidR="00781C4B" w:rsidP="003E5AE8" w14:paraId="0C6A9004" w14:textId="56C63A8E">
            <w:pPr>
              <w:pStyle w:val="73R"/>
              <w:rPr>
                <w:rtl/>
              </w:rPr>
            </w:pPr>
            <w:r w:rsidRPr="00781C4B">
              <w:rPr>
                <w:noProof/>
                <w:color w:val="FF8250"/>
                <w:rtl/>
              </w:rPr>
              <mc:AlternateContent>
                <mc:Choice Requires="wps">
                  <w:drawing>
                    <wp:anchor distT="0" distB="0" distL="114300" distR="114300" simplePos="0" relativeHeight="251725824" behindDoc="0" locked="0" layoutInCell="1" allowOverlap="1">
                      <wp:simplePos x="0" y="0"/>
                      <wp:positionH relativeFrom="column">
                        <wp:posOffset>-50800</wp:posOffset>
                      </wp:positionH>
                      <wp:positionV relativeFrom="paragraph">
                        <wp:posOffset>854075</wp:posOffset>
                      </wp:positionV>
                      <wp:extent cx="923925" cy="223520"/>
                      <wp:effectExtent l="12700" t="12700" r="15875" b="17780"/>
                      <wp:wrapNone/>
                      <wp:docPr id="396712495" name="חץ שמאלה 396712495"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923925"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96712495" o:spid="_x0000_s1049" type="#_x0000_t66" alt="תוקן במידה מועטה" style="width:72.75pt;height:17.6pt;margin-top:67.25pt;margin-left:-4pt;mso-height-percent:0;mso-height-relative:margin;mso-width-percent:0;mso-width-relative:margin;mso-wrap-distance-bottom:0;mso-wrap-distance-left:9pt;mso-wrap-distance-right:9pt;mso-wrap-distance-top:0;mso-wrap-style:square;position:absolute;visibility:visible;v-text-anchor:middle;z-index:251726848" adj="2613" fillcolor="#ff8250" strokecolor="#ff8250" strokeweight="2pt"/>
                  </w:pict>
                </mc:Fallback>
              </mc:AlternateContent>
            </w:r>
          </w:p>
        </w:tc>
        <w:tc>
          <w:tcPr>
            <w:tcW w:w="758" w:type="dxa"/>
            <w:shd w:val="clear" w:color="auto" w:fill="DFECEF"/>
          </w:tcPr>
          <w:p w:rsidR="00781C4B" w:rsidP="003E5AE8" w14:paraId="0C9687B5" w14:textId="25140758">
            <w:pPr>
              <w:pStyle w:val="73R"/>
              <w:rPr>
                <w:rtl/>
              </w:rPr>
            </w:pPr>
          </w:p>
        </w:tc>
        <w:tc>
          <w:tcPr>
            <w:tcW w:w="733" w:type="dxa"/>
            <w:shd w:val="clear" w:color="auto" w:fill="DFECEF"/>
          </w:tcPr>
          <w:p w:rsidR="00781C4B" w:rsidP="003E5AE8" w14:paraId="05E0F310" w14:textId="77777777">
            <w:pPr>
              <w:pStyle w:val="73R"/>
              <w:rPr>
                <w:rtl/>
              </w:rPr>
            </w:pPr>
          </w:p>
        </w:tc>
        <w:tc>
          <w:tcPr>
            <w:tcW w:w="685" w:type="dxa"/>
            <w:shd w:val="clear" w:color="auto" w:fill="DFECEF"/>
          </w:tcPr>
          <w:p w:rsidR="00781C4B" w:rsidP="003E5AE8" w14:paraId="21D96B28" w14:textId="77777777">
            <w:pPr>
              <w:pStyle w:val="73R"/>
              <w:rPr>
                <w:rtl/>
              </w:rPr>
            </w:pPr>
          </w:p>
        </w:tc>
      </w:tr>
      <w:tr w14:paraId="6A9B19BE" w14:textId="77777777" w:rsidTr="00DB5149">
        <w:tblPrEx>
          <w:tblW w:w="7215" w:type="dxa"/>
          <w:tblInd w:w="1156" w:type="dxa"/>
          <w:shd w:val="clear" w:color="auto" w:fill="DFECEF"/>
          <w:tblLook w:val="04A0"/>
        </w:tblPrEx>
        <w:tc>
          <w:tcPr>
            <w:tcW w:w="1007" w:type="dxa"/>
            <w:shd w:val="clear" w:color="auto" w:fill="F0F8F9"/>
          </w:tcPr>
          <w:p w:rsidR="00781C4B" w:rsidP="00781C4B" w14:paraId="24AFC320" w14:textId="082BDFA9">
            <w:pPr>
              <w:pStyle w:val="73R"/>
              <w:rPr>
                <w:rtl/>
              </w:rPr>
            </w:pPr>
            <w:r w:rsidRPr="00C032C9">
              <w:rPr>
                <w:rtl/>
              </w:rPr>
              <w:t>תעריף היטלי הניקוז לבית אב ברשויות מקומיות ששטח שיפוטן שייך לתחומי כמה רשויות ניקוז</w:t>
            </w:r>
          </w:p>
        </w:tc>
        <w:tc>
          <w:tcPr>
            <w:tcW w:w="991" w:type="dxa"/>
            <w:shd w:val="clear" w:color="auto" w:fill="F0F8F9"/>
          </w:tcPr>
          <w:p w:rsidR="00781C4B" w:rsidRPr="00C032C9" w:rsidP="00781C4B" w14:paraId="6F1FB1BE" w14:textId="77777777">
            <w:pPr>
              <w:pStyle w:val="73R"/>
              <w:rPr>
                <w:rtl/>
              </w:rPr>
            </w:pPr>
            <w:r w:rsidRPr="00C032C9">
              <w:rPr>
                <w:rtl/>
              </w:rPr>
              <w:t>משרד החקלאות,</w:t>
            </w:r>
          </w:p>
          <w:p w:rsidR="00781C4B" w:rsidP="00781C4B" w14:paraId="05DD5A73" w14:textId="2DF2B42B">
            <w:pPr>
              <w:pStyle w:val="73R"/>
              <w:rPr>
                <w:rtl/>
              </w:rPr>
            </w:pPr>
            <w:r w:rsidRPr="00C032C9">
              <w:rPr>
                <w:rtl/>
              </w:rPr>
              <w:t>משרד האוצר</w:t>
            </w:r>
          </w:p>
        </w:tc>
        <w:tc>
          <w:tcPr>
            <w:tcW w:w="1535" w:type="dxa"/>
            <w:shd w:val="clear" w:color="auto" w:fill="F0F8F9"/>
          </w:tcPr>
          <w:p w:rsidR="00781C4B" w:rsidP="00781C4B" w14:paraId="17E3AD9E" w14:textId="2D629483">
            <w:pPr>
              <w:pStyle w:val="73R"/>
              <w:rPr>
                <w:rtl/>
              </w:rPr>
            </w:pPr>
            <w:r w:rsidRPr="00C032C9">
              <w:rPr>
                <w:rtl/>
              </w:rPr>
              <w:t xml:space="preserve">היו מקרים שבהם רשויות ניקוז שונות גבו מאותה רשות מקומית תעריף שונה לבית אב עד </w:t>
            </w:r>
            <w:r>
              <w:rPr>
                <w:rtl/>
              </w:rPr>
              <w:br/>
            </w:r>
            <w:r w:rsidRPr="00C032C9">
              <w:rPr>
                <w:rtl/>
              </w:rPr>
              <w:t>כ-300% יותר.</w:t>
            </w:r>
          </w:p>
        </w:tc>
        <w:tc>
          <w:tcPr>
            <w:tcW w:w="748" w:type="dxa"/>
            <w:shd w:val="clear" w:color="auto" w:fill="F0F8F9"/>
          </w:tcPr>
          <w:p w:rsidR="00781C4B" w:rsidP="00781C4B" w14:paraId="148856F3" w14:textId="2A5BCD51">
            <w:pPr>
              <w:pStyle w:val="73R"/>
              <w:rPr>
                <w:rtl/>
              </w:rPr>
            </w:pPr>
            <w:r w:rsidRPr="00781C4B">
              <w:rPr>
                <w:noProof/>
                <w:color w:val="FF8250"/>
                <w:rtl/>
              </w:rPr>
              <mc:AlternateContent>
                <mc:Choice Requires="wps">
                  <w:drawing>
                    <wp:anchor distT="0" distB="0" distL="114300" distR="114300" simplePos="0" relativeHeight="251727872" behindDoc="0" locked="0" layoutInCell="1" allowOverlap="1">
                      <wp:simplePos x="0" y="0"/>
                      <wp:positionH relativeFrom="column">
                        <wp:posOffset>-532130</wp:posOffset>
                      </wp:positionH>
                      <wp:positionV relativeFrom="paragraph">
                        <wp:posOffset>699770</wp:posOffset>
                      </wp:positionV>
                      <wp:extent cx="923925" cy="223520"/>
                      <wp:effectExtent l="12700" t="12700" r="15875" b="17780"/>
                      <wp:wrapNone/>
                      <wp:docPr id="1223273542" name="חץ שמאלה 1223273542"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923925"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23273542" o:spid="_x0000_s1050" type="#_x0000_t66" alt="תוקן במידה מועטה" style="width:72.75pt;height:17.6pt;margin-top:55.1pt;margin-left:-41.9pt;mso-height-percent:0;mso-height-relative:margin;mso-width-percent:0;mso-width-relative:margin;mso-wrap-distance-bottom:0;mso-wrap-distance-left:9pt;mso-wrap-distance-right:9pt;mso-wrap-distance-top:0;mso-wrap-style:square;position:absolute;visibility:visible;v-text-anchor:middle;z-index:251728896" adj="2613" fillcolor="#ff8250" strokecolor="#ff8250" strokeweight="2pt"/>
                  </w:pict>
                </mc:Fallback>
              </mc:AlternateContent>
            </w:r>
          </w:p>
        </w:tc>
        <w:tc>
          <w:tcPr>
            <w:tcW w:w="758" w:type="dxa"/>
            <w:shd w:val="clear" w:color="auto" w:fill="F0F8F9"/>
          </w:tcPr>
          <w:p w:rsidR="00781C4B" w:rsidP="00781C4B" w14:paraId="4536BD66" w14:textId="67AA4CB3">
            <w:pPr>
              <w:pStyle w:val="73R"/>
              <w:rPr>
                <w:rtl/>
              </w:rPr>
            </w:pPr>
          </w:p>
        </w:tc>
        <w:tc>
          <w:tcPr>
            <w:tcW w:w="758" w:type="dxa"/>
            <w:shd w:val="clear" w:color="auto" w:fill="F0F8F9"/>
          </w:tcPr>
          <w:p w:rsidR="00781C4B" w:rsidP="00781C4B" w14:paraId="4D7C65DE" w14:textId="6F23A325">
            <w:pPr>
              <w:pStyle w:val="73R"/>
              <w:rPr>
                <w:rtl/>
              </w:rPr>
            </w:pPr>
          </w:p>
        </w:tc>
        <w:tc>
          <w:tcPr>
            <w:tcW w:w="733" w:type="dxa"/>
            <w:shd w:val="clear" w:color="auto" w:fill="F0F8F9"/>
          </w:tcPr>
          <w:p w:rsidR="00781C4B" w:rsidP="00781C4B" w14:paraId="385CDB54" w14:textId="77777777">
            <w:pPr>
              <w:pStyle w:val="73R"/>
              <w:rPr>
                <w:rtl/>
              </w:rPr>
            </w:pPr>
          </w:p>
        </w:tc>
        <w:tc>
          <w:tcPr>
            <w:tcW w:w="685" w:type="dxa"/>
            <w:shd w:val="clear" w:color="auto" w:fill="F0F8F9"/>
          </w:tcPr>
          <w:p w:rsidR="00781C4B" w:rsidP="00781C4B" w14:paraId="5D56EBA6" w14:textId="77777777">
            <w:pPr>
              <w:pStyle w:val="73R"/>
              <w:rPr>
                <w:rtl/>
              </w:rPr>
            </w:pPr>
          </w:p>
        </w:tc>
      </w:tr>
      <w:tr w14:paraId="2F1DCF02" w14:textId="77777777" w:rsidTr="00DB5149">
        <w:tblPrEx>
          <w:tblW w:w="7215" w:type="dxa"/>
          <w:tblInd w:w="1156" w:type="dxa"/>
          <w:shd w:val="clear" w:color="auto" w:fill="DFECEF"/>
          <w:tblLook w:val="04A0"/>
        </w:tblPrEx>
        <w:tc>
          <w:tcPr>
            <w:tcW w:w="1007" w:type="dxa"/>
            <w:shd w:val="clear" w:color="auto" w:fill="DFECEF"/>
          </w:tcPr>
          <w:p w:rsidR="00781C4B" w:rsidP="00781C4B" w14:paraId="5B377114" w14:textId="4C2E1F3A">
            <w:pPr>
              <w:pStyle w:val="73R"/>
              <w:rPr>
                <w:rtl/>
              </w:rPr>
            </w:pPr>
            <w:r w:rsidRPr="00C032C9">
              <w:rPr>
                <w:rtl/>
              </w:rPr>
              <w:t>מועד העברת תשלומי ההיטלים מרמ"י לרשויות הניקוז</w:t>
            </w:r>
          </w:p>
        </w:tc>
        <w:tc>
          <w:tcPr>
            <w:tcW w:w="991" w:type="dxa"/>
            <w:shd w:val="clear" w:color="auto" w:fill="DFECEF"/>
          </w:tcPr>
          <w:p w:rsidR="00781C4B" w:rsidRPr="00C032C9" w:rsidP="00781C4B" w14:paraId="5CCD1281" w14:textId="77777777">
            <w:pPr>
              <w:pStyle w:val="73R"/>
              <w:rPr>
                <w:rtl/>
              </w:rPr>
            </w:pPr>
            <w:r w:rsidRPr="00C032C9">
              <w:rPr>
                <w:rtl/>
              </w:rPr>
              <w:t>משרד החקלאות,</w:t>
            </w:r>
          </w:p>
          <w:p w:rsidR="00781C4B" w:rsidP="00781C4B" w14:paraId="78F9EB0C" w14:textId="424BBDA6">
            <w:pPr>
              <w:pStyle w:val="73R"/>
              <w:rPr>
                <w:rtl/>
              </w:rPr>
            </w:pPr>
            <w:r w:rsidRPr="00C032C9">
              <w:rPr>
                <w:rtl/>
              </w:rPr>
              <w:t>רמ"י</w:t>
            </w:r>
          </w:p>
        </w:tc>
        <w:tc>
          <w:tcPr>
            <w:tcW w:w="1535" w:type="dxa"/>
            <w:shd w:val="clear" w:color="auto" w:fill="DFECEF"/>
          </w:tcPr>
          <w:p w:rsidR="00781C4B" w:rsidP="00781C4B" w14:paraId="26BB22F2" w14:textId="0295E19F">
            <w:pPr>
              <w:pStyle w:val="73R"/>
              <w:rPr>
                <w:rtl/>
              </w:rPr>
            </w:pPr>
            <w:r w:rsidRPr="00C032C9">
              <w:rPr>
                <w:rtl/>
              </w:rPr>
              <w:t>העיכוב בתשלומי רמ"י, הנובע בין היתר ממועד קבלת החלטת הממשלה השנתית על התשלום, מקשה על רשויות הניקוז לפעול.</w:t>
            </w:r>
          </w:p>
        </w:tc>
        <w:tc>
          <w:tcPr>
            <w:tcW w:w="748" w:type="dxa"/>
            <w:shd w:val="clear" w:color="auto" w:fill="DFECEF"/>
          </w:tcPr>
          <w:p w:rsidR="00781C4B" w:rsidP="00781C4B" w14:paraId="743873DB" w14:textId="18DF0BB0">
            <w:pPr>
              <w:pStyle w:val="73R"/>
              <w:rPr>
                <w:rtl/>
              </w:rPr>
            </w:pPr>
            <w:r w:rsidRPr="00781C4B">
              <w:rPr>
                <w:noProof/>
                <w:color w:val="FF8250"/>
                <w:rtl/>
              </w:rPr>
              <mc:AlternateContent>
                <mc:Choice Requires="wps">
                  <w:drawing>
                    <wp:anchor distT="0" distB="0" distL="114300" distR="114300" simplePos="0" relativeHeight="251729920" behindDoc="0" locked="0" layoutInCell="1" allowOverlap="1">
                      <wp:simplePos x="0" y="0"/>
                      <wp:positionH relativeFrom="column">
                        <wp:posOffset>-530860</wp:posOffset>
                      </wp:positionH>
                      <wp:positionV relativeFrom="paragraph">
                        <wp:posOffset>407035</wp:posOffset>
                      </wp:positionV>
                      <wp:extent cx="923925" cy="223520"/>
                      <wp:effectExtent l="12700" t="12700" r="15875" b="17780"/>
                      <wp:wrapNone/>
                      <wp:docPr id="805494159" name="חץ שמאלה 805494159"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923925" cy="223520"/>
                              </a:xfrm>
                              <a:prstGeom prst="leftArrow">
                                <a:avLst/>
                              </a:prstGeom>
                              <a:solidFill>
                                <a:srgbClr val="FF8250"/>
                              </a:solidFill>
                              <a:ln w="25400">
                                <a:solidFill>
                                  <a:srgbClr val="FF8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805494159" o:spid="_x0000_s1051" type="#_x0000_t66" alt="תוקן במידה מועטה" style="width:72.75pt;height:17.6pt;margin-top:32.05pt;margin-left:-41.8pt;mso-height-percent:0;mso-height-relative:margin;mso-width-percent:0;mso-width-relative:margin;mso-wrap-distance-bottom:0;mso-wrap-distance-left:9pt;mso-wrap-distance-right:9pt;mso-wrap-distance-top:0;mso-wrap-style:square;position:absolute;visibility:visible;v-text-anchor:middle;z-index:251730944" adj="2613" fillcolor="#ff8250" strokecolor="#ff8250" strokeweight="2pt"/>
                  </w:pict>
                </mc:Fallback>
              </mc:AlternateContent>
            </w:r>
          </w:p>
        </w:tc>
        <w:tc>
          <w:tcPr>
            <w:tcW w:w="758" w:type="dxa"/>
            <w:shd w:val="clear" w:color="auto" w:fill="DFECEF"/>
          </w:tcPr>
          <w:p w:rsidR="00781C4B" w:rsidP="00781C4B" w14:paraId="66641CF2" w14:textId="44C09AAE">
            <w:pPr>
              <w:pStyle w:val="73R"/>
              <w:rPr>
                <w:rtl/>
              </w:rPr>
            </w:pPr>
          </w:p>
        </w:tc>
        <w:tc>
          <w:tcPr>
            <w:tcW w:w="758" w:type="dxa"/>
            <w:shd w:val="clear" w:color="auto" w:fill="DFECEF"/>
          </w:tcPr>
          <w:p w:rsidR="00781C4B" w:rsidP="00781C4B" w14:paraId="34C17F83" w14:textId="600CCEBD">
            <w:pPr>
              <w:pStyle w:val="73R"/>
              <w:rPr>
                <w:rtl/>
              </w:rPr>
            </w:pPr>
          </w:p>
        </w:tc>
        <w:tc>
          <w:tcPr>
            <w:tcW w:w="733" w:type="dxa"/>
            <w:shd w:val="clear" w:color="auto" w:fill="DFECEF"/>
          </w:tcPr>
          <w:p w:rsidR="00781C4B" w:rsidP="00781C4B" w14:paraId="7E458E3E" w14:textId="77777777">
            <w:pPr>
              <w:pStyle w:val="73R"/>
              <w:rPr>
                <w:rtl/>
              </w:rPr>
            </w:pPr>
          </w:p>
        </w:tc>
        <w:tc>
          <w:tcPr>
            <w:tcW w:w="685" w:type="dxa"/>
            <w:shd w:val="clear" w:color="auto" w:fill="DFECEF"/>
          </w:tcPr>
          <w:p w:rsidR="00781C4B" w:rsidP="00781C4B" w14:paraId="4D6ECF91" w14:textId="77777777">
            <w:pPr>
              <w:pStyle w:val="73R"/>
              <w:rPr>
                <w:rtl/>
              </w:rPr>
            </w:pPr>
          </w:p>
        </w:tc>
      </w:tr>
      <w:tr w14:paraId="76D300A2" w14:textId="77777777" w:rsidTr="00DB5149">
        <w:tblPrEx>
          <w:tblW w:w="7215" w:type="dxa"/>
          <w:tblInd w:w="1156" w:type="dxa"/>
          <w:shd w:val="clear" w:color="auto" w:fill="DFECEF"/>
          <w:tblLook w:val="04A0"/>
        </w:tblPrEx>
        <w:tc>
          <w:tcPr>
            <w:tcW w:w="1007" w:type="dxa"/>
            <w:shd w:val="clear" w:color="auto" w:fill="F0F8F9"/>
          </w:tcPr>
          <w:p w:rsidR="00781C4B" w:rsidRPr="00F6117F" w:rsidP="00781C4B" w14:paraId="0724609A" w14:textId="2070CBE3">
            <w:pPr>
              <w:pStyle w:val="73R"/>
              <w:rPr>
                <w:rtl/>
              </w:rPr>
            </w:pPr>
            <w:r w:rsidRPr="00C032C9">
              <w:rPr>
                <w:rtl/>
              </w:rPr>
              <w:t>חישוב השטחים שבגינם משלמת רמ"י היטלי ניקוז לרשויות הניקוז</w:t>
            </w:r>
          </w:p>
        </w:tc>
        <w:tc>
          <w:tcPr>
            <w:tcW w:w="991" w:type="dxa"/>
            <w:shd w:val="clear" w:color="auto" w:fill="F0F8F9"/>
          </w:tcPr>
          <w:p w:rsidR="00781C4B" w:rsidRPr="00C032C9" w:rsidP="00781C4B" w14:paraId="6EB75A86" w14:textId="77777777">
            <w:pPr>
              <w:pStyle w:val="73R"/>
              <w:rPr>
                <w:rtl/>
              </w:rPr>
            </w:pPr>
            <w:r w:rsidRPr="00C032C9">
              <w:rPr>
                <w:rtl/>
              </w:rPr>
              <w:t>משרד החקלאות,</w:t>
            </w:r>
          </w:p>
          <w:p w:rsidR="00781C4B" w:rsidRPr="00C032C9" w:rsidP="00781C4B" w14:paraId="0B18C2FD" w14:textId="77777777">
            <w:pPr>
              <w:pStyle w:val="73R"/>
              <w:rPr>
                <w:rtl/>
              </w:rPr>
            </w:pPr>
            <w:r w:rsidRPr="00C032C9">
              <w:rPr>
                <w:rtl/>
              </w:rPr>
              <w:t>רמ"י,</w:t>
            </w:r>
          </w:p>
          <w:p w:rsidR="00781C4B" w:rsidRPr="00F6117F" w:rsidP="00781C4B" w14:paraId="199A9777" w14:textId="4FFD2493">
            <w:pPr>
              <w:pStyle w:val="73R"/>
              <w:rPr>
                <w:rtl/>
              </w:rPr>
            </w:pPr>
            <w:r w:rsidRPr="00C032C9">
              <w:rPr>
                <w:rtl/>
              </w:rPr>
              <w:t>משרד הפנים</w:t>
            </w:r>
          </w:p>
        </w:tc>
        <w:tc>
          <w:tcPr>
            <w:tcW w:w="1535" w:type="dxa"/>
            <w:shd w:val="clear" w:color="auto" w:fill="F0F8F9"/>
          </w:tcPr>
          <w:p w:rsidR="00781C4B" w:rsidRPr="00F6117F" w:rsidP="00781C4B" w14:paraId="5AB16774" w14:textId="2F480BB3">
            <w:pPr>
              <w:pStyle w:val="73R"/>
              <w:rPr>
                <w:rtl/>
              </w:rPr>
            </w:pPr>
            <w:r w:rsidRPr="00C032C9">
              <w:rPr>
                <w:rtl/>
              </w:rPr>
              <w:t>הבסיס לחישוב השטחים שבעדם משלמת רמ"י את היטלי הניקוז מתבסס על מיפוי שערך המשרד בשנת 2007 ולא עודכן מאז.</w:t>
            </w:r>
          </w:p>
        </w:tc>
        <w:tc>
          <w:tcPr>
            <w:tcW w:w="748" w:type="dxa"/>
            <w:shd w:val="clear" w:color="auto" w:fill="F0F8F9"/>
          </w:tcPr>
          <w:p w:rsidR="00781C4B" w:rsidP="00781C4B" w14:paraId="62DAA1F5" w14:textId="166C70AB">
            <w:pPr>
              <w:pStyle w:val="73R"/>
              <w:rPr>
                <w:rtl/>
              </w:rPr>
            </w:pPr>
            <w:r w:rsidRPr="00973C85">
              <w:rPr>
                <w:noProof/>
                <w:rtl/>
              </w:rPr>
              <mc:AlternateContent>
                <mc:Choice Requires="wps">
                  <w:drawing>
                    <wp:anchor distT="0" distB="0" distL="114300" distR="114300" simplePos="0" relativeHeight="251707392" behindDoc="0" locked="0" layoutInCell="1" allowOverlap="1">
                      <wp:simplePos x="0" y="0"/>
                      <wp:positionH relativeFrom="column">
                        <wp:posOffset>-50165</wp:posOffset>
                      </wp:positionH>
                      <wp:positionV relativeFrom="paragraph">
                        <wp:posOffset>425450</wp:posOffset>
                      </wp:positionV>
                      <wp:extent cx="443230" cy="223520"/>
                      <wp:effectExtent l="12700" t="12700" r="13970" b="17780"/>
                      <wp:wrapNone/>
                      <wp:docPr id="656694879" name="חץ שמאלה 656694879"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44323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56694879" o:spid="_x0000_s1052" type="#_x0000_t66" alt="לא תוקן" style="width:34.9pt;height:17.6pt;margin-top:33.5pt;margin-left:-3.95pt;mso-height-percent:0;mso-height-relative:margin;mso-width-percent:0;mso-width-relative:margin;mso-wrap-distance-bottom:0;mso-wrap-distance-left:9pt;mso-wrap-distance-right:9pt;mso-wrap-distance-top:0;mso-wrap-style:square;position:absolute;visibility:visible;v-text-anchor:middle;z-index:251708416" adj="5446" fillcolor="#ff0100" strokecolor="#ff0100" strokeweight="2pt"/>
                  </w:pict>
                </mc:Fallback>
              </mc:AlternateContent>
            </w:r>
          </w:p>
        </w:tc>
        <w:tc>
          <w:tcPr>
            <w:tcW w:w="758" w:type="dxa"/>
            <w:shd w:val="clear" w:color="auto" w:fill="F0F8F9"/>
          </w:tcPr>
          <w:p w:rsidR="00781C4B" w:rsidP="00781C4B" w14:paraId="7CCB06C6" w14:textId="6E24D781">
            <w:pPr>
              <w:pStyle w:val="73R"/>
              <w:rPr>
                <w:rtl/>
              </w:rPr>
            </w:pPr>
          </w:p>
        </w:tc>
        <w:tc>
          <w:tcPr>
            <w:tcW w:w="758" w:type="dxa"/>
            <w:shd w:val="clear" w:color="auto" w:fill="F0F8F9"/>
          </w:tcPr>
          <w:p w:rsidR="00781C4B" w:rsidP="00781C4B" w14:paraId="78842584" w14:textId="29B76C86">
            <w:pPr>
              <w:pStyle w:val="73R"/>
              <w:rPr>
                <w:rtl/>
              </w:rPr>
            </w:pPr>
          </w:p>
        </w:tc>
        <w:tc>
          <w:tcPr>
            <w:tcW w:w="733" w:type="dxa"/>
            <w:shd w:val="clear" w:color="auto" w:fill="F0F8F9"/>
          </w:tcPr>
          <w:p w:rsidR="00781C4B" w:rsidP="00781C4B" w14:paraId="00A04047" w14:textId="77777777">
            <w:pPr>
              <w:pStyle w:val="73R"/>
              <w:rPr>
                <w:rtl/>
              </w:rPr>
            </w:pPr>
          </w:p>
        </w:tc>
        <w:tc>
          <w:tcPr>
            <w:tcW w:w="685" w:type="dxa"/>
            <w:shd w:val="clear" w:color="auto" w:fill="F0F8F9"/>
          </w:tcPr>
          <w:p w:rsidR="00781C4B" w:rsidP="00781C4B" w14:paraId="1ECE9912" w14:textId="77777777">
            <w:pPr>
              <w:pStyle w:val="73R"/>
              <w:rPr>
                <w:rtl/>
              </w:rPr>
            </w:pPr>
          </w:p>
        </w:tc>
      </w:tr>
      <w:tr w14:paraId="0AA6A4B5" w14:textId="77777777" w:rsidTr="00DB5149">
        <w:tblPrEx>
          <w:tblW w:w="7215" w:type="dxa"/>
          <w:tblInd w:w="1156" w:type="dxa"/>
          <w:shd w:val="clear" w:color="auto" w:fill="DFECEF"/>
          <w:tblLook w:val="04A0"/>
        </w:tblPrEx>
        <w:tc>
          <w:tcPr>
            <w:tcW w:w="1007" w:type="dxa"/>
            <w:shd w:val="clear" w:color="auto" w:fill="DFECEF"/>
          </w:tcPr>
          <w:p w:rsidR="00781C4B" w:rsidRPr="00F6117F" w:rsidP="00781C4B" w14:paraId="17CC3BEE" w14:textId="224A98CF">
            <w:pPr>
              <w:pStyle w:val="73R"/>
              <w:rPr>
                <w:rtl/>
              </w:rPr>
            </w:pPr>
            <w:r w:rsidRPr="00C032C9">
              <w:rPr>
                <w:rtl/>
              </w:rPr>
              <w:t>גביית היטלי ניקוז מבעלי קרקעות פרטיים במקרקעין שאינם כלולים בתחום של רשות מקומית</w:t>
            </w:r>
          </w:p>
        </w:tc>
        <w:tc>
          <w:tcPr>
            <w:tcW w:w="991" w:type="dxa"/>
            <w:shd w:val="clear" w:color="auto" w:fill="DFECEF"/>
          </w:tcPr>
          <w:p w:rsidR="00781C4B" w:rsidRPr="00C032C9" w:rsidP="00781C4B" w14:paraId="3D70EBE0" w14:textId="77777777">
            <w:pPr>
              <w:pStyle w:val="73R"/>
              <w:rPr>
                <w:rtl/>
              </w:rPr>
            </w:pPr>
            <w:r w:rsidRPr="00C032C9">
              <w:rPr>
                <w:rtl/>
              </w:rPr>
              <w:t>משרד החקלאות,</w:t>
            </w:r>
          </w:p>
          <w:p w:rsidR="00781C4B" w:rsidRPr="00F6117F" w:rsidP="00781C4B" w14:paraId="1123D914" w14:textId="3015CD5D">
            <w:pPr>
              <w:pStyle w:val="73R"/>
              <w:rPr>
                <w:rtl/>
              </w:rPr>
            </w:pPr>
            <w:r w:rsidRPr="00C032C9">
              <w:rPr>
                <w:rtl/>
              </w:rPr>
              <w:t>רשויות הניקוז</w:t>
            </w:r>
          </w:p>
        </w:tc>
        <w:tc>
          <w:tcPr>
            <w:tcW w:w="1535" w:type="dxa"/>
            <w:shd w:val="clear" w:color="auto" w:fill="DFECEF"/>
          </w:tcPr>
          <w:p w:rsidR="00781C4B" w:rsidRPr="00F6117F" w:rsidP="00781C4B" w14:paraId="274B8FE9" w14:textId="79F5A86B">
            <w:pPr>
              <w:pStyle w:val="73R"/>
              <w:rPr>
                <w:rtl/>
              </w:rPr>
            </w:pPr>
            <w:r w:rsidRPr="00C032C9">
              <w:rPr>
                <w:rtl/>
              </w:rPr>
              <w:t>רק שני גורמים נושאים בעלות ההוצאות השוטפות של רשויות הניקוז, הרשויות המקומיות ורמ"י, ואין גבייה מבעלי הקרקעות הפרטיים שמחוץ לתחומי הרשויות המקומיות.</w:t>
            </w:r>
          </w:p>
        </w:tc>
        <w:tc>
          <w:tcPr>
            <w:tcW w:w="748" w:type="dxa"/>
            <w:shd w:val="clear" w:color="auto" w:fill="DFECEF"/>
          </w:tcPr>
          <w:p w:rsidR="00781C4B" w:rsidP="00781C4B" w14:paraId="18DCA79A" w14:textId="5B189B69">
            <w:pPr>
              <w:pStyle w:val="73R"/>
              <w:rPr>
                <w:rtl/>
              </w:rPr>
            </w:pPr>
            <w:r w:rsidRPr="00973C85">
              <w:rPr>
                <w:noProof/>
                <w:rtl/>
              </w:rPr>
              <mc:AlternateContent>
                <mc:Choice Requires="wps">
                  <w:drawing>
                    <wp:anchor distT="0" distB="0" distL="114300" distR="114300" simplePos="0" relativeHeight="251731968" behindDoc="0" locked="0" layoutInCell="1" allowOverlap="1">
                      <wp:simplePos x="0" y="0"/>
                      <wp:positionH relativeFrom="column">
                        <wp:posOffset>-53340</wp:posOffset>
                      </wp:positionH>
                      <wp:positionV relativeFrom="paragraph">
                        <wp:posOffset>597535</wp:posOffset>
                      </wp:positionV>
                      <wp:extent cx="443230" cy="223520"/>
                      <wp:effectExtent l="12700" t="12700" r="13970" b="17780"/>
                      <wp:wrapNone/>
                      <wp:docPr id="1243658444" name="חץ שמאלה 1243658444"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443230"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43658444" o:spid="_x0000_s1053" type="#_x0000_t66" alt="לא תוקן" style="width:34.9pt;height:17.6pt;margin-top:47.05pt;margin-left:-4.2pt;mso-height-percent:0;mso-height-relative:margin;mso-width-percent:0;mso-width-relative:margin;mso-wrap-distance-bottom:0;mso-wrap-distance-left:9pt;mso-wrap-distance-right:9pt;mso-wrap-distance-top:0;mso-wrap-style:square;position:absolute;visibility:visible;v-text-anchor:middle;z-index:251732992" adj="5446" fillcolor="#ff0100" strokecolor="#ff0100" strokeweight="2pt"/>
                  </w:pict>
                </mc:Fallback>
              </mc:AlternateContent>
            </w:r>
          </w:p>
        </w:tc>
        <w:tc>
          <w:tcPr>
            <w:tcW w:w="758" w:type="dxa"/>
            <w:shd w:val="clear" w:color="auto" w:fill="DFECEF"/>
          </w:tcPr>
          <w:p w:rsidR="00781C4B" w:rsidP="00781C4B" w14:paraId="28C4D288" w14:textId="12ACD0B5">
            <w:pPr>
              <w:pStyle w:val="73R"/>
              <w:rPr>
                <w:rtl/>
              </w:rPr>
            </w:pPr>
          </w:p>
        </w:tc>
        <w:tc>
          <w:tcPr>
            <w:tcW w:w="758" w:type="dxa"/>
            <w:shd w:val="clear" w:color="auto" w:fill="DFECEF"/>
          </w:tcPr>
          <w:p w:rsidR="00781C4B" w:rsidP="00781C4B" w14:paraId="64167D22" w14:textId="13CFDFAE">
            <w:pPr>
              <w:pStyle w:val="73R"/>
              <w:rPr>
                <w:rtl/>
              </w:rPr>
            </w:pPr>
          </w:p>
        </w:tc>
        <w:tc>
          <w:tcPr>
            <w:tcW w:w="733" w:type="dxa"/>
            <w:shd w:val="clear" w:color="auto" w:fill="DFECEF"/>
          </w:tcPr>
          <w:p w:rsidR="00781C4B" w:rsidP="00781C4B" w14:paraId="4DCB7869" w14:textId="77777777">
            <w:pPr>
              <w:pStyle w:val="73R"/>
              <w:rPr>
                <w:rtl/>
              </w:rPr>
            </w:pPr>
          </w:p>
        </w:tc>
        <w:tc>
          <w:tcPr>
            <w:tcW w:w="685" w:type="dxa"/>
            <w:shd w:val="clear" w:color="auto" w:fill="DFECEF"/>
          </w:tcPr>
          <w:p w:rsidR="00781C4B" w:rsidP="00781C4B" w14:paraId="11D7460A" w14:textId="77777777">
            <w:pPr>
              <w:pStyle w:val="73R"/>
              <w:rPr>
                <w:rtl/>
              </w:rPr>
            </w:pPr>
          </w:p>
        </w:tc>
      </w:tr>
    </w:tbl>
    <w:p w:rsidR="000B31AA" w:rsidRPr="00361C09" w:rsidP="000B31AA" w14:paraId="5C1AE375" w14:textId="00DDF82D">
      <w:pPr>
        <w:pStyle w:val="7317"/>
        <w:rPr>
          <w:rtl/>
        </w:rPr>
      </w:pPr>
    </w:p>
    <w:p w:rsidR="00D57BE9" w:rsidP="004A6E79" w14:paraId="3D558F60" w14:textId="5FEFD126">
      <w:pPr>
        <w:pStyle w:val="7392"/>
        <w:rPr>
          <w:rtl/>
        </w:rPr>
      </w:pPr>
    </w:p>
    <w:sectPr w:rsidSect="00311ECA">
      <w:headerReference w:type="default" r:id="rId29"/>
      <w:pgSz w:w="11906" w:h="16838" w:code="9"/>
      <w:pgMar w:top="3062" w:right="2268" w:bottom="2552" w:left="2268" w:header="1134" w:footer="1361" w:gutter="0"/>
      <w:pgNumType w:start="5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35D62" w14:paraId="5F7AFBF0" w14:textId="77777777">
      <w:pPr>
        <w:spacing w:line="240" w:lineRule="auto"/>
      </w:pPr>
      <w:r>
        <w:separator/>
      </w:r>
    </w:p>
    <w:p w:rsidR="00A35D62" w14:paraId="0C200EA4" w14:textId="77777777"/>
    <w:p w:rsidR="00A35D62" w14:paraId="44DE64FF" w14:textId="77777777"/>
    <w:p w:rsidR="00A35D62" w14:paraId="22D5660D" w14:textId="77777777"/>
  </w:endnote>
  <w:endnote w:type="continuationSeparator" w:id="1">
    <w:p w:rsidR="00A35D62" w14:paraId="1F5B325F" w14:textId="77777777">
      <w:pPr>
        <w:spacing w:line="240" w:lineRule="auto"/>
      </w:pPr>
      <w:r>
        <w:continuationSeparator/>
      </w:r>
    </w:p>
    <w:p w:rsidR="00A35D62" w14:paraId="08A81665" w14:textId="77777777"/>
    <w:p w:rsidR="00A35D62" w14:paraId="336FD6CA" w14:textId="77777777"/>
    <w:p w:rsidR="00A35D62" w14:paraId="648FE2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149" w14:paraId="1E2D85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5D62" w:rsidP="00E7235E" w14:paraId="536906BB" w14:textId="77777777">
      <w:pPr>
        <w:spacing w:line="240" w:lineRule="auto"/>
      </w:pPr>
      <w:r>
        <w:separator/>
      </w:r>
    </w:p>
  </w:footnote>
  <w:footnote w:type="continuationSeparator" w:id="1">
    <w:p w:rsidR="00A35D62" w:rsidP="00C23CC9" w14:paraId="0D9EF879" w14:textId="77777777">
      <w:pPr>
        <w:spacing w:line="240" w:lineRule="auto"/>
      </w:pPr>
      <w:r>
        <w:continuationSeparator/>
      </w:r>
    </w:p>
    <w:p w:rsidR="00A35D62" w14:paraId="26AEEBF0" w14:textId="77777777"/>
    <w:p w:rsidR="00A35D62" w14:paraId="1F9E0F96" w14:textId="77777777"/>
    <w:p w:rsidR="00A35D62" w14:paraId="0DC8A637" w14:textId="77777777"/>
  </w:footnote>
  <w:footnote w:id="2">
    <w:p w:rsidR="00784D0C" w:rsidRPr="00781C4B" w:rsidP="00781C4B" w14:paraId="1C5F64F0" w14:textId="77777777">
      <w:pPr>
        <w:pStyle w:val="712"/>
        <w:rPr>
          <w:rtl/>
        </w:rPr>
      </w:pPr>
      <w:r w:rsidRPr="00781C4B">
        <w:rPr>
          <w:rStyle w:val="FootnoteReference2"/>
          <w:vertAlign w:val="baseline"/>
        </w:rPr>
        <w:footnoteRef/>
      </w:r>
      <w:r w:rsidRPr="00781C4B">
        <w:rPr>
          <w:rtl/>
        </w:rPr>
        <w:t xml:space="preserve"> </w:t>
      </w:r>
      <w:r w:rsidRPr="00781C4B">
        <w:rPr>
          <w:rtl/>
        </w:rPr>
        <w:tab/>
        <w:t xml:space="preserve">מתוך אתר האינטרנט של ארגון האומות המאוחדות (או"ם), </w:t>
      </w:r>
      <w:r w:rsidRPr="00781C4B">
        <w:t>Climate and Environment</w:t>
      </w:r>
      <w:r w:rsidRPr="00781C4B">
        <w:rPr>
          <w:rtl/>
        </w:rPr>
        <w:t xml:space="preserve"> (1.9.21).</w:t>
      </w:r>
    </w:p>
  </w:footnote>
  <w:footnote w:id="3">
    <w:p w:rsidR="00784D0C" w:rsidRPr="00781C4B" w:rsidP="00781C4B" w14:paraId="12B00E54" w14:textId="77777777">
      <w:pPr>
        <w:pStyle w:val="712"/>
        <w:rPr>
          <w:rtl/>
        </w:rPr>
      </w:pPr>
      <w:r w:rsidRPr="00781C4B">
        <w:rPr>
          <w:rStyle w:val="FootnoteReference2"/>
          <w:vertAlign w:val="baseline"/>
        </w:rPr>
        <w:footnoteRef/>
      </w:r>
      <w:r w:rsidRPr="00781C4B">
        <w:rPr>
          <w:rtl/>
        </w:rPr>
        <w:t xml:space="preserve"> </w:t>
      </w:r>
      <w:r w:rsidRPr="00781C4B">
        <w:rPr>
          <w:rtl/>
        </w:rPr>
        <w:tab/>
        <w:t>ארגון האומות המאוחדות (או"ם), סקירה על המחיר האנושי בגין אסונות בשנים 2000</w:t>
      </w:r>
      <w:r w:rsidRPr="00781C4B">
        <w:rPr>
          <w:rFonts w:hint="cs"/>
          <w:rtl/>
        </w:rPr>
        <w:t xml:space="preserve"> </w:t>
      </w:r>
      <w:r w:rsidRPr="00781C4B">
        <w:rPr>
          <w:rtl/>
        </w:rPr>
        <w:t>-</w:t>
      </w:r>
      <w:r w:rsidRPr="00781C4B">
        <w:rPr>
          <w:rFonts w:hint="cs"/>
          <w:rtl/>
        </w:rPr>
        <w:t xml:space="preserve"> </w:t>
      </w:r>
      <w:r w:rsidRPr="00781C4B">
        <w:rPr>
          <w:rtl/>
        </w:rPr>
        <w:t>2019</w:t>
      </w:r>
      <w:r w:rsidRPr="00781C4B">
        <w:rPr>
          <w:rFonts w:hint="cs"/>
          <w:rtl/>
        </w:rPr>
        <w:t>.</w:t>
      </w:r>
    </w:p>
  </w:footnote>
  <w:footnote w:id="4">
    <w:p w:rsidR="00784D0C" w:rsidRPr="00781C4B" w:rsidP="00781C4B" w14:paraId="07225668" w14:textId="77777777">
      <w:pPr>
        <w:pStyle w:val="712"/>
      </w:pPr>
      <w:r w:rsidRPr="00781C4B">
        <w:rPr>
          <w:rStyle w:val="FootnoteReference2"/>
          <w:vertAlign w:val="baseline"/>
        </w:rPr>
        <w:footnoteRef/>
      </w:r>
      <w:r w:rsidRPr="00781C4B">
        <w:rPr>
          <w:rtl/>
        </w:rPr>
        <w:t xml:space="preserve"> </w:t>
      </w:r>
      <w:r w:rsidRPr="00781C4B">
        <w:rPr>
          <w:rtl/>
        </w:rPr>
        <w:tab/>
      </w:r>
      <w:bookmarkStart w:id="1" w:name="_Hlk188177982"/>
      <w:r w:rsidRPr="00781C4B">
        <w:rPr>
          <w:rtl/>
        </w:rPr>
        <w:t xml:space="preserve">מנהל </w:t>
      </w:r>
      <w:r w:rsidRPr="00781C4B">
        <w:rPr>
          <w:rFonts w:hint="cs"/>
          <w:rtl/>
        </w:rPr>
        <w:t xml:space="preserve">המוסד והמנהל החינוכי של המוסד </w:t>
      </w:r>
      <w:r w:rsidRPr="00781C4B">
        <w:rPr>
          <w:rtl/>
        </w:rPr>
        <w:t>הורשעו ב</w:t>
      </w:r>
      <w:r w:rsidRPr="00781C4B">
        <w:rPr>
          <w:rFonts w:hint="cs"/>
          <w:rtl/>
        </w:rPr>
        <w:t>נובמבר 2024 ב</w:t>
      </w:r>
      <w:r w:rsidRPr="00781C4B">
        <w:rPr>
          <w:rtl/>
        </w:rPr>
        <w:t xml:space="preserve">עשר עבירות של גרימת מוות ברשלנות </w:t>
      </w:r>
      <w:r w:rsidRPr="00781C4B">
        <w:rPr>
          <w:rFonts w:hint="cs"/>
          <w:rtl/>
        </w:rPr>
        <w:t>ו</w:t>
      </w:r>
      <w:r w:rsidRPr="00781C4B">
        <w:rPr>
          <w:rtl/>
        </w:rPr>
        <w:t>בעבירה של גרימת חבלה ברשלנות לשני חניכים נוספים.</w:t>
      </w:r>
      <w:r w:rsidRPr="00781C4B">
        <w:rPr>
          <w:rFonts w:hint="cs"/>
          <w:rtl/>
        </w:rPr>
        <w:t xml:space="preserve"> </w:t>
      </w:r>
      <w:r w:rsidRPr="00781C4B">
        <w:rPr>
          <w:rtl/>
        </w:rPr>
        <w:t xml:space="preserve">ת"פ 48149-10-19 </w:t>
      </w:r>
      <w:r w:rsidRPr="00DB5149">
        <w:rPr>
          <w:b/>
          <w:bCs/>
          <w:rtl/>
        </w:rPr>
        <w:t>מדינת ישראל נ' כאהן ואח'</w:t>
      </w:r>
      <w:r w:rsidRPr="00781C4B">
        <w:rPr>
          <w:rFonts w:hint="cs"/>
          <w:rtl/>
        </w:rPr>
        <w:t xml:space="preserve"> (17.11.24).</w:t>
      </w:r>
      <w:bookmarkEnd w:id="1"/>
      <w:r w:rsidRPr="00781C4B">
        <w:rPr>
          <w:rFonts w:hint="cs"/>
          <w:rtl/>
        </w:rPr>
        <w:t xml:space="preserve"> </w:t>
      </w:r>
      <w:r w:rsidRPr="00781C4B">
        <w:rPr>
          <w:rtl/>
        </w:rPr>
        <w:t>נכון למועד הגשת הדוח, פסק הדין אינו</w:t>
      </w:r>
      <w:r w:rsidRPr="00781C4B">
        <w:rPr>
          <w:rFonts w:hint="cs"/>
          <w:rtl/>
        </w:rPr>
        <w:t xml:space="preserve"> </w:t>
      </w:r>
      <w:r w:rsidRPr="00781C4B">
        <w:rPr>
          <w:rtl/>
        </w:rPr>
        <w:t>חלוט.</w:t>
      </w:r>
    </w:p>
  </w:footnote>
  <w:footnote w:id="5">
    <w:p w:rsidR="00784D0C" w:rsidRPr="00781C4B" w:rsidP="00781C4B" w14:paraId="4B597580" w14:textId="77777777">
      <w:pPr>
        <w:pStyle w:val="712"/>
        <w:rPr>
          <w:rtl/>
        </w:rPr>
      </w:pPr>
      <w:r w:rsidRPr="00781C4B">
        <w:rPr>
          <w:rStyle w:val="FootnoteReference2"/>
          <w:vertAlign w:val="baseline"/>
        </w:rPr>
        <w:footnoteRef/>
      </w:r>
      <w:r w:rsidRPr="00781C4B">
        <w:rPr>
          <w:rtl/>
        </w:rPr>
        <w:t xml:space="preserve"> </w:t>
      </w:r>
      <w:r w:rsidRPr="00781C4B">
        <w:rPr>
          <w:rtl/>
        </w:rPr>
        <w:tab/>
        <w:t>מינהל התכנון, "מדיניות והנחיות לניהול נגר עילי בתכנון העירוני בישראל" (9.3.20).</w:t>
      </w:r>
    </w:p>
  </w:footnote>
  <w:footnote w:id="6">
    <w:p w:rsidR="00784D0C" w:rsidRPr="00781C4B" w:rsidP="00781C4B" w14:paraId="41FD7F4D" w14:textId="77777777">
      <w:pPr>
        <w:pStyle w:val="712"/>
      </w:pPr>
      <w:r w:rsidRPr="00781C4B">
        <w:rPr>
          <w:rStyle w:val="FootnoteReference2"/>
          <w:vertAlign w:val="baseline"/>
        </w:rPr>
        <w:footnoteRef/>
      </w:r>
      <w:r w:rsidRPr="00781C4B">
        <w:rPr>
          <w:rtl/>
        </w:rPr>
        <w:t xml:space="preserve"> </w:t>
      </w:r>
      <w:r w:rsidRPr="00781C4B">
        <w:rPr>
          <w:rtl/>
        </w:rPr>
        <w:tab/>
        <w:t>רשויות הניקוז הן אלו: כינרת, גליל מערבי, ירדן דרומי, קישון, כרמל, שרון, ירקון, שורק לכיש, שקמה בשור, ים המלח, ערבה.</w:t>
      </w:r>
    </w:p>
  </w:footnote>
  <w:footnote w:id="7">
    <w:p w:rsidR="00784D0C" w:rsidRPr="00781C4B" w:rsidP="00781C4B" w14:paraId="3509719C" w14:textId="77777777">
      <w:pPr>
        <w:pStyle w:val="712"/>
      </w:pPr>
      <w:r w:rsidRPr="00781C4B">
        <w:rPr>
          <w:rStyle w:val="FootnoteReference2"/>
          <w:vertAlign w:val="baseline"/>
        </w:rPr>
        <w:footnoteRef/>
      </w:r>
      <w:r w:rsidRPr="00781C4B">
        <w:rPr>
          <w:rtl/>
        </w:rPr>
        <w:t xml:space="preserve"> </w:t>
      </w:r>
      <w:r w:rsidRPr="00781C4B">
        <w:rPr>
          <w:rtl/>
        </w:rPr>
        <w:tab/>
        <w:t>בתחומי רשויות ניקוז ירקון וקישון יש רשויות נחל נפרדות שהמאסדר שלהן הוא המשרד להג</w:t>
      </w:r>
      <w:r w:rsidRPr="00781C4B">
        <w:rPr>
          <w:rFonts w:hint="cs"/>
          <w:rtl/>
        </w:rPr>
        <w:t>נת הסביבה (המשרד להג</w:t>
      </w:r>
      <w:r w:rsidRPr="00781C4B">
        <w:rPr>
          <w:rtl/>
        </w:rPr>
        <w:t>"ס</w:t>
      </w:r>
      <w:r w:rsidRPr="00781C4B">
        <w:rPr>
          <w:rFonts w:hint="cs"/>
          <w:rtl/>
        </w:rPr>
        <w:t>)</w:t>
      </w:r>
      <w:r w:rsidRPr="00781C4B">
        <w:rPr>
          <w:rtl/>
        </w:rPr>
        <w:t>, והן משמשות רשות נחל בתחומים שהוסמכו לטפל בהם.</w:t>
      </w:r>
    </w:p>
  </w:footnote>
  <w:footnote w:id="8">
    <w:p w:rsidR="00784D0C" w:rsidRPr="00781C4B" w:rsidP="00781C4B" w14:paraId="46582FD5" w14:textId="77777777">
      <w:pPr>
        <w:pStyle w:val="712"/>
      </w:pPr>
      <w:r w:rsidRPr="00781C4B">
        <w:rPr>
          <w:rStyle w:val="FootnoteReference2"/>
          <w:vertAlign w:val="baseline"/>
        </w:rPr>
        <w:footnoteRef/>
      </w:r>
      <w:r w:rsidRPr="00781C4B">
        <w:rPr>
          <w:rtl/>
        </w:rPr>
        <w:t xml:space="preserve"> </w:t>
      </w:r>
      <w:r w:rsidRPr="00781C4B">
        <w:rPr>
          <w:rtl/>
        </w:rPr>
        <w:tab/>
      </w:r>
      <w:r w:rsidRPr="00781C4B">
        <w:rPr>
          <w:rFonts w:hint="cs"/>
          <w:rtl/>
        </w:rPr>
        <w:t xml:space="preserve">צו רשויות נחלים ומעיינות (הטלת תפקידי רשות נחל על רשויות ניקוז), התשס"ג-2003, שהוצא </w:t>
      </w:r>
      <w:r w:rsidRPr="00781C4B">
        <w:rPr>
          <w:rtl/>
        </w:rPr>
        <w:t>מכוח חוק רשויות נחלים ומעיינות, התשכ"ה-1965</w:t>
      </w:r>
      <w:r w:rsidRPr="00781C4B">
        <w:rPr>
          <w:rFonts w:hint="cs"/>
          <w:rtl/>
        </w:rPr>
        <w:t>.</w:t>
      </w:r>
    </w:p>
  </w:footnote>
  <w:footnote w:id="9">
    <w:p w:rsidR="00784D0C" w:rsidRPr="00781C4B" w:rsidP="00781C4B" w14:paraId="1340CAF5" w14:textId="77777777">
      <w:pPr>
        <w:pStyle w:val="712"/>
      </w:pPr>
      <w:r w:rsidRPr="00781C4B">
        <w:rPr>
          <w:rStyle w:val="FootnoteReference2"/>
          <w:vertAlign w:val="baseline"/>
        </w:rPr>
        <w:footnoteRef/>
      </w:r>
      <w:r w:rsidRPr="00781C4B">
        <w:rPr>
          <w:rtl/>
        </w:rPr>
        <w:t xml:space="preserve"> </w:t>
      </w:r>
      <w:r w:rsidRPr="00781C4B">
        <w:rPr>
          <w:rtl/>
        </w:rPr>
        <w:tab/>
      </w:r>
      <w:r w:rsidRPr="00781C4B">
        <w:rPr>
          <w:rFonts w:hint="cs"/>
          <w:rtl/>
        </w:rPr>
        <w:t>על פי פרסומים בכלי התקשורת.</w:t>
      </w:r>
    </w:p>
  </w:footnote>
  <w:footnote w:id="10">
    <w:p w:rsidR="00784D0C" w:rsidRPr="00781C4B" w:rsidP="00781C4B" w14:paraId="084885AD" w14:textId="77777777">
      <w:pPr>
        <w:pStyle w:val="712"/>
        <w:rPr>
          <w:rtl/>
        </w:rPr>
      </w:pPr>
      <w:r w:rsidRPr="00781C4B">
        <w:rPr>
          <w:rStyle w:val="FootnoteReference2"/>
          <w:vertAlign w:val="baseline"/>
        </w:rPr>
        <w:footnoteRef/>
      </w:r>
      <w:r w:rsidRPr="00781C4B">
        <w:rPr>
          <w:rtl/>
        </w:rPr>
        <w:t xml:space="preserve"> </w:t>
      </w:r>
      <w:r w:rsidRPr="00781C4B">
        <w:rPr>
          <w:rtl/>
        </w:rPr>
        <w:tab/>
        <w:t xml:space="preserve">מבקר המדינה, </w:t>
      </w:r>
      <w:r w:rsidRPr="00DB5149">
        <w:rPr>
          <w:b/>
          <w:bCs/>
          <w:rtl/>
        </w:rPr>
        <w:t>דוח ביקורת מיוחד - הגנה מפני נזקי שיטפונות</w:t>
      </w:r>
      <w:r w:rsidRPr="00781C4B">
        <w:rPr>
          <w:rtl/>
        </w:rPr>
        <w:t xml:space="preserve"> (2021), עמ' 1305.</w:t>
      </w:r>
    </w:p>
  </w:footnote>
  <w:footnote w:id="11">
    <w:p w:rsidR="00784D0C" w:rsidRPr="00781C4B" w:rsidP="00781C4B" w14:paraId="613CFEF5" w14:textId="77777777">
      <w:pPr>
        <w:pStyle w:val="712"/>
      </w:pPr>
      <w:r w:rsidRPr="00781C4B">
        <w:rPr>
          <w:rStyle w:val="FootnoteReference2"/>
          <w:vertAlign w:val="baseline"/>
        </w:rPr>
        <w:footnoteRef/>
      </w:r>
      <w:r w:rsidRPr="00781C4B">
        <w:rPr>
          <w:rtl/>
        </w:rPr>
        <w:t xml:space="preserve"> </w:t>
      </w:r>
      <w:r w:rsidRPr="00781C4B">
        <w:rPr>
          <w:rtl/>
        </w:rPr>
        <w:tab/>
      </w:r>
      <w:r w:rsidRPr="00781C4B">
        <w:rPr>
          <w:rFonts w:hint="cs"/>
          <w:rtl/>
        </w:rPr>
        <w:t>בדיקות השלמה נעשו גם בינואר 2025.</w:t>
      </w:r>
    </w:p>
  </w:footnote>
  <w:footnote w:id="12">
    <w:p w:rsidR="00784D0C" w:rsidRPr="00781C4B" w:rsidP="00781C4B" w14:paraId="4A139940" w14:textId="77777777">
      <w:pPr>
        <w:pStyle w:val="712"/>
      </w:pPr>
      <w:r w:rsidRPr="00781C4B">
        <w:rPr>
          <w:rStyle w:val="FootnoteReference2"/>
          <w:vertAlign w:val="baseline"/>
        </w:rPr>
        <w:footnoteRef/>
      </w:r>
      <w:r w:rsidRPr="00781C4B">
        <w:rPr>
          <w:rtl/>
        </w:rPr>
        <w:t xml:space="preserve"> </w:t>
      </w:r>
      <w:r w:rsidRPr="00781C4B">
        <w:rPr>
          <w:rtl/>
        </w:rPr>
        <w:tab/>
      </w:r>
      <w:r w:rsidRPr="00781C4B">
        <w:rPr>
          <w:rFonts w:hint="cs"/>
          <w:rtl/>
        </w:rPr>
        <w:t xml:space="preserve">גישה </w:t>
      </w:r>
      <w:r w:rsidRPr="00781C4B">
        <w:rPr>
          <w:rtl/>
        </w:rPr>
        <w:t>המתייחסת במסגרת פתרונות הניקוז לנחל גם לתפקידיהם הסביבתיים והאקולוגיים של תחומי הנחל ומעודדת את בחינת הנושא וטיפול בנחלים וערוצי הניקוז לכל אורך אגן הניקוז והיקפו.</w:t>
      </w:r>
    </w:p>
  </w:footnote>
  <w:footnote w:id="13">
    <w:p w:rsidR="00781C4B" w:rsidRPr="00781C4B" w:rsidP="00781C4B" w14:paraId="5472CE1C" w14:textId="77777777">
      <w:pPr>
        <w:pStyle w:val="712"/>
        <w:rPr>
          <w:rtl/>
        </w:rPr>
      </w:pPr>
      <w:r w:rsidRPr="00781C4B">
        <w:rPr>
          <w:rStyle w:val="FootnoteReference2"/>
          <w:vertAlign w:val="baseline"/>
        </w:rPr>
        <w:footnoteRef/>
      </w:r>
      <w:r w:rsidRPr="00781C4B">
        <w:rPr>
          <w:rtl/>
        </w:rPr>
        <w:t xml:space="preserve"> </w:t>
      </w:r>
      <w:r w:rsidRPr="00781C4B">
        <w:rPr>
          <w:rtl/>
        </w:rPr>
        <w:tab/>
        <w:t>החלטה מספר 2632, ייעודו ותפקידו של השירות המטאורולוגי הישראלי מ-29.12.24.</w:t>
      </w:r>
    </w:p>
  </w:footnote>
  <w:footnote w:id="14">
    <w:p w:rsidR="00781C4B" w:rsidRPr="00781C4B" w:rsidP="00781C4B" w14:paraId="5359FCAF" w14:textId="77777777">
      <w:pPr>
        <w:pStyle w:val="712"/>
      </w:pPr>
      <w:r w:rsidRPr="00781C4B">
        <w:rPr>
          <w:rStyle w:val="FootnoteReference2"/>
          <w:vertAlign w:val="baseline"/>
        </w:rPr>
        <w:footnoteRef/>
      </w:r>
      <w:r w:rsidRPr="00781C4B">
        <w:rPr>
          <w:rtl/>
        </w:rPr>
        <w:t xml:space="preserve"> </w:t>
      </w:r>
      <w:r w:rsidRPr="00781C4B">
        <w:rPr>
          <w:rtl/>
        </w:rPr>
        <w:tab/>
        <w:t xml:space="preserve">פשט ההצפה הוא שטח לאורך הנחל שבו זורמים או עומדים מים, תדיר או לפרקים, כתוצאה מזרימות שהנחל אינו מסוגל להעביר, שכן ספיקת הזרימה בנחל גבוהה מכושר ההולכה שלו. </w:t>
      </w:r>
    </w:p>
  </w:footnote>
  <w:footnote w:id="15">
    <w:p w:rsidR="00781C4B" w:rsidRPr="00781C4B" w:rsidP="00781C4B" w14:paraId="3E3FB0B9" w14:textId="77777777">
      <w:pPr>
        <w:pStyle w:val="712"/>
      </w:pPr>
      <w:r w:rsidRPr="00781C4B">
        <w:rPr>
          <w:rStyle w:val="FootnoteReference2"/>
          <w:vertAlign w:val="baseline"/>
        </w:rPr>
        <w:footnoteRef/>
      </w:r>
      <w:r w:rsidRPr="00781C4B">
        <w:rPr>
          <w:rtl/>
        </w:rPr>
        <w:t xml:space="preserve"> </w:t>
      </w:r>
      <w:r w:rsidRPr="00781C4B">
        <w:rPr>
          <w:rtl/>
        </w:rPr>
        <w:tab/>
      </w:r>
      <w:r w:rsidRPr="00781C4B">
        <w:rPr>
          <w:rFonts w:hint="cs"/>
          <w:rtl/>
        </w:rPr>
        <w:t>מבנה אחיד לתכניות.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דוח מבקר המדינה | אייר התשפ״ד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00AC207C">
                          <w:pPr>
                            <w:pStyle w:val="Heading1"/>
                            <w:spacing w:line="269" w:lineRule="auto"/>
                            <w:jc w:val="left"/>
                            <w:rPr>
                              <w:rFonts w:ascii="Tahoma" w:hAnsi="Tahoma" w:eastAsiaTheme="minorHAnsi" w:cs="Tahoma"/>
                              <w:bCs w:val="0"/>
                              <w:color w:val="0D0D0D" w:themeColor="text1" w:themeTint="F2"/>
                              <w:sz w:val="16"/>
                              <w:szCs w:val="16"/>
                              <w:u w:val="none"/>
                            </w:rPr>
                          </w:pPr>
                          <w:r w:rsidRPr="00784D0C">
                            <w:rPr>
                              <w:rFonts w:ascii="Tahoma" w:hAnsi="Tahoma" w:eastAsiaTheme="minorHAnsi" w:cs="Tahoma"/>
                              <w:bCs w:val="0"/>
                              <w:color w:val="0D0D0D" w:themeColor="text1" w:themeTint="F2"/>
                              <w:sz w:val="16"/>
                              <w:szCs w:val="16"/>
                              <w:u w:val="none"/>
                              <w:rtl/>
                            </w:rPr>
                            <w:t>ההגנה מפני נזקי שיטפונות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00AC207C">
                    <w:pPr>
                      <w:pStyle w:val="Heading1"/>
                      <w:spacing w:line="269" w:lineRule="auto"/>
                      <w:jc w:val="left"/>
                      <w:rPr>
                        <w:rFonts w:ascii="Tahoma" w:hAnsi="Tahoma" w:eastAsiaTheme="minorHAnsi" w:cs="Tahoma"/>
                        <w:bCs w:val="0"/>
                        <w:color w:val="0D0D0D" w:themeColor="text1" w:themeTint="F2"/>
                        <w:sz w:val="16"/>
                        <w:szCs w:val="16"/>
                        <w:u w:val="none"/>
                      </w:rPr>
                    </w:pPr>
                    <w:r w:rsidRPr="00784D0C">
                      <w:rPr>
                        <w:rFonts w:ascii="Tahoma" w:hAnsi="Tahoma" w:eastAsiaTheme="minorHAnsi" w:cs="Tahoma"/>
                        <w:bCs w:val="0"/>
                        <w:color w:val="0D0D0D" w:themeColor="text1" w:themeTint="F2"/>
                        <w:sz w:val="16"/>
                        <w:szCs w:val="16"/>
                        <w:u w:val="none"/>
                        <w:rtl/>
                      </w:rPr>
                      <w:t>ההגנה מפני נזקי שיטפונות - ביקורת מעקב</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784D0C" w14:textId="59196E1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784D0C" w:rsidR="00784D0C">
                            <w:rPr>
                              <w:rFonts w:ascii="Tahoma" w:hAnsi="Tahoma" w:cs="Tahoma"/>
                              <w:b/>
                              <w:bCs/>
                              <w:rtl/>
                            </w:rPr>
                            <w:t>ההגנה מפני נזקי שיטפונות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784D0C" w14:paraId="3B4CCAD6" w14:textId="59196E1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784D0C" w:rsidR="00784D0C">
                      <w:rPr>
                        <w:rFonts w:ascii="Tahoma" w:hAnsi="Tahoma" w:cs="Tahoma"/>
                        <w:b/>
                        <w:bCs/>
                        <w:rtl/>
                      </w:rPr>
                      <w:t>ההגנה מפני נזקי שיטפונות - ביקורת מעקב</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7AD9A942">
                          <w:pPr>
                            <w:jc w:val="right"/>
                            <w:rPr>
                              <w:color w:val="0D0D0D" w:themeColor="text1" w:themeTint="F2"/>
                              <w:sz w:val="16"/>
                              <w:szCs w:val="16"/>
                            </w:rPr>
                          </w:pPr>
                          <w:r w:rsidRPr="00954447">
                            <w:rPr>
                              <w:rFonts w:ascii="Tahoma" w:hAnsi="Tahoma" w:cs="Tahoma"/>
                              <w:color w:val="0D0D0D"/>
                              <w:sz w:val="16"/>
                              <w:szCs w:val="16"/>
                              <w:rtl/>
                            </w:rPr>
                            <w:t>דוח מבקר המדינה | אייר התשפ"ה | מאי</w:t>
                          </w:r>
                          <w:r>
                            <w:rPr>
                              <w:rFonts w:ascii="Tahoma" w:hAnsi="Tahoma" w:cs="Tahoma" w:hint="cs"/>
                              <w:color w:val="0D0D0D"/>
                              <w:sz w:val="16"/>
                              <w:szCs w:val="16"/>
                              <w:rtl/>
                            </w:rPr>
                            <w:t xml:space="preserve"> </w:t>
                          </w:r>
                          <w:r w:rsidRPr="00B66A3F" w:rsidR="00B66A3F">
                            <w:rPr>
                              <w:rFonts w:ascii="Tahoma" w:hAnsi="Tahoma" w:cs="Tahoma"/>
                              <w:color w:val="0D0D0D"/>
                              <w:sz w:val="16"/>
                              <w:szCs w:val="16"/>
                              <w:rtl/>
                            </w:rPr>
                            <w:t>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7AD9A942">
                    <w:pPr>
                      <w:jc w:val="right"/>
                      <w:rPr>
                        <w:color w:val="0D0D0D" w:themeColor="text1" w:themeTint="F2"/>
                        <w:sz w:val="16"/>
                        <w:szCs w:val="16"/>
                      </w:rPr>
                    </w:pPr>
                    <w:r w:rsidRPr="00954447">
                      <w:rPr>
                        <w:rFonts w:ascii="Tahoma" w:hAnsi="Tahoma" w:cs="Tahoma"/>
                        <w:color w:val="0D0D0D"/>
                        <w:sz w:val="16"/>
                        <w:szCs w:val="16"/>
                        <w:rtl/>
                      </w:rPr>
                      <w:t xml:space="preserve">דוח מבקר המדינה | אייר </w:t>
                    </w:r>
                    <w:r w:rsidRPr="00954447">
                      <w:rPr>
                        <w:rFonts w:ascii="Tahoma" w:hAnsi="Tahoma" w:cs="Tahoma"/>
                        <w:color w:val="0D0D0D"/>
                        <w:sz w:val="16"/>
                        <w:szCs w:val="16"/>
                        <w:rtl/>
                      </w:rPr>
                      <w:t>התשפ"ה</w:t>
                    </w:r>
                    <w:r w:rsidRPr="00954447">
                      <w:rPr>
                        <w:rFonts w:ascii="Tahoma" w:hAnsi="Tahoma" w:cs="Tahoma"/>
                        <w:color w:val="0D0D0D"/>
                        <w:sz w:val="16"/>
                        <w:szCs w:val="16"/>
                        <w:rtl/>
                      </w:rPr>
                      <w:t xml:space="preserve"> | מאי</w:t>
                    </w:r>
                    <w:r>
                      <w:rPr>
                        <w:rFonts w:ascii="Tahoma" w:hAnsi="Tahoma" w:cs="Tahoma" w:hint="cs"/>
                        <w:color w:val="0D0D0D"/>
                        <w:sz w:val="16"/>
                        <w:szCs w:val="16"/>
                        <w:rtl/>
                      </w:rPr>
                      <w:t xml:space="preserve"> </w:t>
                    </w:r>
                    <w:r w:rsidRPr="00B66A3F" w:rsidR="00B66A3F">
                      <w:rPr>
                        <w:rFonts w:ascii="Tahoma" w:hAnsi="Tahoma" w:cs="Tahoma"/>
                        <w:color w:val="0D0D0D"/>
                        <w:sz w:val="16"/>
                        <w:szCs w:val="16"/>
                        <w:rtl/>
                      </w:rPr>
                      <w:t>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FFFFFF7C"/>
    <w:multiLevelType w:val="singleLevel"/>
    <w:tmpl w:val="1F58F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8322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F89639E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15:restartNumberingAfterBreak="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23D3CD5"/>
    <w:multiLevelType w:val="hybridMultilevel"/>
    <w:tmpl w:val="8D50DD88"/>
    <w:lvl w:ilvl="0">
      <w:start w:val="1"/>
      <w:numFmt w:val="hebrew1"/>
      <w:lvlText w:val="%1."/>
      <w:lvlJc w:val="left"/>
      <w:pPr>
        <w:ind w:left="1117" w:hanging="360"/>
      </w:pPr>
      <w:rPr>
        <w:rFonts w:ascii="Tahoma" w:hAnsi="Tahoma" w:eastAsiaTheme="minorHAnsi" w:cs="Tahoma" w:hint="default"/>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4" w15:restartNumberingAfterBreak="0">
    <w:nsid w:val="28B3190E"/>
    <w:multiLevelType w:val="hybridMultilevel"/>
    <w:tmpl w:val="1264DBFA"/>
    <w:lvl w:ilvl="0">
      <w:start w:val="1"/>
      <w:numFmt w:val="decimal"/>
      <w:lvlText w:val="%1."/>
      <w:lvlJc w:val="left"/>
      <w:pPr>
        <w:ind w:left="794" w:hanging="397"/>
      </w:pPr>
      <w:rPr>
        <w:rFonts w:hint="default"/>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15:restartNumberingAfterBreak="0">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1" w15:restartNumberingAfterBreak="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15:restartNumberingAfterBreak="0">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15:restartNumberingAfterBreak="0">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E7F4BBA"/>
    <w:multiLevelType w:val="hybridMultilevel"/>
    <w:tmpl w:val="B0566A0C"/>
    <w:lvl w:ilvl="0">
      <w:start w:val="1"/>
      <w:numFmt w:val="hebrew1"/>
      <w:lvlText w:val="%1."/>
      <w:lvlJc w:val="left"/>
      <w:pPr>
        <w:ind w:left="217" w:hanging="360"/>
      </w:pPr>
      <w:rPr>
        <w:rFonts w:hint="default"/>
        <w:b/>
      </w:rPr>
    </w:lvl>
    <w:lvl w:ilvl="1" w:tentative="1">
      <w:start w:val="1"/>
      <w:numFmt w:val="lowerLetter"/>
      <w:lvlText w:val="%2."/>
      <w:lvlJc w:val="left"/>
      <w:pPr>
        <w:ind w:left="937" w:hanging="360"/>
      </w:pPr>
    </w:lvl>
    <w:lvl w:ilvl="2" w:tentative="1">
      <w:start w:val="1"/>
      <w:numFmt w:val="lowerRoman"/>
      <w:lvlText w:val="%3."/>
      <w:lvlJc w:val="right"/>
      <w:pPr>
        <w:ind w:left="1657" w:hanging="180"/>
      </w:pPr>
    </w:lvl>
    <w:lvl w:ilvl="3" w:tentative="1">
      <w:start w:val="1"/>
      <w:numFmt w:val="decimal"/>
      <w:lvlText w:val="%4."/>
      <w:lvlJc w:val="left"/>
      <w:pPr>
        <w:ind w:left="2377" w:hanging="360"/>
      </w:pPr>
    </w:lvl>
    <w:lvl w:ilvl="4" w:tentative="1">
      <w:start w:val="1"/>
      <w:numFmt w:val="lowerLetter"/>
      <w:lvlText w:val="%5."/>
      <w:lvlJc w:val="left"/>
      <w:pPr>
        <w:ind w:left="3097" w:hanging="360"/>
      </w:pPr>
    </w:lvl>
    <w:lvl w:ilvl="5" w:tentative="1">
      <w:start w:val="1"/>
      <w:numFmt w:val="lowerRoman"/>
      <w:lvlText w:val="%6."/>
      <w:lvlJc w:val="right"/>
      <w:pPr>
        <w:ind w:left="3817" w:hanging="180"/>
      </w:pPr>
    </w:lvl>
    <w:lvl w:ilvl="6" w:tentative="1">
      <w:start w:val="1"/>
      <w:numFmt w:val="decimal"/>
      <w:lvlText w:val="%7."/>
      <w:lvlJc w:val="left"/>
      <w:pPr>
        <w:ind w:left="4537" w:hanging="360"/>
      </w:pPr>
    </w:lvl>
    <w:lvl w:ilvl="7" w:tentative="1">
      <w:start w:val="1"/>
      <w:numFmt w:val="lowerLetter"/>
      <w:lvlText w:val="%8."/>
      <w:lvlJc w:val="left"/>
      <w:pPr>
        <w:ind w:left="5257" w:hanging="360"/>
      </w:pPr>
    </w:lvl>
    <w:lvl w:ilvl="8" w:tentative="1">
      <w:start w:val="1"/>
      <w:numFmt w:val="lowerRoman"/>
      <w:lvlText w:val="%9."/>
      <w:lvlJc w:val="right"/>
      <w:pPr>
        <w:ind w:left="5977" w:hanging="180"/>
      </w:pPr>
    </w:lvl>
  </w:abstractNum>
  <w:abstractNum w:abstractNumId="27" w15:restartNumberingAfterBreak="0">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2"/>
  </w:num>
  <w:num w:numId="2" w16cid:durableId="159808484">
    <w:abstractNumId w:val="15"/>
  </w:num>
  <w:num w:numId="3" w16cid:durableId="2074310673">
    <w:abstractNumId w:val="18"/>
  </w:num>
  <w:num w:numId="4" w16cid:durableId="1596554476">
    <w:abstractNumId w:val="30"/>
  </w:num>
  <w:num w:numId="5" w16cid:durableId="781269690">
    <w:abstractNumId w:val="9"/>
  </w:num>
  <w:num w:numId="6" w16cid:durableId="1087919862">
    <w:abstractNumId w:val="19"/>
  </w:num>
  <w:num w:numId="7" w16cid:durableId="1266497691">
    <w:abstractNumId w:val="24"/>
  </w:num>
  <w:num w:numId="8" w16cid:durableId="1873692319">
    <w:abstractNumId w:val="11"/>
  </w:num>
  <w:num w:numId="9" w16cid:durableId="1479689730">
    <w:abstractNumId w:val="10"/>
  </w:num>
  <w:num w:numId="10" w16cid:durableId="1861623203">
    <w:abstractNumId w:val="8"/>
  </w:num>
  <w:num w:numId="11" w16cid:durableId="1544710153">
    <w:abstractNumId w:val="20"/>
  </w:num>
  <w:num w:numId="12" w16cid:durableId="1057507424">
    <w:abstractNumId w:val="23"/>
  </w:num>
  <w:num w:numId="13" w16cid:durableId="1609385757">
    <w:abstractNumId w:val="27"/>
  </w:num>
  <w:num w:numId="14" w16cid:durableId="1208831065">
    <w:abstractNumId w:val="21"/>
  </w:num>
  <w:num w:numId="15" w16cid:durableId="1425805868">
    <w:abstractNumId w:val="28"/>
  </w:num>
  <w:num w:numId="16" w16cid:durableId="1455250565">
    <w:abstractNumId w:val="12"/>
  </w:num>
  <w:num w:numId="17" w16cid:durableId="1398552641">
    <w:abstractNumId w:val="29"/>
  </w:num>
  <w:num w:numId="18" w16cid:durableId="1752001909">
    <w:abstractNumId w:val="25"/>
  </w:num>
  <w:num w:numId="19" w16cid:durableId="1971200875">
    <w:abstractNumId w:val="17"/>
  </w:num>
  <w:num w:numId="20" w16cid:durableId="499739379">
    <w:abstractNumId w:val="16"/>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593589876">
    <w:abstractNumId w:val="26"/>
  </w:num>
  <w:num w:numId="1430" w16cid:durableId="895819274">
    <w:abstractNumId w:val="13"/>
  </w:num>
  <w:num w:numId="1431" w16cid:durableId="146978806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5"/>
  <w:displayBackgroundShape/>
  <w:gutterAtTop/>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517"/>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1EC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B8C"/>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4A9F"/>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4D4"/>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1F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C4B"/>
    <w:rsid w:val="00781F3B"/>
    <w:rsid w:val="007824AB"/>
    <w:rsid w:val="0078358A"/>
    <w:rsid w:val="00783850"/>
    <w:rsid w:val="00783CD9"/>
    <w:rsid w:val="00784D0C"/>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E4C"/>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447"/>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C85"/>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D62"/>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1F6"/>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AC2"/>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2C9"/>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28A"/>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DC8"/>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86"/>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149"/>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4F7"/>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6AD"/>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784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pn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B583B1-9B02-4EFC-8250-EF52D0DC2A53}"/>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58</TotalTime>
  <Pages>15</Pages>
  <Words>4035</Words>
  <Characters>20177</Characters>
  <Application>Microsoft Office Word</Application>
  <DocSecurity>0</DocSecurity>
  <Lines>168</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9</cp:revision>
  <cp:lastPrinted>2023-07-16T07:57:00Z</cp:lastPrinted>
  <dcterms:created xsi:type="dcterms:W3CDTF">2025-02-16T11:43:00Z</dcterms:created>
  <dcterms:modified xsi:type="dcterms:W3CDTF">2025-04-28T12:36:00Z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