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ackground w:color="ffffff">
    <v:background id="_x0000_s1025" w:themeColor="background1" filled="t"/>
  </w:background>
  <w:body>
    <w:bookmarkStart w:id="0" w:name="_Hlk63775048"/>
    <w:bookmarkEnd w:id="0"/>
    <w:p w:rsidR="008B2E28" w:rsidP="001F3363" w14:paraId="08AD9E5F" w14:textId="77777777">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07A167AD" w14:textId="77777777">
      <w:pPr>
        <w:rPr>
          <w:rtl/>
        </w:rPr>
      </w:pPr>
    </w:p>
    <w:p w:rsidR="008B2E28" w:rsidP="008D2388" w14:paraId="5612FE0F" w14:textId="77777777">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31A977B7" w14:textId="77777777">
      <w:pPr>
        <w:spacing w:line="240" w:lineRule="atLeast"/>
        <w:jc w:val="center"/>
        <w:rPr>
          <w:rFonts w:ascii="Tahoma" w:hAnsi="Tahoma" w:cs="Tahoma"/>
          <w:sz w:val="22"/>
          <w:szCs w:val="22"/>
          <w:rtl/>
        </w:rPr>
      </w:pPr>
    </w:p>
    <w:p w:rsidR="008B2E28" w:rsidP="008D2388" w14:paraId="4D628165" w14:textId="77777777">
      <w:pPr>
        <w:spacing w:line="240" w:lineRule="atLeast"/>
        <w:jc w:val="center"/>
        <w:rPr>
          <w:rFonts w:ascii="Tahoma" w:hAnsi="Tahoma" w:cs="Tahoma"/>
          <w:sz w:val="22"/>
          <w:szCs w:val="22"/>
          <w:rtl/>
        </w:rPr>
      </w:pPr>
    </w:p>
    <w:p w:rsidR="003C32FE" w:rsidRPr="00170230" w:rsidP="003C32FE" w14:paraId="570AD855" w14:textId="77777777">
      <w:pPr>
        <w:spacing w:line="240" w:lineRule="atLeast"/>
        <w:jc w:val="center"/>
        <w:rPr>
          <w:rFonts w:ascii="Tahoma" w:hAnsi="Tahoma" w:cs="Tahoma"/>
          <w:szCs w:val="18"/>
          <w:rtl/>
        </w:rPr>
      </w:pPr>
    </w:p>
    <w:p w:rsidR="003C32FE" w:rsidP="003C32FE" w14:paraId="561A0A25" w14:textId="0CFE6CB4">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1973009</wp:posOffset>
                </wp:positionV>
                <wp:extent cx="2621280"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2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25.05pt,155.35pt" to="231.45pt,155.35pt" strokecolor="white" strokeweight="1.5pt"/>
            </w:pict>
          </mc:Fallback>
        </mc:AlternateContent>
      </w:r>
      <w:r w:rsidR="008A7100">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3065780</wp:posOffset>
                </wp:positionH>
                <wp:positionV relativeFrom="paragraph">
                  <wp:posOffset>260985</wp:posOffset>
                </wp:positionV>
                <wp:extent cx="0" cy="4480560"/>
                <wp:effectExtent l="25400" t="0" r="25400" b="2794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48056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4pt,20.55pt" to="241.4pt,373.35pt" strokecolor="white" strokeweight="4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77777777">
                            <w:pPr>
                              <w:pStyle w:val="a33"/>
                              <w:bidi/>
                              <w:rPr>
                                <w:rtl/>
                              </w:rPr>
                            </w:pPr>
                            <w:r w:rsidRPr="004532DC">
                              <w:rPr>
                                <w:rtl/>
                              </w:rPr>
                              <w:t xml:space="preserve">דוח מבקר המדינה | </w:t>
                            </w:r>
                            <w:r w:rsidR="00005C82">
                              <w:rPr>
                                <w:rFonts w:hint="cs"/>
                                <w:rtl/>
                              </w:rPr>
                              <w:t>אייר</w:t>
                            </w:r>
                            <w:r w:rsidRPr="004532DC">
                              <w:rPr>
                                <w:rtl/>
                              </w:rPr>
                              <w:t xml:space="preserve"> התשפ"</w:t>
                            </w:r>
                            <w:r w:rsidR="00B66A3F">
                              <w:rPr>
                                <w:rFonts w:hint="cs"/>
                                <w:rtl/>
                              </w:rPr>
                              <w:t>ה</w:t>
                            </w:r>
                            <w:r w:rsidRPr="004532DC">
                              <w:rPr>
                                <w:rtl/>
                              </w:rPr>
                              <w:t xml:space="preserve"> | </w:t>
                            </w:r>
                            <w:r w:rsidR="00005C82">
                              <w:rPr>
                                <w:rFonts w:hint="cs"/>
                                <w:rtl/>
                              </w:rPr>
                              <w:t>מאי</w:t>
                            </w:r>
                            <w:r w:rsidRPr="004532DC">
                              <w:rPr>
                                <w:rtl/>
                              </w:rPr>
                              <w:t xml:space="preserve"> </w:t>
                            </w:r>
                            <w:r w:rsidR="00B66A3F">
                              <w:rPr>
                                <w:rFonts w:hint="cs"/>
                                <w:rtl/>
                              </w:rPr>
                              <w:t>2025</w:t>
                            </w:r>
                            <w:r w:rsidRPr="004532DC">
                              <w:rPr>
                                <w:rtl/>
                              </w:rPr>
                              <w:t xml:space="preserve"> </w:t>
                            </w:r>
                          </w:p>
                          <w:p w:rsidR="00F73EE0" w:rsidP="0052031E" w14:textId="77777777">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77777777">
                            <w:pPr>
                              <w:pStyle w:val="-1"/>
                              <w:rPr>
                                <w:rtl/>
                              </w:rPr>
                            </w:pPr>
                            <w:r>
                              <w:rPr>
                                <w:rFonts w:hint="cs"/>
                                <w:rtl/>
                              </w:rPr>
                              <w:t>הגנת הסייבר</w:t>
                            </w:r>
                            <w:r w:rsidR="00AB2F78">
                              <w:rPr>
                                <w:rFonts w:hint="cs"/>
                                <w:rtl/>
                              </w:rPr>
                              <w:t xml:space="preserve"> </w:t>
                            </w:r>
                          </w:p>
                          <w:p w:rsidR="00C30482" w:rsidRPr="000F5023" w:rsidP="00047119" w14:textId="77777777">
                            <w:pPr>
                              <w:pStyle w:val="a32"/>
                              <w:bidi/>
                              <w:spacing w:before="240" w:after="202"/>
                              <w:rPr>
                                <w:rtl/>
                              </w:rPr>
                            </w:pPr>
                            <w:r w:rsidRPr="000860B5">
                              <w:rPr>
                                <w:rtl/>
                              </w:rPr>
                              <w:t>אבטחת המידע והגנת הסייבר ברשות מקרקעי ישראל - תוצאות מבדק חוסן</w:t>
                            </w:r>
                          </w:p>
                          <w:p w:rsidR="00047119"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28DE320E" w14:textId="77777777">
                      <w:pPr>
                        <w:ind w:left="2268"/>
                        <w:rPr>
                          <w:rFonts w:ascii="Tahoma" w:hAnsi="Tahoma" w:cs="Tahoma"/>
                          <w:sz w:val="18"/>
                          <w:szCs w:val="18"/>
                          <w:rtl/>
                        </w:rPr>
                      </w:pPr>
                    </w:p>
                    <w:p w:rsidR="00F73EE0" w:rsidP="0052031E" w14:paraId="6F3319A0" w14:textId="77777777">
                      <w:pPr>
                        <w:ind w:left="2268"/>
                        <w:rPr>
                          <w:rFonts w:ascii="Tahoma" w:hAnsi="Tahoma" w:cs="Tahoma"/>
                          <w:sz w:val="18"/>
                          <w:szCs w:val="18"/>
                          <w:rtl/>
                        </w:rPr>
                      </w:pPr>
                    </w:p>
                    <w:p w:rsidR="008A71D4" w:rsidRPr="0052031E" w:rsidP="008A71D4" w14:paraId="166B0776" w14:textId="77777777">
                      <w:pPr>
                        <w:pStyle w:val="a33"/>
                        <w:bidi/>
                        <w:rPr>
                          <w:rtl/>
                        </w:rPr>
                      </w:pPr>
                      <w:r w:rsidRPr="004532DC">
                        <w:rPr>
                          <w:rtl/>
                        </w:rPr>
                        <w:t xml:space="preserve">דוח מבקר המדינה | </w:t>
                      </w:r>
                      <w:r w:rsidR="00005C82">
                        <w:rPr>
                          <w:rFonts w:hint="cs"/>
                          <w:rtl/>
                        </w:rPr>
                        <w:t>אייר</w:t>
                      </w:r>
                      <w:r w:rsidRPr="004532DC">
                        <w:rPr>
                          <w:rtl/>
                        </w:rPr>
                        <w:t xml:space="preserve"> התשפ"</w:t>
                      </w:r>
                      <w:r w:rsidR="00B66A3F">
                        <w:rPr>
                          <w:rFonts w:hint="cs"/>
                          <w:rtl/>
                        </w:rPr>
                        <w:t>ה</w:t>
                      </w:r>
                      <w:r w:rsidRPr="004532DC">
                        <w:rPr>
                          <w:rtl/>
                        </w:rPr>
                        <w:t xml:space="preserve"> | </w:t>
                      </w:r>
                      <w:r w:rsidR="00005C82">
                        <w:rPr>
                          <w:rFonts w:hint="cs"/>
                          <w:rtl/>
                        </w:rPr>
                        <w:t>מאי</w:t>
                      </w:r>
                      <w:r w:rsidRPr="004532DC">
                        <w:rPr>
                          <w:rtl/>
                        </w:rPr>
                        <w:t xml:space="preserve"> </w:t>
                      </w:r>
                      <w:r w:rsidR="00B66A3F">
                        <w:rPr>
                          <w:rFonts w:hint="cs"/>
                          <w:rtl/>
                        </w:rPr>
                        <w:t>2025</w:t>
                      </w:r>
                      <w:r w:rsidRPr="004532DC">
                        <w:rPr>
                          <w:rtl/>
                        </w:rPr>
                        <w:t xml:space="preserve"> </w:t>
                      </w:r>
                    </w:p>
                    <w:p w:rsidR="00F73EE0" w:rsidP="0052031E" w14:paraId="230A08EB" w14:textId="77777777">
                      <w:pPr>
                        <w:ind w:left="2268"/>
                        <w:rPr>
                          <w:rtl/>
                        </w:rPr>
                      </w:pPr>
                    </w:p>
                    <w:p w:rsidR="00E56721" w:rsidP="0052031E" w14:paraId="5304EB0C" w14:textId="77777777">
                      <w:pPr>
                        <w:ind w:left="2268"/>
                        <w:rPr>
                          <w:rtl/>
                        </w:rPr>
                      </w:pPr>
                    </w:p>
                    <w:p w:rsidR="00F73EE0" w:rsidP="0052031E" w14:paraId="7EBA16BA" w14:textId="77777777">
                      <w:pPr>
                        <w:ind w:left="2268"/>
                        <w:rPr>
                          <w:rtl/>
                        </w:rPr>
                      </w:pPr>
                    </w:p>
                    <w:p w:rsidR="005D0F8C" w:rsidRPr="000A3ED4" w:rsidP="000F5023" w14:paraId="4406E8F0" w14:textId="77777777">
                      <w:pPr>
                        <w:pStyle w:val="-1"/>
                        <w:rPr>
                          <w:rtl/>
                        </w:rPr>
                      </w:pPr>
                      <w:r>
                        <w:rPr>
                          <w:rFonts w:hint="cs"/>
                          <w:rtl/>
                        </w:rPr>
                        <w:t>הגנת הסייבר</w:t>
                      </w:r>
                      <w:r w:rsidR="00AB2F78">
                        <w:rPr>
                          <w:rFonts w:hint="cs"/>
                          <w:rtl/>
                        </w:rPr>
                        <w:t xml:space="preserve"> </w:t>
                      </w:r>
                    </w:p>
                    <w:p w:rsidR="00C30482" w:rsidRPr="000F5023" w:rsidP="00047119" w14:paraId="58231355" w14:textId="77777777">
                      <w:pPr>
                        <w:pStyle w:val="a32"/>
                        <w:bidi/>
                        <w:spacing w:before="240" w:after="202"/>
                        <w:rPr>
                          <w:rtl/>
                        </w:rPr>
                      </w:pPr>
                      <w:r w:rsidRPr="000860B5">
                        <w:rPr>
                          <w:rtl/>
                        </w:rPr>
                        <w:t>אבטחת המידע והגנת הסייבר ברשות מקרקעי ישראל - תוצאות מבדק חוסן</w:t>
                      </w:r>
                    </w:p>
                    <w:p w:rsidR="00047119" w14:paraId="00D14554" w14:textId="77777777"/>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40042268" w14:textId="77777777">
      <w:pPr>
        <w:spacing w:line="240" w:lineRule="atLeast"/>
        <w:jc w:val="center"/>
        <w:rPr>
          <w:rFonts w:ascii="Tahoma" w:hAnsi="Tahoma" w:cs="Tahoma"/>
          <w:sz w:val="22"/>
          <w:szCs w:val="22"/>
          <w:rtl/>
        </w:rPr>
      </w:pPr>
    </w:p>
    <w:p w:rsidR="00E35DF9" w:rsidRPr="00406E80" w:rsidP="008D2388" w14:paraId="79A8B802" w14:textId="77777777">
      <w:pPr>
        <w:spacing w:line="240" w:lineRule="atLeast"/>
        <w:jc w:val="center"/>
        <w:rPr>
          <w:rFonts w:ascii="Tahoma" w:hAnsi="Tahoma" w:cs="Tahoma"/>
          <w:color w:val="C6D9F1"/>
          <w:sz w:val="22"/>
          <w:szCs w:val="22"/>
          <w:rtl/>
        </w:rPr>
      </w:pPr>
    </w:p>
    <w:p w:rsidR="008C0B8B" w:rsidP="008D2388" w14:paraId="58A828D3" w14:textId="77777777">
      <w:pPr>
        <w:spacing w:line="240" w:lineRule="atLeast"/>
        <w:jc w:val="center"/>
        <w:rPr>
          <w:rFonts w:ascii="Tahoma" w:hAnsi="Tahoma" w:cs="Tahoma"/>
          <w:sz w:val="22"/>
          <w:szCs w:val="22"/>
          <w:rtl/>
        </w:rPr>
      </w:pPr>
    </w:p>
    <w:p w:rsidR="008C0B8B" w:rsidP="008D2388" w14:paraId="4633097C" w14:textId="77777777">
      <w:pPr>
        <w:spacing w:line="240" w:lineRule="atLeast"/>
        <w:jc w:val="center"/>
        <w:rPr>
          <w:rFonts w:ascii="Tahoma" w:hAnsi="Tahoma" w:cs="Tahoma"/>
          <w:sz w:val="22"/>
          <w:szCs w:val="22"/>
          <w:rtl/>
        </w:rPr>
      </w:pPr>
    </w:p>
    <w:p w:rsidR="00E35DF9" w:rsidP="008D2388" w14:paraId="2EFFA3ED" w14:textId="77777777">
      <w:pPr>
        <w:spacing w:line="240" w:lineRule="atLeast"/>
        <w:jc w:val="center"/>
        <w:rPr>
          <w:rFonts w:ascii="Tahoma" w:hAnsi="Tahoma" w:cs="Tahoma"/>
          <w:sz w:val="22"/>
          <w:szCs w:val="22"/>
          <w:rtl/>
        </w:rPr>
      </w:pPr>
    </w:p>
    <w:p w:rsidR="00035688" w:rsidP="008D2388" w14:paraId="204098AF" w14:textId="77777777">
      <w:pPr>
        <w:spacing w:line="240" w:lineRule="atLeast"/>
        <w:jc w:val="center"/>
        <w:rPr>
          <w:rFonts w:ascii="Tahoma" w:hAnsi="Tahoma" w:cs="Times New Roman"/>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92E4664"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85888"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86912"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F4F5BD9" w14:textId="77777777">
      <w:pPr>
        <w:jc w:val="left"/>
        <w:rPr>
          <w:rFonts w:ascii="Tahoma" w:hAnsi="Tahoma" w:cs="Times New Roman"/>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FE3A0B" w14:paraId="12834E6E" w14:textId="77777777">
      <w:pPr>
        <w:pStyle w:val="7329"/>
        <w:spacing w:after="720"/>
        <w:rPr>
          <w:rtl/>
        </w:rPr>
      </w:pPr>
      <w:r w:rsidRPr="00802F2E">
        <w:rPr>
          <w:noProof/>
          <w:rtl/>
        </w:rPr>
        <mc:AlternateContent>
          <mc:Choice Requires="wps">
            <w:drawing>
              <wp:anchor distT="0" distB="0" distL="114300" distR="114300" simplePos="0" relativeHeight="251674624" behindDoc="0" locked="0" layoutInCell="1" allowOverlap="1">
                <wp:simplePos x="0" y="0"/>
                <wp:positionH relativeFrom="column">
                  <wp:posOffset>-687070</wp:posOffset>
                </wp:positionH>
                <wp:positionV relativeFrom="paragraph">
                  <wp:posOffset>257719</wp:posOffset>
                </wp:positionV>
                <wp:extent cx="247650" cy="5670641"/>
                <wp:effectExtent l="0" t="0" r="6350" b="635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247650" cy="5670641"/>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9.5pt;height:446.5pt;margin-top:20.3pt;margin-left:-54.1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802F2E" w:rsidR="00FE3A0B">
        <w:rPr>
          <w:noProof/>
          <w:rtl/>
        </w:rPr>
        <w:drawing>
          <wp:anchor distT="0" distB="0" distL="114300" distR="114300" simplePos="0" relativeHeight="251681792" behindDoc="0" locked="0" layoutInCell="1" allowOverlap="1">
            <wp:simplePos x="0" y="0"/>
            <wp:positionH relativeFrom="column">
              <wp:posOffset>3293110</wp:posOffset>
            </wp:positionH>
            <wp:positionV relativeFrom="paragraph">
              <wp:posOffset>1107364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0860B5" w:rsidR="000860B5">
        <w:rPr>
          <w:noProof/>
          <w:rtl/>
        </w:rPr>
        <w:t>אבטחת המידע והגנת הסייבר ברשות מקרקעי ישראל - תוצאות מבדק חוסן</w:t>
      </w:r>
      <w:r w:rsidR="00D73746">
        <w:rPr>
          <w:rFonts w:hint="cs"/>
          <w:noProof/>
          <w:rtl/>
        </w:rPr>
        <w:t xml:space="preserve"> </w:t>
      </w:r>
    </w:p>
    <w:p w:rsidR="00782E7A" w:rsidRPr="009C3440" w:rsidP="00782E7A" w14:paraId="52648716" w14:textId="77777777">
      <w:pPr>
        <w:pStyle w:val="7392"/>
        <w:spacing w:before="840"/>
        <w:rPr>
          <w:rtl/>
        </w:rPr>
      </w:pPr>
      <w:r w:rsidRPr="009C3440">
        <w:rPr>
          <w:rtl/>
        </w:rPr>
        <w:t xml:space="preserve">רשות מקרקעי ישראל (רמ"י) מופקדת על פי חוק רשות מקרקעי ישראל, התש"ך-1960, על ניהול מקרקעי ישראל כמשאב לשם פיתוחה של מדינת ישראל ולטובת הציבור, הסביבה והדורות הבאים. </w:t>
      </w:r>
    </w:p>
    <w:p w:rsidR="00782E7A" w:rsidRPr="009C3440" w:rsidP="00782E7A" w14:paraId="759F2883" w14:textId="77777777">
      <w:pPr>
        <w:pStyle w:val="7392"/>
        <w:rPr>
          <w:rtl/>
        </w:rPr>
      </w:pPr>
      <w:r w:rsidRPr="009C3440">
        <w:rPr>
          <w:rtl/>
        </w:rPr>
        <w:t>אחד מתפקידיה של רמ"י הוא להקצות קרקע למטרות כגון מגורים, מסחר ותעשייה</w:t>
      </w:r>
      <w:r w:rsidRPr="009C3440">
        <w:rPr>
          <w:rFonts w:hint="cs"/>
          <w:rtl/>
        </w:rPr>
        <w:t xml:space="preserve"> </w:t>
      </w:r>
      <w:r w:rsidRPr="009C3440">
        <w:rPr>
          <w:rtl/>
        </w:rPr>
        <w:t xml:space="preserve">והיא עושה זאת בין היתר בדרך של פרסום מכרזי מקרקעין ליזמים ולציבור. </w:t>
      </w:r>
    </w:p>
    <w:p w:rsidR="00782E7A" w:rsidRPr="009C3440" w:rsidP="00782E7A" w14:paraId="75E21B67" w14:textId="77777777">
      <w:pPr>
        <w:pStyle w:val="7392"/>
        <w:rPr>
          <w:rtl/>
        </w:rPr>
      </w:pPr>
      <w:r w:rsidRPr="009C3440">
        <w:rPr>
          <w:rtl/>
        </w:rPr>
        <w:t xml:space="preserve">רוב המידע שרמ"י אוספת, שומרת ומנהלת הוא מידע רגיש על נכסי מקרקעין, הכולל נתונים אישיים ועסקיים. כמו כן, רמ"י מפעילה אתר מרשתת (אינטרנט), ובאמצעותו היא נותנת שירות לציבור. על רמ"י חלה החובה לשמור על המידע שברשותה ולוודא שהוא משמש אך ורק למטרות שלשמן הוא נמסר או לצורכי מילוי חובותיה על פי החוק. בנוגע לנכסי המקרקעין, רמ"י נדרשת להגן על סודיות המידע, אמינותו וזמינותו, ועליה לוודא כי הנתונים לא ישונו ולא יימחקו, וכי הם ייחשפו רק למי שמורשה לגשת אליהם מתוקף תפקידו או כיוון שהמידע נוגע לו. </w:t>
      </w:r>
    </w:p>
    <w:p w:rsidR="007F4A20" w:rsidP="00782E7A" w14:paraId="7E423B52" w14:textId="77777777">
      <w:pPr>
        <w:pStyle w:val="7392"/>
      </w:pPr>
      <w:r w:rsidRPr="009C3440">
        <w:rPr>
          <w:rtl/>
        </w:rPr>
        <w:t>בכל הנוגע להגנת הפרטיות ולאבטחת המידע הרב שבידיה, רמ"י נדרשת לפעול בהתאם להוראות הדין, ובכלל זה חוק הגנת הפרטיות, התשמ"א-1981, והתקנות שהותקנו על פיו. על פי מיפוי של רמ"י, האיומים עליה כוללים איומים פנימיים, למשל מצד ספקים שיש לה איתם קשר, ואיומים חיצוניים, למשל מצד פצחנים (האקרים) ולקוחות</w:t>
      </w:r>
      <w:r w:rsidRPr="00F16A67" w:rsidR="0036097F">
        <w:rPr>
          <w:rFonts w:hint="cs"/>
          <w:rtl/>
        </w:rPr>
        <w:t>.</w:t>
      </w:r>
      <w:r w:rsidRPr="00F16A67" w:rsidR="00B61DE7">
        <w:rPr>
          <w:rtl/>
        </w:rPr>
        <w:t xml:space="preserve"> </w:t>
      </w:r>
    </w:p>
    <w:p w:rsidR="007F4A20" w14:paraId="4DEAB133"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3F9CC778" w14:textId="77777777">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7C9D2D8B"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6"/>
        <w:gridCol w:w="237"/>
        <w:gridCol w:w="1530"/>
        <w:gridCol w:w="237"/>
        <w:gridCol w:w="1697"/>
        <w:gridCol w:w="268"/>
        <w:gridCol w:w="1685"/>
      </w:tblGrid>
      <w:tr w14:paraId="3A66A902" w14:textId="77777777" w:rsidTr="009B71E0">
        <w:tblPrEx>
          <w:tblW w:w="5000" w:type="pct"/>
          <w:tblLook w:val="04A0"/>
        </w:tblPrEx>
        <w:tc>
          <w:tcPr>
            <w:tcW w:w="1164" w:type="pct"/>
            <w:tcBorders>
              <w:bottom w:val="single" w:sz="12" w:space="0" w:color="000000" w:themeColor="text1"/>
            </w:tcBorders>
            <w:vAlign w:val="bottom"/>
          </w:tcPr>
          <w:p w:rsidR="009B71E0" w:rsidRPr="009B71E0" w:rsidP="009B71E0" w14:paraId="34E91D5D" w14:textId="77777777">
            <w:pPr>
              <w:spacing w:after="60" w:line="240" w:lineRule="auto"/>
              <w:jc w:val="left"/>
              <w:rPr>
                <w:rFonts w:ascii="Tahoma" w:hAnsi="Tahoma" w:cs="Tahoma"/>
                <w:b/>
                <w:bCs/>
                <w:spacing w:val="-28"/>
                <w:sz w:val="26"/>
                <w:szCs w:val="26"/>
                <w:rtl/>
              </w:rPr>
            </w:pPr>
            <w:r w:rsidRPr="009B71E0">
              <w:rPr>
                <w:rFonts w:ascii="Tahoma" w:hAnsi="Tahoma" w:cs="Tahoma"/>
                <w:b/>
                <w:bCs/>
                <w:spacing w:val="-10"/>
                <w:sz w:val="26"/>
                <w:szCs w:val="26"/>
                <w:rtl/>
              </w:rPr>
              <w:t>התראות רבות</w:t>
            </w:r>
          </w:p>
        </w:tc>
        <w:tc>
          <w:tcPr>
            <w:tcW w:w="161" w:type="pct"/>
            <w:vAlign w:val="bottom"/>
          </w:tcPr>
          <w:p w:rsidR="009B71E0" w:rsidRPr="009B71E0" w:rsidP="009B71E0" w14:paraId="6E1859F7" w14:textId="77777777">
            <w:pPr>
              <w:spacing w:before="120" w:after="60" w:line="240" w:lineRule="auto"/>
              <w:jc w:val="left"/>
              <w:rPr>
                <w:rFonts w:ascii="Tahoma" w:hAnsi="Tahoma" w:cs="Tahoma"/>
                <w:b/>
                <w:bCs/>
                <w:sz w:val="26"/>
                <w:szCs w:val="26"/>
                <w:rtl/>
              </w:rPr>
            </w:pPr>
          </w:p>
        </w:tc>
        <w:tc>
          <w:tcPr>
            <w:tcW w:w="1038" w:type="pct"/>
            <w:tcBorders>
              <w:bottom w:val="single" w:sz="12" w:space="0" w:color="000000" w:themeColor="text1"/>
            </w:tcBorders>
            <w:vAlign w:val="bottom"/>
          </w:tcPr>
          <w:p w:rsidR="009B71E0" w:rsidRPr="009B71E0" w:rsidP="009B71E0" w14:paraId="37404920" w14:textId="77777777">
            <w:pPr>
              <w:pStyle w:val="2021"/>
              <w:spacing w:before="0" w:after="60"/>
              <w:rPr>
                <w:spacing w:val="-10"/>
                <w:sz w:val="26"/>
                <w:szCs w:val="26"/>
                <w:rtl/>
              </w:rPr>
            </w:pPr>
            <w:r w:rsidRPr="00172450">
              <w:rPr>
                <w:spacing w:val="-10"/>
                <w:rtl/>
              </w:rPr>
              <w:t>13</w:t>
            </w:r>
            <w:r w:rsidRPr="009B71E0">
              <w:rPr>
                <w:spacing w:val="-10"/>
                <w:sz w:val="26"/>
                <w:szCs w:val="26"/>
                <w:rtl/>
              </w:rPr>
              <w:t xml:space="preserve"> ליקויים</w:t>
            </w:r>
          </w:p>
        </w:tc>
        <w:tc>
          <w:tcPr>
            <w:tcW w:w="161" w:type="pct"/>
            <w:vAlign w:val="bottom"/>
          </w:tcPr>
          <w:p w:rsidR="009B71E0" w:rsidRPr="009B71E0" w:rsidP="009B71E0" w14:paraId="384215C9" w14:textId="77777777">
            <w:pPr>
              <w:spacing w:before="120" w:after="60" w:line="240" w:lineRule="auto"/>
              <w:jc w:val="left"/>
              <w:rPr>
                <w:rFonts w:ascii="Tahoma" w:hAnsi="Tahoma" w:cs="Tahoma"/>
                <w:b/>
                <w:bCs/>
                <w:sz w:val="26"/>
                <w:szCs w:val="26"/>
                <w:rtl/>
              </w:rPr>
            </w:pPr>
          </w:p>
        </w:tc>
        <w:tc>
          <w:tcPr>
            <w:tcW w:w="1151" w:type="pct"/>
            <w:tcBorders>
              <w:bottom w:val="single" w:sz="12" w:space="0" w:color="000000" w:themeColor="text1"/>
            </w:tcBorders>
            <w:vAlign w:val="bottom"/>
          </w:tcPr>
          <w:p w:rsidR="009B71E0" w:rsidRPr="009B71E0" w:rsidP="009B71E0" w14:paraId="5A4A8C98" w14:textId="77777777">
            <w:pPr>
              <w:pStyle w:val="2021"/>
              <w:spacing w:before="0" w:after="60"/>
              <w:rPr>
                <w:spacing w:val="-20"/>
                <w:sz w:val="26"/>
                <w:szCs w:val="26"/>
                <w:rtl/>
              </w:rPr>
            </w:pPr>
            <w:r w:rsidRPr="009B71E0">
              <w:rPr>
                <w:spacing w:val="-10"/>
                <w:sz w:val="26"/>
                <w:szCs w:val="26"/>
                <w:rtl/>
              </w:rPr>
              <w:t>כ-</w:t>
            </w:r>
            <w:r w:rsidRPr="00172450">
              <w:rPr>
                <w:spacing w:val="-10"/>
                <w:rtl/>
              </w:rPr>
              <w:t>350</w:t>
            </w:r>
            <w:r w:rsidRPr="009B71E0">
              <w:rPr>
                <w:spacing w:val="-10"/>
                <w:sz w:val="26"/>
                <w:szCs w:val="26"/>
                <w:rtl/>
              </w:rPr>
              <w:t xml:space="preserve"> מכרזים להקצאת קרקע</w:t>
            </w:r>
          </w:p>
        </w:tc>
        <w:tc>
          <w:tcPr>
            <w:tcW w:w="182" w:type="pct"/>
            <w:vAlign w:val="bottom"/>
          </w:tcPr>
          <w:p w:rsidR="009B71E0" w:rsidRPr="009B71E0" w:rsidP="009B71E0" w14:paraId="7900957B" w14:textId="77777777">
            <w:pPr>
              <w:pStyle w:val="2021"/>
              <w:spacing w:before="0" w:after="60"/>
              <w:rPr>
                <w:spacing w:val="-10"/>
                <w:sz w:val="26"/>
                <w:szCs w:val="26"/>
                <w:rtl/>
              </w:rPr>
            </w:pPr>
          </w:p>
        </w:tc>
        <w:tc>
          <w:tcPr>
            <w:tcW w:w="1143" w:type="pct"/>
            <w:tcBorders>
              <w:bottom w:val="single" w:sz="12" w:space="0" w:color="000000" w:themeColor="text1"/>
            </w:tcBorders>
            <w:vAlign w:val="bottom"/>
          </w:tcPr>
          <w:p w:rsidR="009B71E0" w:rsidRPr="009B71E0" w:rsidP="009B71E0" w14:paraId="26738FF6" w14:textId="77777777">
            <w:pPr>
              <w:pStyle w:val="2021"/>
              <w:spacing w:before="0" w:after="60"/>
              <w:rPr>
                <w:spacing w:val="-10"/>
                <w:sz w:val="26"/>
                <w:szCs w:val="26"/>
                <w:rtl/>
              </w:rPr>
            </w:pPr>
            <w:r w:rsidRPr="009B71E0">
              <w:rPr>
                <w:spacing w:val="-10"/>
                <w:sz w:val="26"/>
                <w:szCs w:val="26"/>
                <w:rtl/>
              </w:rPr>
              <w:t>כ-</w:t>
            </w:r>
            <w:r w:rsidRPr="00172450">
              <w:rPr>
                <w:spacing w:val="-10"/>
                <w:rtl/>
              </w:rPr>
              <w:t xml:space="preserve">83,000 </w:t>
            </w:r>
            <w:r w:rsidRPr="009B71E0">
              <w:rPr>
                <w:spacing w:val="-10"/>
                <w:sz w:val="26"/>
                <w:szCs w:val="26"/>
                <w:rtl/>
              </w:rPr>
              <w:t>יחידות דיור למגורים</w:t>
            </w:r>
          </w:p>
        </w:tc>
      </w:tr>
      <w:tr w14:paraId="59DA0ADC" w14:textId="77777777" w:rsidTr="009B71E0">
        <w:tblPrEx>
          <w:tblW w:w="5000" w:type="pct"/>
          <w:tblLook w:val="04A0"/>
        </w:tblPrEx>
        <w:tc>
          <w:tcPr>
            <w:tcW w:w="1164" w:type="pct"/>
            <w:tcBorders>
              <w:top w:val="single" w:sz="12" w:space="0" w:color="000000" w:themeColor="text1"/>
            </w:tcBorders>
          </w:tcPr>
          <w:p w:rsidR="00045827" w:rsidRPr="00E52143" w:rsidP="00045827" w14:paraId="0F6E8700" w14:textId="77777777">
            <w:pPr>
              <w:pStyle w:val="732021"/>
              <w:spacing w:before="0" w:line="240" w:lineRule="auto"/>
              <w:rPr>
                <w:rtl/>
              </w:rPr>
            </w:pPr>
            <w:r w:rsidRPr="009C3440">
              <w:rPr>
                <w:rtl/>
              </w:rPr>
              <w:t>התקבלו ב-</w:t>
            </w:r>
            <w:r w:rsidRPr="009C3440">
              <w:t>SOC</w:t>
            </w:r>
            <w:r w:rsidRPr="009C3440">
              <w:rPr>
                <w:rtl/>
              </w:rPr>
              <w:t xml:space="preserve"> הממשלתי</w:t>
            </w:r>
            <w:r>
              <w:rPr>
                <w:vertAlign w:val="superscript"/>
                <w:rtl/>
              </w:rPr>
              <w:footnoteReference w:id="2"/>
            </w:r>
            <w:r w:rsidRPr="009C3440">
              <w:rPr>
                <w:rtl/>
              </w:rPr>
              <w:t xml:space="preserve"> לגבי רמ"י בגין פעילות החשודה כאיום סייבר</w:t>
            </w:r>
            <w:r w:rsidRPr="00800F49">
              <w:rPr>
                <w:rtl/>
              </w:rPr>
              <w:t xml:space="preserve"> </w:t>
            </w:r>
            <w:r w:rsidRPr="009C3440">
              <w:rPr>
                <w:rtl/>
              </w:rPr>
              <w:t>במחצית הראשונה של שנת 2023</w:t>
            </w:r>
          </w:p>
        </w:tc>
        <w:tc>
          <w:tcPr>
            <w:tcW w:w="161" w:type="pct"/>
          </w:tcPr>
          <w:p w:rsidR="00045827" w:rsidRPr="00E52143" w:rsidP="00045827" w14:paraId="1E3DB33D" w14:textId="77777777">
            <w:pPr>
              <w:pStyle w:val="732021"/>
              <w:spacing w:before="0" w:line="240" w:lineRule="auto"/>
              <w:rPr>
                <w:rtl/>
              </w:rPr>
            </w:pPr>
          </w:p>
        </w:tc>
        <w:tc>
          <w:tcPr>
            <w:tcW w:w="1038" w:type="pct"/>
            <w:tcBorders>
              <w:top w:val="single" w:sz="12" w:space="0" w:color="000000" w:themeColor="text1"/>
            </w:tcBorders>
          </w:tcPr>
          <w:p w:rsidR="00045827" w:rsidRPr="00E52143" w:rsidP="00045827" w14:paraId="4011F364" w14:textId="77777777">
            <w:pPr>
              <w:pStyle w:val="732021"/>
              <w:spacing w:before="0" w:line="240" w:lineRule="auto"/>
              <w:rPr>
                <w:rtl/>
              </w:rPr>
            </w:pPr>
            <w:r w:rsidRPr="009C3440">
              <w:rPr>
                <w:rtl/>
              </w:rPr>
              <w:t>נמצאו במבדק החוסן שביצע משרד מבקר המדינה, מתוכם</w:t>
            </w:r>
            <w:r w:rsidR="009B71E0">
              <w:rPr>
                <w:rtl/>
              </w:rPr>
              <w:br/>
            </w:r>
            <w:r w:rsidRPr="009C3440">
              <w:rPr>
                <w:rtl/>
              </w:rPr>
              <w:t xml:space="preserve">2 הוגדרו סיכונים ברמה "בינונית" </w:t>
            </w:r>
            <w:r w:rsidR="009B71E0">
              <w:rPr>
                <w:rtl/>
              </w:rPr>
              <w:br/>
            </w:r>
            <w:r w:rsidRPr="009C3440">
              <w:rPr>
                <w:rtl/>
              </w:rPr>
              <w:t>ו-11 ברמה "נמוכה"</w:t>
            </w:r>
          </w:p>
        </w:tc>
        <w:tc>
          <w:tcPr>
            <w:tcW w:w="161" w:type="pct"/>
          </w:tcPr>
          <w:p w:rsidR="00045827" w:rsidRPr="00E52143" w:rsidP="00045827" w14:paraId="0BB32111" w14:textId="77777777">
            <w:pPr>
              <w:pStyle w:val="732021"/>
              <w:spacing w:before="0" w:line="240" w:lineRule="auto"/>
              <w:rPr>
                <w:rtl/>
              </w:rPr>
            </w:pPr>
          </w:p>
        </w:tc>
        <w:tc>
          <w:tcPr>
            <w:tcW w:w="1151" w:type="pct"/>
            <w:tcBorders>
              <w:top w:val="single" w:sz="12" w:space="0" w:color="000000" w:themeColor="text1"/>
            </w:tcBorders>
          </w:tcPr>
          <w:p w:rsidR="00045827" w:rsidRPr="00E52143" w:rsidP="00045827" w14:paraId="72084591" w14:textId="77777777">
            <w:pPr>
              <w:pStyle w:val="732021"/>
              <w:spacing w:before="0" w:line="240" w:lineRule="auto"/>
              <w:rPr>
                <w:rtl/>
              </w:rPr>
            </w:pPr>
            <w:r w:rsidRPr="009C3440">
              <w:rPr>
                <w:rtl/>
              </w:rPr>
              <w:t>פורסמו  ונדונו בוועדת המכרזים בשנת 2022</w:t>
            </w:r>
          </w:p>
        </w:tc>
        <w:tc>
          <w:tcPr>
            <w:tcW w:w="182" w:type="pct"/>
          </w:tcPr>
          <w:p w:rsidR="00045827" w:rsidRPr="00E52143" w:rsidP="00045827" w14:paraId="4261B4F3" w14:textId="77777777">
            <w:pPr>
              <w:pStyle w:val="732021"/>
              <w:spacing w:before="0" w:line="240" w:lineRule="auto"/>
              <w:rPr>
                <w:rtl/>
              </w:rPr>
            </w:pPr>
          </w:p>
        </w:tc>
        <w:tc>
          <w:tcPr>
            <w:tcW w:w="1143" w:type="pct"/>
            <w:tcBorders>
              <w:top w:val="single" w:sz="12" w:space="0" w:color="000000" w:themeColor="text1"/>
            </w:tcBorders>
          </w:tcPr>
          <w:p w:rsidR="00045827" w:rsidRPr="00E52143" w:rsidP="00045827" w14:paraId="3967B00F" w14:textId="77777777">
            <w:pPr>
              <w:pStyle w:val="732021"/>
              <w:spacing w:before="0" w:line="240" w:lineRule="auto"/>
              <w:rPr>
                <w:rtl/>
              </w:rPr>
            </w:pPr>
            <w:r w:rsidRPr="009C3440">
              <w:rPr>
                <w:rtl/>
              </w:rPr>
              <w:t xml:space="preserve">בשווי כולל של מיליארדי ש"ח שווקו בשנת 2022 </w:t>
            </w:r>
          </w:p>
        </w:tc>
      </w:tr>
    </w:tbl>
    <w:p w:rsidR="00420374" w:rsidP="00420374" w14:paraId="1CDF8AD7" w14:textId="77777777">
      <w:pPr>
        <w:pStyle w:val="7317"/>
        <w:spacing w:after="0"/>
        <w:rPr>
          <w:sz w:val="10"/>
          <w:szCs w:val="10"/>
          <w:rtl/>
        </w:rPr>
      </w:pPr>
    </w:p>
    <w:p w:rsidR="00420374" w:rsidRPr="00C62692" w:rsidP="00420374" w14:paraId="46DE29AE" w14:textId="77777777">
      <w:pPr>
        <w:pStyle w:val="73"/>
        <w:rPr>
          <w:rtl/>
        </w:rPr>
      </w:pPr>
      <w:r w:rsidRPr="00C62692">
        <w:rPr>
          <w:rtl/>
        </w:rPr>
        <w:t>פעולות הביקורת</w:t>
      </w:r>
    </w:p>
    <w:p w:rsidR="00EB672B" w:rsidP="00EB672B" w14:paraId="53F1CE4D" w14:textId="77777777">
      <w:pPr>
        <w:pStyle w:val="7317"/>
      </w:pPr>
      <w:r w:rsidRPr="001F3363">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4BEC" w:rsidR="00172450">
        <w:rPr>
          <w:noProof/>
          <w:rtl/>
        </w:rPr>
        <w:t>בהמשך לדוח הביקורת על אבטחת המידע והגנת הסייבר ברשות מקרקעי ישראל שפורסם במאי 2024 ביצע משרד מבקר המדינה במרץ 2024 מבדק חוסן יישומי (אפליקטיבי) ל</w:t>
      </w:r>
      <w:r w:rsidRPr="00604BEC" w:rsidR="00172450">
        <w:rPr>
          <w:rFonts w:hint="cs"/>
          <w:noProof/>
          <w:rtl/>
        </w:rPr>
        <w:t>אחת מ</w:t>
      </w:r>
      <w:r w:rsidRPr="00604BEC" w:rsidR="00172450">
        <w:rPr>
          <w:noProof/>
          <w:rtl/>
        </w:rPr>
        <w:t>מערכ</w:t>
      </w:r>
      <w:r w:rsidRPr="00604BEC" w:rsidR="00172450">
        <w:rPr>
          <w:rFonts w:hint="cs"/>
          <w:noProof/>
          <w:rtl/>
        </w:rPr>
        <w:t>ו</w:t>
      </w:r>
      <w:r w:rsidRPr="00604BEC" w:rsidR="00172450">
        <w:rPr>
          <w:noProof/>
          <w:rtl/>
        </w:rPr>
        <w:t>ת</w:t>
      </w:r>
      <w:r w:rsidRPr="00604BEC" w:rsidR="00172450">
        <w:rPr>
          <w:rFonts w:hint="cs"/>
          <w:noProof/>
          <w:rtl/>
        </w:rPr>
        <w:t xml:space="preserve"> המידע </w:t>
      </w:r>
      <w:r w:rsidRPr="00604BEC" w:rsidR="00172450">
        <w:rPr>
          <w:noProof/>
          <w:rtl/>
        </w:rPr>
        <w:t>של רמ"י. בדיקת החוסן נערכה בסיוע ובליווי של חברת ייעוץ חיצונית והתבצעה בסביבת בדיקות וירטואלית כדי שלא לפגוע במידע הקיים במערכת</w:t>
      </w:r>
      <w:r>
        <w:rPr>
          <w:rFonts w:hint="cs"/>
          <w:rtl/>
        </w:rPr>
        <w:t>.</w:t>
      </w:r>
      <w:r w:rsidRPr="001F3363">
        <w:rPr>
          <w:rFonts w:hint="cs"/>
          <w:rtl/>
        </w:rPr>
        <w:t xml:space="preserve"> </w:t>
      </w:r>
    </w:p>
    <w:p w:rsidR="00A50F28" w:rsidP="0076771F" w14:paraId="7E8454DB" w14:textId="77777777">
      <w:pPr>
        <w:pStyle w:val="7317"/>
        <w:rPr>
          <w:noProof/>
          <w:rtl/>
        </w:rPr>
      </w:pPr>
      <w:r w:rsidRPr="0076771F">
        <w:rPr>
          <w:noProof/>
          <w:rtl/>
        </w:rPr>
        <w:t>ועדת המשנה של הוועדה לענייני ביקורת המדינה של הכנסת החליטה שלא להניח על שולחן הכנסת ולא לפרסם חלקים מפרק זה לשם שמירה על ביטחון המדינה, בהתאם לסעיף 17 (א) לחוק מבקר המדינה, התשי"ח-1958 (נוסח משולב</w:t>
      </w:r>
      <w:r>
        <w:rPr>
          <w:rFonts w:hint="cs"/>
          <w:noProof/>
          <w:rtl/>
        </w:rPr>
        <w:t>).</w:t>
      </w:r>
    </w:p>
    <w:p w:rsidR="00A50F28" w14:paraId="35B8638C" w14:textId="77777777">
      <w:pPr>
        <w:bidi w:val="0"/>
        <w:spacing w:after="200" w:line="276" w:lineRule="auto"/>
        <w:rPr>
          <w:rFonts w:ascii="Tahoma" w:hAnsi="Tahoma" w:cs="Tahoma"/>
          <w:color w:val="0D0D0D" w:themeColor="text1" w:themeTint="F2"/>
          <w:sz w:val="18"/>
          <w:szCs w:val="18"/>
          <w:rtl/>
        </w:rPr>
      </w:pPr>
      <w:r>
        <w:rPr>
          <w:rtl/>
        </w:rPr>
        <w:br w:type="page"/>
      </w:r>
    </w:p>
    <w:p w:rsidR="00EB672B" w:rsidRPr="00275281" w:rsidP="00EB672B" w14:paraId="7DCFD3CA" w14:textId="77777777">
      <w:pPr>
        <w:pStyle w:val="73"/>
        <w:rPr>
          <w:rtl/>
        </w:rPr>
      </w:pPr>
      <w:r w:rsidRPr="00275281">
        <w:rPr>
          <w:rFonts w:hint="cs"/>
          <w:rtl/>
        </w:rPr>
        <w:t>תמונת המצב העולה מן הביקורת</w:t>
      </w:r>
    </w:p>
    <w:p w:rsidR="00EB672B" w:rsidRPr="00CF6518" w:rsidP="00EB672B" w14:paraId="28FCD5BC"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6A04FC3" w14:textId="7C9A1B20">
      <w:pPr>
        <w:pStyle w:val="7317"/>
        <w:rPr>
          <w:rtl/>
        </w:rPr>
      </w:pPr>
      <w:r w:rsidRPr="00AB2F78">
        <w:rPr>
          <w:rStyle w:val="7372"/>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04BEC" w:rsidR="008D0F61">
        <w:rPr>
          <w:rStyle w:val="7372"/>
          <w:rFonts w:hint="cs"/>
          <w:b/>
          <w:rtl/>
        </w:rPr>
        <w:t xml:space="preserve">2 </w:t>
      </w:r>
      <w:r w:rsidRPr="00604BEC" w:rsidR="008D0F61">
        <w:rPr>
          <w:rStyle w:val="7372"/>
          <w:b/>
          <w:rtl/>
        </w:rPr>
        <w:t>ליקויים ברמת סיכון בינונית</w:t>
      </w:r>
      <w:r w:rsidRPr="00604BEC" w:rsidR="008D0F61">
        <w:rPr>
          <w:rStyle w:val="7372"/>
          <w:rFonts w:hint="cs"/>
          <w:b/>
          <w:rtl/>
        </w:rPr>
        <w:t xml:space="preserve"> אותרו במבדק החוסן</w:t>
      </w:r>
      <w:r w:rsidRPr="00813E65" w:rsidR="00813E65">
        <w:rPr>
          <w:rFonts w:hint="cs"/>
          <w:b/>
          <w:bCs/>
          <w:rtl/>
        </w:rPr>
        <w:t>.</w:t>
      </w:r>
    </w:p>
    <w:p w:rsidR="00EB672B" w:rsidRPr="00AF3B73" w:rsidP="00A50F28" w14:paraId="4F20A3BC" w14:textId="3F0F979B">
      <w:pPr>
        <w:pStyle w:val="7317"/>
        <w:spacing w:after="480"/>
      </w:pPr>
      <w:r w:rsidRPr="0063556C">
        <w:rPr>
          <w:rStyle w:val="7372"/>
          <w:rFonts w:hint="cs"/>
          <w:noProof/>
          <w:rtl/>
        </w:rPr>
        <w:drawing>
          <wp:anchor distT="0" distB="0" distL="114300" distR="11430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04BEC" w:rsidR="008D0F61">
        <w:rPr>
          <w:rStyle w:val="7372"/>
          <w:rFonts w:hint="cs"/>
          <w:b/>
          <w:rtl/>
        </w:rPr>
        <w:t xml:space="preserve">11 </w:t>
      </w:r>
      <w:r w:rsidRPr="00604BEC" w:rsidR="008D0F61">
        <w:rPr>
          <w:rStyle w:val="7372"/>
          <w:b/>
          <w:rtl/>
        </w:rPr>
        <w:t xml:space="preserve">ליקויים ברמת סיכון נמוכה </w:t>
      </w:r>
      <w:r w:rsidRPr="00604BEC" w:rsidR="008D0F61">
        <w:rPr>
          <w:rStyle w:val="7372"/>
          <w:rFonts w:hint="cs"/>
          <w:b/>
          <w:rtl/>
        </w:rPr>
        <w:t>אותרו במבדק החוסן</w:t>
      </w:r>
      <w:r w:rsidR="00813E65">
        <w:rPr>
          <w:rStyle w:val="7372"/>
          <w:rFonts w:hint="cs"/>
          <w:b/>
          <w:rtl/>
        </w:rPr>
        <w:t>.</w:t>
      </w:r>
      <w:r w:rsidRPr="00AF3B73">
        <w:rPr>
          <w:rFonts w:hint="cs"/>
          <w:rtl/>
        </w:rPr>
        <w:t xml:space="preserve"> </w:t>
      </w:r>
    </w:p>
    <w:p w:rsidR="00EB672B" w:rsidRPr="006F49D3" w:rsidP="006F49D3" w14:paraId="32365078" w14:textId="77777777">
      <w:pPr>
        <w:pStyle w:val="7327"/>
        <w:rPr>
          <w:rtl/>
        </w:rPr>
      </w:pPr>
      <w:r w:rsidRPr="006F49D3">
        <w:rPr>
          <w:rFonts w:hint="cs"/>
          <w:rtl/>
        </w:rPr>
        <w:t>עיקרי המלצות הביקורת</w:t>
      </w:r>
    </w:p>
    <w:p w:rsidR="00EB672B" w:rsidP="00EB672B" w14:paraId="68B9D805" w14:textId="77777777">
      <w:pPr>
        <w:pStyle w:val="7317"/>
        <w:rPr>
          <w:rtl/>
        </w:rPr>
      </w:pPr>
      <w:r w:rsidRPr="0063556C">
        <w:rPr>
          <w:rStyle w:val="7372"/>
          <w:rFonts w:hint="cs"/>
          <w:noProof/>
          <w:rtl/>
        </w:rPr>
        <w:drawing>
          <wp:anchor distT="0" distB="360045" distL="107950" distR="114300" simplePos="0" relativeHeight="251682816" behindDoc="1" locked="0" layoutInCell="1" allowOverlap="1">
            <wp:simplePos x="0" y="0"/>
            <wp:positionH relativeFrom="column">
              <wp:posOffset>4518660</wp:posOffset>
            </wp:positionH>
            <wp:positionV relativeFrom="paragraph">
              <wp:posOffset>25400</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04BEC" w:rsidR="00FB1E35">
        <w:rPr>
          <w:rFonts w:hint="cs"/>
          <w:rtl/>
        </w:rPr>
        <w:t>על רמ"י לפעול לתיקון הליקויים שעלו בביקורת</w:t>
      </w:r>
      <w:r w:rsidRPr="007C7D40">
        <w:rPr>
          <w:rFonts w:hint="cs"/>
          <w:rtl/>
        </w:rPr>
        <w:t xml:space="preserve">. </w:t>
      </w:r>
    </w:p>
    <w:p w:rsidR="00FB1E35" w:rsidRPr="007C7D40" w:rsidP="00EB672B" w14:paraId="3CA11C25" w14:textId="77777777">
      <w:pPr>
        <w:pStyle w:val="7317"/>
      </w:pPr>
    </w:p>
    <w:p w:rsidR="005D0F8C" w:rsidP="00EB672B" w14:paraId="0BC1999A" w14:textId="77777777">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132080</wp:posOffset>
                </wp:positionH>
                <wp:positionV relativeFrom="paragraph">
                  <wp:posOffset>59690</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524400" w14:textId="77777777">
                            <w:pPr>
                              <w:pStyle w:val="7332"/>
                              <w:rPr>
                                <w:rtl/>
                              </w:rPr>
                            </w:pPr>
                            <w:r w:rsidRPr="00FB1E35">
                              <w:rPr>
                                <w:rtl/>
                              </w:rPr>
                              <w:t>ליקויים שנמצאו בבדיקת החוסן שנעשתה למערכת מידע של רמ"י במרץ 2024, בחלוקה לפי רמות סיכון</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4.7pt;margin-left:10.4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052EEEAF" w14:textId="77777777">
                      <w:pPr>
                        <w:pStyle w:val="7332"/>
                        <w:rPr>
                          <w:rtl/>
                        </w:rPr>
                      </w:pPr>
                      <w:r w:rsidRPr="00FB1E35">
                        <w:rPr>
                          <w:rtl/>
                        </w:rPr>
                        <w:t xml:space="preserve">ליקויים שנמצאו בבדיקת החוסן שנעשתה למערכת מידע של </w:t>
                      </w:r>
                      <w:r w:rsidRPr="00FB1E35">
                        <w:rPr>
                          <w:rtl/>
                        </w:rPr>
                        <w:t>רמ"י</w:t>
                      </w:r>
                      <w:r w:rsidRPr="00FB1E35">
                        <w:rPr>
                          <w:rtl/>
                        </w:rPr>
                        <w:t xml:space="preserve"> במרץ 2024, בחלוקה לפי רמות סיכון</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1D2E5A7A" w14:textId="77777777">
      <w:pPr>
        <w:pStyle w:val="7317"/>
        <w:rPr>
          <w:rtl/>
        </w:rPr>
      </w:pPr>
    </w:p>
    <w:p w:rsidR="005D0F8C" w:rsidRPr="00D57BE9" w:rsidP="00D57BE9" w14:paraId="1651B046" w14:textId="77777777">
      <w:pPr>
        <w:rPr>
          <w:rtl/>
        </w:rPr>
      </w:pPr>
    </w:p>
    <w:p w:rsidR="00D57BE9" w:rsidRPr="00D57BE9" w:rsidP="00D57BE9" w14:paraId="56E41883" w14:textId="77777777">
      <w:pPr>
        <w:rPr>
          <w:rtl/>
        </w:rPr>
      </w:pPr>
      <w:r>
        <w:rPr>
          <w:noProof/>
          <w:rtl/>
          <w:lang w:val="he-IL"/>
        </w:rPr>
        <w:drawing>
          <wp:inline distT="0" distB="0" distL="0" distR="0">
            <wp:extent cx="4592135" cy="3223260"/>
            <wp:effectExtent l="0" t="0" r="5715" b="254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6"/>
                    <a:srcRect l="11080" t="10043" r="13695" b="10636"/>
                    <a:stretch>
                      <a:fillRect/>
                    </a:stretch>
                  </pic:blipFill>
                  <pic:spPr bwMode="auto">
                    <a:xfrm>
                      <a:off x="0" y="0"/>
                      <a:ext cx="4624898" cy="3246257"/>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62505" w14:paraId="078D447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51875746" w14:textId="77777777">
      <w:pPr>
        <w:pStyle w:val="73"/>
        <w:rPr>
          <w:rtl/>
        </w:rPr>
      </w:pPr>
      <w:r w:rsidRPr="00EF3061">
        <w:rPr>
          <w:rFonts w:hint="cs"/>
          <w:rtl/>
        </w:rPr>
        <w:t>סיכום</w:t>
      </w:r>
    </w:p>
    <w:p w:rsidR="00FB1E35" w:rsidRPr="00604BEC" w:rsidP="00FB1E35" w14:paraId="502C096C" w14:textId="77777777">
      <w:pPr>
        <w:widowControl w:val="0"/>
        <w:tabs>
          <w:tab w:val="left" w:pos="9604"/>
        </w:tabs>
        <w:spacing w:before="240" w:line="276" w:lineRule="auto"/>
        <w:ind w:left="-1"/>
        <w:rPr>
          <w:rFonts w:ascii="Tahoma" w:hAnsi="Tahoma" w:cs="Tahoma"/>
          <w:sz w:val="18"/>
          <w:szCs w:val="18"/>
          <w:rtl/>
        </w:rPr>
      </w:pPr>
      <w:r w:rsidRPr="00604BEC">
        <w:rPr>
          <w:rFonts w:ascii="Tahoma" w:hAnsi="Tahoma" w:cs="Tahoma"/>
          <w:sz w:val="18"/>
          <w:szCs w:val="18"/>
          <w:rtl/>
        </w:rPr>
        <w:t>רמ"י מקצה קרקעות למגורים, מסחר ותעשייה מדי שנה בשווי כולל של מיליארדי ש"ח. המידע והמסמכים הנאספים במערכ</w:t>
      </w:r>
      <w:r w:rsidRPr="00604BEC">
        <w:rPr>
          <w:rFonts w:ascii="Tahoma" w:hAnsi="Tahoma" w:cs="Tahoma" w:hint="cs"/>
          <w:sz w:val="18"/>
          <w:szCs w:val="18"/>
          <w:rtl/>
        </w:rPr>
        <w:t>ות המידע של רמ"י</w:t>
      </w:r>
      <w:r w:rsidRPr="00604BEC">
        <w:rPr>
          <w:rFonts w:ascii="Tahoma" w:hAnsi="Tahoma" w:cs="Tahoma"/>
          <w:sz w:val="18"/>
          <w:szCs w:val="18"/>
          <w:rtl/>
        </w:rPr>
        <w:t xml:space="preserve"> הם רגישים, ופגיעה בסודיות, בשלמות או בזמינות של המידע שבמערכת עלולה לגרום נזק כלכלי למדינת ישראל.</w:t>
      </w:r>
    </w:p>
    <w:p w:rsidR="00FB1E35" w:rsidRPr="00604BEC" w:rsidP="00FB1E35" w14:paraId="44724AC7" w14:textId="77777777">
      <w:pPr>
        <w:widowControl w:val="0"/>
        <w:tabs>
          <w:tab w:val="left" w:pos="9604"/>
        </w:tabs>
        <w:spacing w:before="240" w:line="276" w:lineRule="auto"/>
        <w:ind w:left="-1"/>
        <w:rPr>
          <w:rFonts w:ascii="Tahoma" w:hAnsi="Tahoma" w:cs="Tahoma"/>
          <w:sz w:val="18"/>
          <w:szCs w:val="18"/>
          <w:rtl/>
        </w:rPr>
      </w:pPr>
      <w:r w:rsidRPr="00604BEC">
        <w:rPr>
          <w:rFonts w:ascii="Tahoma" w:hAnsi="Tahoma" w:cs="Tahoma"/>
          <w:sz w:val="18"/>
          <w:szCs w:val="18"/>
          <w:rtl/>
        </w:rPr>
        <w:t>משרד מבקר המדינה ביצע בדיקת חוסן ב</w:t>
      </w:r>
      <w:r w:rsidRPr="00604BEC">
        <w:rPr>
          <w:rFonts w:ascii="Tahoma" w:hAnsi="Tahoma" w:cs="Tahoma" w:hint="cs"/>
          <w:sz w:val="18"/>
          <w:szCs w:val="18"/>
          <w:rtl/>
        </w:rPr>
        <w:t>אחת מ</w:t>
      </w:r>
      <w:r w:rsidRPr="00604BEC">
        <w:rPr>
          <w:rFonts w:ascii="Tahoma" w:hAnsi="Tahoma" w:cs="Tahoma"/>
          <w:sz w:val="18"/>
          <w:szCs w:val="18"/>
          <w:rtl/>
        </w:rPr>
        <w:t>מערכ</w:t>
      </w:r>
      <w:r w:rsidRPr="00604BEC">
        <w:rPr>
          <w:rFonts w:ascii="Tahoma" w:hAnsi="Tahoma" w:cs="Tahoma" w:hint="cs"/>
          <w:sz w:val="18"/>
          <w:szCs w:val="18"/>
          <w:rtl/>
        </w:rPr>
        <w:t>ו</w:t>
      </w:r>
      <w:r w:rsidRPr="00604BEC">
        <w:rPr>
          <w:rFonts w:ascii="Tahoma" w:hAnsi="Tahoma" w:cs="Tahoma"/>
          <w:sz w:val="18"/>
          <w:szCs w:val="18"/>
          <w:rtl/>
        </w:rPr>
        <w:t xml:space="preserve">ת </w:t>
      </w:r>
      <w:r w:rsidRPr="00604BEC">
        <w:rPr>
          <w:rFonts w:ascii="Tahoma" w:hAnsi="Tahoma" w:cs="Tahoma" w:hint="cs"/>
          <w:sz w:val="18"/>
          <w:szCs w:val="18"/>
          <w:rtl/>
        </w:rPr>
        <w:t xml:space="preserve">המידע </w:t>
      </w:r>
      <w:r w:rsidRPr="00604BEC">
        <w:rPr>
          <w:rFonts w:ascii="Tahoma" w:hAnsi="Tahoma" w:cs="Tahoma"/>
          <w:sz w:val="18"/>
          <w:szCs w:val="18"/>
          <w:rtl/>
        </w:rPr>
        <w:t>של רמ"י.</w:t>
      </w:r>
      <w:r w:rsidR="000C779D">
        <w:rPr>
          <w:rFonts w:ascii="Tahoma" w:hAnsi="Tahoma" w:cs="Tahoma" w:hint="cs"/>
          <w:sz w:val="18"/>
          <w:szCs w:val="18"/>
          <w:rtl/>
        </w:rPr>
        <w:t xml:space="preserve"> </w:t>
      </w:r>
      <w:r w:rsidRPr="00604BEC">
        <w:rPr>
          <w:rFonts w:ascii="Tahoma" w:hAnsi="Tahoma" w:cs="Tahoma"/>
          <w:sz w:val="18"/>
          <w:szCs w:val="18"/>
          <w:rtl/>
        </w:rPr>
        <w:t>הבדיקה העלתה בין היתר ליקויים בשירותי הגישה למערכת  וב</w:t>
      </w:r>
      <w:r w:rsidRPr="00604BEC">
        <w:rPr>
          <w:rFonts w:ascii="Tahoma" w:hAnsi="Tahoma" w:cs="Tahoma" w:hint="cs"/>
          <w:sz w:val="18"/>
          <w:szCs w:val="18"/>
          <w:rtl/>
        </w:rPr>
        <w:t>אחת ה</w:t>
      </w:r>
      <w:r w:rsidRPr="00604BEC">
        <w:rPr>
          <w:rFonts w:ascii="Tahoma" w:hAnsi="Tahoma" w:cs="Tahoma"/>
          <w:sz w:val="18"/>
          <w:szCs w:val="18"/>
          <w:rtl/>
        </w:rPr>
        <w:t>אפליקצי</w:t>
      </w:r>
      <w:r w:rsidRPr="00604BEC">
        <w:rPr>
          <w:rFonts w:ascii="Tahoma" w:hAnsi="Tahoma" w:cs="Tahoma" w:hint="cs"/>
          <w:sz w:val="18"/>
          <w:szCs w:val="18"/>
          <w:rtl/>
        </w:rPr>
        <w:t>ו</w:t>
      </w:r>
      <w:r w:rsidRPr="00604BEC">
        <w:rPr>
          <w:rFonts w:ascii="Tahoma" w:hAnsi="Tahoma" w:cs="Tahoma"/>
          <w:sz w:val="18"/>
          <w:szCs w:val="18"/>
          <w:rtl/>
        </w:rPr>
        <w:t xml:space="preserve">ת. </w:t>
      </w:r>
    </w:p>
    <w:p w:rsidR="00FB1E35" w:rsidRPr="00604BEC" w:rsidP="00FB1E35" w14:paraId="6FAB8643" w14:textId="77777777">
      <w:pPr>
        <w:widowControl w:val="0"/>
        <w:tabs>
          <w:tab w:val="left" w:pos="9604"/>
        </w:tabs>
        <w:spacing w:before="240" w:line="276" w:lineRule="auto"/>
        <w:ind w:left="-1"/>
        <w:rPr>
          <w:rFonts w:ascii="Tahoma" w:hAnsi="Tahoma" w:cs="Tahoma"/>
          <w:sz w:val="18"/>
          <w:szCs w:val="18"/>
          <w:rtl/>
        </w:rPr>
      </w:pPr>
      <w:r w:rsidRPr="00604BEC">
        <w:rPr>
          <w:rFonts w:ascii="Tahoma" w:hAnsi="Tahoma" w:cs="Tahoma"/>
          <w:sz w:val="18"/>
          <w:szCs w:val="18"/>
          <w:rtl/>
        </w:rPr>
        <w:t>על רמ"י לפעול לתיקון הליקויים שעלו בביקורת.</w:t>
      </w:r>
    </w:p>
    <w:p w:rsidR="00AD1000" w:rsidP="00FB1E35" w14:paraId="224AAD9B" w14:textId="77777777">
      <w:pPr>
        <w:widowControl w:val="0"/>
        <w:tabs>
          <w:tab w:val="left" w:pos="9604"/>
        </w:tabs>
        <w:spacing w:before="240" w:line="276" w:lineRule="auto"/>
        <w:ind w:left="-1"/>
        <w:rPr>
          <w:rFonts w:ascii="Tahoma" w:hAnsi="Tahoma" w:cs="Tahoma"/>
          <w:sz w:val="18"/>
          <w:szCs w:val="18"/>
          <w:rtl/>
        </w:rPr>
      </w:pPr>
      <w:r w:rsidRPr="00604BEC">
        <w:rPr>
          <w:rFonts w:ascii="Tahoma" w:hAnsi="Tahoma" w:cs="Tahoma"/>
          <w:sz w:val="18"/>
          <w:szCs w:val="18"/>
          <w:rtl/>
        </w:rPr>
        <w:t xml:space="preserve">רמ"י מסרה בתשובתה לטיוטת הדוח כי </w:t>
      </w:r>
      <w:r w:rsidR="000C779D">
        <w:rPr>
          <w:rFonts w:ascii="Tahoma" w:hAnsi="Tahoma" w:cs="Tahoma" w:hint="cs"/>
          <w:sz w:val="18"/>
          <w:szCs w:val="18"/>
          <w:rtl/>
        </w:rPr>
        <w:t xml:space="preserve">היא </w:t>
      </w:r>
      <w:r w:rsidRPr="00604BEC">
        <w:rPr>
          <w:rFonts w:ascii="Tahoma" w:hAnsi="Tahoma" w:cs="Tahoma"/>
          <w:sz w:val="18"/>
          <w:szCs w:val="18"/>
          <w:rtl/>
        </w:rPr>
        <w:t>פועלת לתיקון הליקויים וליישום מרבית ההמלצות</w:t>
      </w:r>
      <w:r>
        <w:rPr>
          <w:rFonts w:ascii="Tahoma" w:hAnsi="Tahoma" w:cs="Tahoma" w:hint="cs"/>
          <w:sz w:val="18"/>
          <w:szCs w:val="18"/>
          <w:rtl/>
        </w:rPr>
        <w:t>.</w:t>
      </w:r>
    </w:p>
    <w:p w:rsidR="00D57BE9" w:rsidP="004A6E79" w14:paraId="25F2D120" w14:textId="77777777">
      <w:pPr>
        <w:pStyle w:val="7392"/>
        <w:rPr>
          <w:rtl/>
        </w:rPr>
      </w:pPr>
    </w:p>
    <w:sectPr w:rsidSect="00360E5C">
      <w:headerReference w:type="default" r:id="rId27"/>
      <w:pgSz w:w="11906" w:h="16838" w:code="9"/>
      <w:pgMar w:top="3062" w:right="2268" w:bottom="2552" w:left="2268" w:header="1134" w:footer="1361" w:gutter="0"/>
      <w:pgNumType w:start="13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6675B" w14:paraId="0894BAF0" w14:textId="77777777">
      <w:pPr>
        <w:spacing w:line="240" w:lineRule="auto"/>
      </w:pPr>
      <w:r>
        <w:separator/>
      </w:r>
    </w:p>
    <w:p w:rsidR="0076675B" w14:paraId="4CD434CC" w14:textId="77777777"/>
    <w:p w:rsidR="0076675B" w14:paraId="03FA4503" w14:textId="77777777"/>
    <w:p w:rsidR="0076675B" w14:paraId="333641D5" w14:textId="77777777"/>
  </w:endnote>
  <w:endnote w:type="continuationSeparator" w:id="1">
    <w:p w:rsidR="0076675B" w14:paraId="6049E5BE" w14:textId="77777777">
      <w:pPr>
        <w:spacing w:line="240" w:lineRule="auto"/>
      </w:pPr>
      <w:r>
        <w:continuationSeparator/>
      </w:r>
    </w:p>
    <w:p w:rsidR="0076675B" w14:paraId="0DFF8537" w14:textId="77777777"/>
    <w:p w:rsidR="0076675B" w14:paraId="1EA644A2" w14:textId="77777777"/>
    <w:p w:rsidR="0076675B" w14:paraId="6BA3B06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4FD16490" w14:textId="77777777">
    <w:pPr>
      <w:pStyle w:val="Footer"/>
      <w:spacing w:after="120" w:line="312" w:lineRule="auto"/>
      <w:ind w:left="-510"/>
      <w:jc w:val="left"/>
      <w:rPr>
        <w:rFonts w:ascii="Tahoma" w:hAnsi="Tahoma" w:cs="Tahoma"/>
        <w:sz w:val="18"/>
        <w:szCs w:val="18"/>
        <w:rtl/>
      </w:rPr>
    </w:pPr>
  </w:p>
  <w:p w:rsidR="004A6E79" w:rsidP="004A6E79" w14:paraId="2F0BB5DD"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6F4CB90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2E581D2F"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56468F9"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60B5" w14:paraId="5C568A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6675B" w:rsidP="00E7235E" w14:paraId="51FC2E95" w14:textId="77777777">
      <w:pPr>
        <w:spacing w:line="240" w:lineRule="auto"/>
      </w:pPr>
      <w:r>
        <w:separator/>
      </w:r>
    </w:p>
  </w:footnote>
  <w:footnote w:type="continuationSeparator" w:id="1">
    <w:p w:rsidR="0076675B" w:rsidP="00C23CC9" w14:paraId="0D6700BC" w14:textId="77777777">
      <w:pPr>
        <w:spacing w:line="240" w:lineRule="auto"/>
      </w:pPr>
      <w:r>
        <w:continuationSeparator/>
      </w:r>
    </w:p>
    <w:p w:rsidR="0076675B" w14:paraId="4393F667" w14:textId="77777777"/>
    <w:p w:rsidR="0076675B" w14:paraId="1E60998C" w14:textId="77777777"/>
    <w:p w:rsidR="0076675B" w14:paraId="7AEF5850" w14:textId="77777777"/>
  </w:footnote>
  <w:footnote w:id="2">
    <w:p w:rsidR="00045827" w:rsidRPr="008D0F61" w:rsidP="008D0F61" w14:paraId="6F4D8CD8" w14:textId="77777777">
      <w:pPr>
        <w:pStyle w:val="712"/>
        <w:rPr>
          <w:rtl/>
        </w:rPr>
      </w:pPr>
      <w:r w:rsidRPr="008D0F61">
        <w:rPr>
          <w:rStyle w:val="FootnoteReference2"/>
          <w:vertAlign w:val="baseline"/>
        </w:rPr>
        <w:footnoteRef/>
      </w:r>
      <w:r w:rsidRPr="008D0F61">
        <w:rPr>
          <w:rtl/>
        </w:rPr>
        <w:t xml:space="preserve"> </w:t>
      </w:r>
      <w:r w:rsidRPr="008D0F61">
        <w:rPr>
          <w:rtl/>
        </w:rPr>
        <w:tab/>
      </w:r>
      <w:bookmarkStart w:id="1" w:name="_Hlk194401301"/>
      <w:r w:rsidRPr="008D0F61">
        <w:rPr>
          <w:rtl/>
        </w:rPr>
        <w:t xml:space="preserve">מרכז השליטה והבקרה הממשלתי בנושא איומי סייבר, העוסק בגיבוש תמונת </w:t>
      </w:r>
      <w:r w:rsidRPr="008D0F61">
        <w:rPr>
          <w:rFonts w:hint="cs"/>
          <w:rtl/>
        </w:rPr>
        <w:t>ה</w:t>
      </w:r>
      <w:r w:rsidRPr="008D0F61">
        <w:rPr>
          <w:rtl/>
        </w:rPr>
        <w:t xml:space="preserve">מצב </w:t>
      </w:r>
      <w:r w:rsidRPr="008D0F61">
        <w:rPr>
          <w:rFonts w:hint="cs"/>
          <w:rtl/>
        </w:rPr>
        <w:t>ה</w:t>
      </w:r>
      <w:r w:rsidRPr="008D0F61">
        <w:rPr>
          <w:rtl/>
        </w:rPr>
        <w:t xml:space="preserve">ממשלתית </w:t>
      </w:r>
      <w:r w:rsidRPr="008D0F61">
        <w:rPr>
          <w:rFonts w:hint="cs"/>
          <w:rtl/>
        </w:rPr>
        <w:t>ה</w:t>
      </w:r>
      <w:r w:rsidRPr="008D0F61">
        <w:rPr>
          <w:rtl/>
        </w:rPr>
        <w:t>שוטפת בהיבטי הגנת סייבר ובמתן מענה לאירועי סייבר (</w:t>
      </w:r>
      <w:r w:rsidRPr="008D0F61">
        <w:t>SOC - Security Operation Center</w:t>
      </w:r>
      <w:r w:rsidRPr="008D0F61">
        <w:rPr>
          <w:rtl/>
        </w:rPr>
        <w:t>).</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71DA7096"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641E1410"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70F4A77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74C97185"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6F14EDBB"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0D211A9B"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02E0D85B"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09A0FD5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1AC0177B"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06D8DECC"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48E7F361"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77777777">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171B47B" w14:textId="77777777">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5C434ED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FEC3855"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2674AA1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4439E307" w14:textId="77777777">
    <w:pPr>
      <w:pStyle w:val="Header"/>
      <w:ind w:firstLine="720"/>
      <w:rPr>
        <w:rtl/>
      </w:rPr>
    </w:pPr>
  </w:p>
  <w:p w:rsidR="00F73EE0" w14:paraId="7BC76EB0" w14:textId="77777777">
    <w:pPr>
      <w:pStyle w:val="Header"/>
      <w:rPr>
        <w:rtl/>
      </w:rPr>
    </w:pPr>
  </w:p>
  <w:p w:rsidR="00F73EE0" w14:paraId="2CEE4C6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0860B5">
                            <w:rPr>
                              <w:rFonts w:ascii="Tahoma" w:hAnsi="Tahoma" w:eastAsiaTheme="minorHAnsi" w:cs="Tahoma"/>
                              <w:bCs w:val="0"/>
                              <w:color w:val="0D0D0D" w:themeColor="text1" w:themeTint="F2"/>
                              <w:sz w:val="16"/>
                              <w:szCs w:val="16"/>
                              <w:u w:val="none"/>
                              <w:rtl/>
                            </w:rPr>
                            <w:t>אבטחת המידע והגנת הסייבר ברשות מקרקעי ישראל - תוצאות מבדק חוסן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BBE58D7"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0860B5">
                      <w:rPr>
                        <w:rFonts w:ascii="Tahoma" w:hAnsi="Tahoma" w:eastAsiaTheme="minorHAnsi" w:cs="Tahoma"/>
                        <w:bCs w:val="0"/>
                        <w:color w:val="0D0D0D" w:themeColor="text1" w:themeTint="F2"/>
                        <w:sz w:val="16"/>
                        <w:szCs w:val="16"/>
                        <w:u w:val="none"/>
                        <w:rtl/>
                      </w:rPr>
                      <w:t>אבטחת המידע והגנת הסייבר ברשות מקרקעי ישראל - תוצאות מבדק חוסן</w:t>
                    </w:r>
                  </w:p>
                </w:txbxContent>
              </v:textbox>
              <w10:wrap type="square"/>
            </v:shape>
          </w:pict>
        </mc:Fallback>
      </mc:AlternateContent>
    </w:r>
  </w:p>
  <w:p w:rsidR="00F73EE0" w:rsidP="009620E7" w14:paraId="4CF5C5A3"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56F1B41E"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5B52B9D5"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8A7100"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0860B5" w:rsidR="000860B5">
                            <w:rPr>
                              <w:rFonts w:ascii="Tahoma" w:hAnsi="Tahoma" w:cs="Tahoma"/>
                              <w:b/>
                              <w:bCs/>
                              <w:rtl/>
                            </w:rPr>
                            <w:t>אבטחת המידע והגנת הסייבר ברשות מקרקעי ישראל - תוצאות מבדק חוסן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8A7100" w14:paraId="706F01DD"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0860B5" w:rsidR="000860B5">
                      <w:rPr>
                        <w:rFonts w:ascii="Tahoma" w:hAnsi="Tahoma" w:cs="Tahoma"/>
                        <w:b/>
                        <w:bCs/>
                        <w:rtl/>
                      </w:rPr>
                      <w:t>אבטחת המידע והגנת הסייבר ברשות מקרקעי ישראל - תוצאות מבדק חוסן</w:t>
                    </w:r>
                  </w:p>
                </w:txbxContent>
              </v:textbox>
              <w10:wrap type="square"/>
            </v:shape>
          </w:pict>
        </mc:Fallback>
      </mc:AlternateContent>
    </w:r>
  </w:p>
  <w:p w:rsidR="00E56721" w:rsidP="001526AC" w14:paraId="1197CF2D"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07F3A786"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77777777">
                          <w:pPr>
                            <w:jc w:val="right"/>
                            <w:rPr>
                              <w:color w:val="0D0D0D" w:themeColor="text1" w:themeTint="F2"/>
                              <w:sz w:val="16"/>
                              <w:szCs w:val="16"/>
                            </w:rPr>
                          </w:pPr>
                          <w:r w:rsidRPr="00B66A3F">
                            <w:rPr>
                              <w:rFonts w:ascii="Tahoma" w:hAnsi="Tahoma" w:cs="Tahoma"/>
                              <w:color w:val="0D0D0D"/>
                              <w:sz w:val="16"/>
                              <w:szCs w:val="16"/>
                              <w:rtl/>
                            </w:rPr>
                            <w:t xml:space="preserve">דוח מבקר המדינה | </w:t>
                          </w:r>
                          <w:r w:rsidR="00005C82">
                            <w:rPr>
                              <w:rFonts w:ascii="Tahoma" w:hAnsi="Tahoma" w:cs="Tahoma" w:hint="cs"/>
                              <w:color w:val="0D0D0D"/>
                              <w:sz w:val="16"/>
                              <w:szCs w:val="16"/>
                              <w:rtl/>
                            </w:rPr>
                            <w:t>אייר</w:t>
                          </w:r>
                          <w:r w:rsidRPr="00B66A3F">
                            <w:rPr>
                              <w:rFonts w:ascii="Tahoma" w:hAnsi="Tahoma" w:cs="Tahoma"/>
                              <w:color w:val="0D0D0D"/>
                              <w:sz w:val="16"/>
                              <w:szCs w:val="16"/>
                              <w:rtl/>
                            </w:rPr>
                            <w:t xml:space="preserve"> התשפ"ה | </w:t>
                          </w:r>
                          <w:r w:rsidR="00005C82">
                            <w:rPr>
                              <w:rFonts w:ascii="Tahoma" w:hAnsi="Tahoma" w:cs="Tahoma" w:hint="cs"/>
                              <w:color w:val="0D0D0D"/>
                              <w:sz w:val="16"/>
                              <w:szCs w:val="16"/>
                              <w:rtl/>
                            </w:rPr>
                            <w:t>מאי</w:t>
                          </w:r>
                          <w:r w:rsidRPr="00B66A3F">
                            <w:rPr>
                              <w:rFonts w:ascii="Tahoma" w:hAnsi="Tahoma" w:cs="Tahoma"/>
                              <w:color w:val="0D0D0D"/>
                              <w:sz w:val="16"/>
                              <w:szCs w:val="16"/>
                              <w:rtl/>
                            </w:rPr>
                            <w:t xml:space="preserve"> 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49314A82" w14:textId="77777777">
                    <w:pPr>
                      <w:jc w:val="right"/>
                      <w:rPr>
                        <w:color w:val="0D0D0D" w:themeColor="text1" w:themeTint="F2"/>
                        <w:sz w:val="16"/>
                        <w:szCs w:val="16"/>
                      </w:rPr>
                    </w:pPr>
                    <w:r w:rsidRPr="00B66A3F">
                      <w:rPr>
                        <w:rFonts w:ascii="Tahoma" w:hAnsi="Tahoma" w:cs="Tahoma"/>
                        <w:color w:val="0D0D0D"/>
                        <w:sz w:val="16"/>
                        <w:szCs w:val="16"/>
                        <w:rtl/>
                      </w:rPr>
                      <w:t xml:space="preserve">דוח מבקר המדינה | </w:t>
                    </w:r>
                    <w:r w:rsidR="00005C82">
                      <w:rPr>
                        <w:rFonts w:ascii="Tahoma" w:hAnsi="Tahoma" w:cs="Tahoma" w:hint="cs"/>
                        <w:color w:val="0D0D0D"/>
                        <w:sz w:val="16"/>
                        <w:szCs w:val="16"/>
                        <w:rtl/>
                      </w:rPr>
                      <w:t>אייר</w:t>
                    </w:r>
                    <w:r w:rsidRPr="00B66A3F">
                      <w:rPr>
                        <w:rFonts w:ascii="Tahoma" w:hAnsi="Tahoma" w:cs="Tahoma"/>
                        <w:color w:val="0D0D0D"/>
                        <w:sz w:val="16"/>
                        <w:szCs w:val="16"/>
                        <w:rtl/>
                      </w:rPr>
                      <w:t xml:space="preserve"> </w:t>
                    </w:r>
                    <w:r w:rsidRPr="00B66A3F">
                      <w:rPr>
                        <w:rFonts w:ascii="Tahoma" w:hAnsi="Tahoma" w:cs="Tahoma"/>
                        <w:color w:val="0D0D0D"/>
                        <w:sz w:val="16"/>
                        <w:szCs w:val="16"/>
                        <w:rtl/>
                      </w:rPr>
                      <w:t>התשפ"ה</w:t>
                    </w:r>
                    <w:r w:rsidRPr="00B66A3F">
                      <w:rPr>
                        <w:rFonts w:ascii="Tahoma" w:hAnsi="Tahoma" w:cs="Tahoma"/>
                        <w:color w:val="0D0D0D"/>
                        <w:sz w:val="16"/>
                        <w:szCs w:val="16"/>
                        <w:rtl/>
                      </w:rPr>
                      <w:t xml:space="preserve"> | </w:t>
                    </w:r>
                    <w:r w:rsidR="00005C82">
                      <w:rPr>
                        <w:rFonts w:ascii="Tahoma" w:hAnsi="Tahoma" w:cs="Tahoma" w:hint="cs"/>
                        <w:color w:val="0D0D0D"/>
                        <w:sz w:val="16"/>
                        <w:szCs w:val="16"/>
                        <w:rtl/>
                      </w:rPr>
                      <w:t>מאי</w:t>
                    </w:r>
                    <w:r w:rsidRPr="00B66A3F">
                      <w:rPr>
                        <w:rFonts w:ascii="Tahoma" w:hAnsi="Tahoma" w:cs="Tahoma"/>
                        <w:color w:val="0D0D0D"/>
                        <w:sz w:val="16"/>
                        <w:szCs w:val="16"/>
                        <w:rtl/>
                      </w:rPr>
                      <w:t xml:space="preserve"> 2025</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3"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6" w15:restartNumberingAfterBreak="0">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8" w15:restartNumberingAfterBreak="0">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5"/>
  </w:num>
  <w:num w:numId="2" w16cid:durableId="159808484">
    <w:abstractNumId w:val="2"/>
  </w:num>
  <w:num w:numId="3" w16cid:durableId="2074310673">
    <w:abstractNumId w:val="3"/>
  </w:num>
  <w:num w:numId="4" w16cid:durableId="1596554476">
    <w:abstractNumId w:val="8"/>
  </w:num>
  <w:num w:numId="5" w16cid:durableId="781269690">
    <w:abstractNumId w:val="0"/>
  </w:num>
  <w:num w:numId="6" w16cid:durableId="1087919862">
    <w:abstractNumId w:val="4"/>
  </w:num>
  <w:num w:numId="7" w16cid:durableId="1266497691">
    <w:abstractNumId w:val="7"/>
  </w:num>
  <w:num w:numId="8" w16cid:durableId="1873692319">
    <w:abstractNumId w:val="1"/>
  </w:num>
  <w:num w:numId="9" w16cid:durableId="105750742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65"/>
  <w:displayBackgroundShape/>
  <w:gutterAtTop/>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C82"/>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5ED"/>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448"/>
    <w:rsid w:val="000456D3"/>
    <w:rsid w:val="00045827"/>
    <w:rsid w:val="00046670"/>
    <w:rsid w:val="000470AE"/>
    <w:rsid w:val="00047119"/>
    <w:rsid w:val="00047976"/>
    <w:rsid w:val="00047A92"/>
    <w:rsid w:val="00047CF6"/>
    <w:rsid w:val="000501A4"/>
    <w:rsid w:val="00050419"/>
    <w:rsid w:val="00050995"/>
    <w:rsid w:val="00050BDE"/>
    <w:rsid w:val="00050DDE"/>
    <w:rsid w:val="0005218A"/>
    <w:rsid w:val="00052281"/>
    <w:rsid w:val="0005269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595"/>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0B5"/>
    <w:rsid w:val="0008625B"/>
    <w:rsid w:val="00086738"/>
    <w:rsid w:val="00086BCD"/>
    <w:rsid w:val="00087176"/>
    <w:rsid w:val="00087686"/>
    <w:rsid w:val="0008779C"/>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C779D"/>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450"/>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3BAE"/>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582"/>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36"/>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C6B"/>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E5C"/>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29FF"/>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B19"/>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B1C"/>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1E6E"/>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283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BEC"/>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1F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456"/>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3DF0"/>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5B"/>
    <w:rsid w:val="0076677C"/>
    <w:rsid w:val="00766829"/>
    <w:rsid w:val="00766AEC"/>
    <w:rsid w:val="0076737F"/>
    <w:rsid w:val="0076771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2E7A"/>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AA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0F49"/>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3E65"/>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1F5"/>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8F3"/>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AA8"/>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0F61"/>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16C"/>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1E0"/>
    <w:rsid w:val="009B75F0"/>
    <w:rsid w:val="009B7AD5"/>
    <w:rsid w:val="009B7D1B"/>
    <w:rsid w:val="009C01B9"/>
    <w:rsid w:val="009C0342"/>
    <w:rsid w:val="009C0408"/>
    <w:rsid w:val="009C12CC"/>
    <w:rsid w:val="009C161A"/>
    <w:rsid w:val="009C1DAD"/>
    <w:rsid w:val="009C1E60"/>
    <w:rsid w:val="009C344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0F28"/>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D14"/>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4F33"/>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4D14"/>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9D4"/>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6FE5"/>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301"/>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1E35"/>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LP1,פיסקת bullets,Bullet List,FooterText,List Paragraph_0,List Paragraph_1,List Paragraph_2,Paragraphe de liste1,lp1,numbered,List Paragraph1,style 2"/>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Bullet List תו,FooterText תו,List Paragraph_0 תו,List Paragraph_1 תו,List Paragraph_2 תו,Paragraphe de liste1 תו,lp1 תו,numbered תו,List Paragraph1 תו,style 2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0458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emf" /><Relationship Id="rId27" Type="http://schemas.openxmlformats.org/officeDocument/2006/relationships/header" Target="header5.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2.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32EDF087-AAC4-4A50-BE15-E2CA768C5921}"/>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5</TotalTime>
  <Pages>6</Pages>
  <Words>456</Words>
  <Characters>2284</Characters>
  <Application>Microsoft Office Word</Application>
  <DocSecurity>0</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studio er</cp:lastModifiedBy>
  <cp:revision>13</cp:revision>
  <cp:lastPrinted>2023-07-16T07:57:00Z</cp:lastPrinted>
  <dcterms:created xsi:type="dcterms:W3CDTF">2025-04-28T07:27:00Z</dcterms:created>
  <dcterms:modified xsi:type="dcterms:W3CDTF">2025-04-28T12:51:00Z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