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B2E28" w:rsidRDefault="00A8413A" w:rsidP="001F3363">
      <w:pPr>
        <w:rPr>
          <w:rtl/>
        </w:rPr>
      </w:pPr>
      <w:r>
        <w:rPr>
          <w:noProof/>
        </w:rPr>
        <mc:AlternateContent>
          <mc:Choice Requires="wps">
            <w:drawing>
              <wp:anchor distT="0" distB="0" distL="114300" distR="114300" simplePos="0" relativeHeight="251672576"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42880" from="-46.45pt,-19.2pt" to="482.8pt,-19.2pt" strokecolor="white"/>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alt="&quot;&quot;" style="width:1596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bookmarkStart w:id="0" w:name="_Hlk63775048"/>
      <w:bookmarkEnd w:id="0"/>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RDefault="008B694B" w:rsidP="005169B9">
      <w:pPr>
        <w:rPr>
          <w:rtl/>
        </w:rPr>
      </w:pPr>
    </w:p>
    <w:p w:rsidR="008B2E28" w:rsidRDefault="00A8413A" w:rsidP="008D2388">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RDefault="008B2E28" w:rsidP="008D2388">
      <w:pPr>
        <w:spacing w:line="240" w:lineRule="atLeast"/>
        <w:jc w:val="center"/>
        <w:rPr>
          <w:rFonts w:ascii="Tahoma" w:hAnsi="Tahoma" w:cs="Tahoma"/>
          <w:sz w:val="22"/>
          <w:szCs w:val="22"/>
          <w:rtl/>
        </w:rPr>
      </w:pPr>
    </w:p>
    <w:p w:rsidR="008B2E28" w:rsidRDefault="008B2E28" w:rsidP="008D2388">
      <w:pPr>
        <w:spacing w:line="240" w:lineRule="atLeast"/>
        <w:jc w:val="center"/>
        <w:rPr>
          <w:rFonts w:ascii="Tahoma" w:hAnsi="Tahoma" w:cs="Tahoma"/>
          <w:sz w:val="22"/>
          <w:szCs w:val="22"/>
          <w:rtl/>
        </w:rPr>
      </w:pPr>
    </w:p>
    <w:p w:rsidR="003C32FE" w:rsidRPr="00170230" w:rsidRDefault="003C32FE" w:rsidP="003C32FE">
      <w:pPr>
        <w:spacing w:line="240" w:lineRule="atLeast"/>
        <w:jc w:val="center"/>
        <w:rPr>
          <w:rFonts w:ascii="Tahoma" w:hAnsi="Tahoma" w:cs="Tahoma"/>
          <w:szCs w:val="18"/>
          <w:rtl/>
        </w:rPr>
      </w:pPr>
    </w:p>
    <w:p w:rsidR="003C32FE" w:rsidRDefault="00A8413A"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340126</wp:posOffset>
                </wp:positionH>
                <wp:positionV relativeFrom="paragraph">
                  <wp:posOffset>1896745</wp:posOffset>
                </wp:positionV>
                <wp:extent cx="2598553" cy="0"/>
                <wp:effectExtent l="12700" t="12700" r="5080" b="12700"/>
                <wp:wrapNone/>
                <wp:docPr id="8" name="Straight Connector 8"/>
                <wp:cNvGraphicFramePr/>
                <a:graphic xmlns:a="http://schemas.openxmlformats.org/drawingml/2006/main">
                  <a:graphicData uri="http://schemas.microsoft.com/office/word/2010/wordprocessingShape">
                    <wps:wsp>
                      <wps:cNvCnPr/>
                      <wps:spPr>
                        <a:xfrm flipH="1">
                          <a:off x="0" y="0"/>
                          <a:ext cx="2598553"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9" style="flip:x;mso-height-percent:0;mso-height-relative:margin;mso-width-percent:0;mso-width-relative:margin;mso-wrap-distance-bottom:0;mso-wrap-distance-left:9pt;mso-wrap-distance-right:9pt;mso-wrap-distance-top:0;mso-wrap-style:square;position:absolute;visibility:visible;z-index:251669504" from="26.8pt,149.35pt" to="231.4pt,149.35pt" strokecolor="white" strokeweight="1.5pt"/>
            </w:pict>
          </mc:Fallback>
        </mc:AlternateContent>
      </w:r>
      <w:r w:rsidRPr="0030415A">
        <w:rPr>
          <w:rFonts w:ascii="Tahoma" w:hAnsi="Tahoma" w:cs="Tahoma"/>
          <w:noProof/>
          <w:sz w:val="22"/>
          <w:szCs w:val="22"/>
          <w:rtl/>
        </w:rPr>
        <mc:AlternateContent>
          <mc:Choice Requires="wps">
            <w:drawing>
              <wp:anchor distT="45720" distB="45720" distL="114300" distR="114300" simplePos="0" relativeHeight="251662336" behindDoc="0" locked="0" layoutInCell="1" allowOverlap="1">
                <wp:simplePos x="0" y="0"/>
                <wp:positionH relativeFrom="column">
                  <wp:posOffset>330200</wp:posOffset>
                </wp:positionH>
                <wp:positionV relativeFrom="paragraph">
                  <wp:posOffset>334010</wp:posOffset>
                </wp:positionV>
                <wp:extent cx="4136390" cy="4564380"/>
                <wp:effectExtent l="0" t="0" r="3810" b="0"/>
                <wp:wrapSquare wrapText="bothSides"/>
                <wp:docPr id="1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6390" cy="4564380"/>
                        </a:xfrm>
                        <a:prstGeom prst="rect">
                          <a:avLst/>
                        </a:prstGeom>
                        <a:solidFill>
                          <a:srgbClr val="00305F"/>
                        </a:solidFill>
                        <a:ln w="9525">
                          <a:noFill/>
                          <a:miter lim="800000"/>
                          <a:headEnd/>
                          <a:tailEnd/>
                        </a:ln>
                      </wps:spPr>
                      <wps:txbx>
                        <w:txbxContent>
                          <w:p w:rsidR="00F73EE0" w:rsidRDefault="00F73EE0" w:rsidP="0052031E">
                            <w:pPr>
                              <w:ind w:left="2268"/>
                              <w:rPr>
                                <w:rFonts w:ascii="Tahoma" w:hAnsi="Tahoma" w:cs="Tahoma"/>
                                <w:sz w:val="18"/>
                                <w:szCs w:val="18"/>
                                <w:rtl/>
                              </w:rPr>
                            </w:pPr>
                          </w:p>
                          <w:p w:rsidR="00F73EE0" w:rsidRDefault="00F73EE0" w:rsidP="0052031E">
                            <w:pPr>
                              <w:ind w:left="2268"/>
                              <w:rPr>
                                <w:rFonts w:ascii="Tahoma" w:hAnsi="Tahoma" w:cs="Tahoma"/>
                                <w:sz w:val="18"/>
                                <w:szCs w:val="18"/>
                                <w:rtl/>
                              </w:rPr>
                            </w:pPr>
                          </w:p>
                          <w:p w:rsidR="008A71D4" w:rsidRPr="0052031E" w:rsidRDefault="00A8413A" w:rsidP="008A71D4">
                            <w:pPr>
                              <w:pStyle w:val="afffd"/>
                              <w:bidi/>
                              <w:rPr>
                                <w:rtl/>
                              </w:rPr>
                            </w:pPr>
                            <w:r w:rsidRPr="00736434">
                              <w:rPr>
                                <w:rtl/>
                              </w:rPr>
                              <w:t xml:space="preserve">דוח מבקר המדינה | כסלו </w:t>
                            </w:r>
                            <w:proofErr w:type="spellStart"/>
                            <w:r w:rsidRPr="00736434">
                              <w:rPr>
                                <w:rtl/>
                              </w:rPr>
                              <w:t>התשפ"ו</w:t>
                            </w:r>
                            <w:proofErr w:type="spellEnd"/>
                            <w:r w:rsidRPr="00736434">
                              <w:rPr>
                                <w:rtl/>
                              </w:rPr>
                              <w:t xml:space="preserve"> | דצמבר 2025</w:t>
                            </w:r>
                            <w:r>
                              <w:rPr>
                                <w:rFonts w:hint="cs"/>
                                <w:rtl/>
                              </w:rPr>
                              <w:t xml:space="preserve"> </w:t>
                            </w:r>
                          </w:p>
                          <w:p w:rsidR="00A074E9" w:rsidRDefault="00A074E9" w:rsidP="0052031E">
                            <w:pPr>
                              <w:ind w:left="2268"/>
                              <w:rPr>
                                <w:rtl/>
                              </w:rPr>
                            </w:pPr>
                          </w:p>
                          <w:p w:rsidR="00E56721" w:rsidRDefault="00E56721" w:rsidP="0052031E">
                            <w:pPr>
                              <w:ind w:left="2268"/>
                              <w:rPr>
                                <w:rtl/>
                              </w:rPr>
                            </w:pPr>
                          </w:p>
                          <w:p w:rsidR="00F73EE0" w:rsidRDefault="00F73EE0" w:rsidP="0052031E">
                            <w:pPr>
                              <w:ind w:left="2268"/>
                              <w:rPr>
                                <w:rtl/>
                              </w:rPr>
                            </w:pPr>
                          </w:p>
                          <w:p w:rsidR="005D0F8C" w:rsidRPr="000A3ED4" w:rsidRDefault="00A8413A" w:rsidP="000F5023">
                            <w:pPr>
                              <w:pStyle w:val="-1"/>
                              <w:rPr>
                                <w:rtl/>
                              </w:rPr>
                            </w:pPr>
                            <w:r>
                              <w:rPr>
                                <w:rFonts w:hint="cs"/>
                                <w:rtl/>
                              </w:rPr>
                              <w:t>נושאים מערכתיים</w:t>
                            </w:r>
                            <w:r w:rsidR="00AB2F78">
                              <w:rPr>
                                <w:rFonts w:hint="cs"/>
                                <w:rtl/>
                              </w:rPr>
                              <w:t xml:space="preserve"> </w:t>
                            </w:r>
                          </w:p>
                          <w:p w:rsidR="00C30482" w:rsidRPr="000F5023" w:rsidRDefault="00A8413A" w:rsidP="00A074E9">
                            <w:pPr>
                              <w:pStyle w:val="afffc"/>
                              <w:bidi/>
                              <w:spacing w:before="120"/>
                              <w:rPr>
                                <w:rtl/>
                              </w:rPr>
                            </w:pPr>
                            <w:r w:rsidRPr="006F017B">
                              <w:rPr>
                                <w:rtl/>
                              </w:rPr>
                              <w:t xml:space="preserve">ההיערכות להגנה על מתקנים חיוניים מפני טילים, רקטות ואיומים אוויריים נוספים - ביקורת מעקב </w:t>
                            </w:r>
                            <w:r w:rsidR="00D73746">
                              <w:rPr>
                                <w:rFonts w:hint="cs"/>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alt="&quot;&quot;" style="width:325.7pt;height:359.4pt;margin-top:26.3pt;margin-left:26pt;mso-height-percent:0;mso-height-relative:margin;mso-width-percent:0;mso-width-relative:margin;mso-wrap-distance-bottom:3.6pt;mso-wrap-distance-left:9pt;mso-wrap-distance-right:9pt;mso-wrap-distance-top:3.6pt;mso-wrap-style:square;position:absolute;visibility:visible;v-text-anchor:top;z-index:251663360" fillcolor="#00305f" stroked="f">
                <v:textbox>
                  <w:txbxContent>
                    <w:p w:rsidR="00F73EE0" w:rsidP="0052031E" w14:paraId="3B790B1A" w14:textId="77777777">
                      <w:pPr>
                        <w:ind w:left="2268"/>
                        <w:rPr>
                          <w:rFonts w:ascii="Tahoma" w:hAnsi="Tahoma" w:cs="Tahoma"/>
                          <w:sz w:val="18"/>
                          <w:szCs w:val="18"/>
                          <w:rtl/>
                        </w:rPr>
                      </w:pPr>
                    </w:p>
                    <w:p w:rsidR="00F73EE0" w:rsidP="0052031E" w14:paraId="01373895" w14:textId="77777777">
                      <w:pPr>
                        <w:ind w:left="2268"/>
                        <w:rPr>
                          <w:rFonts w:ascii="Tahoma" w:hAnsi="Tahoma" w:cs="Tahoma"/>
                          <w:sz w:val="18"/>
                          <w:szCs w:val="18"/>
                          <w:rtl/>
                        </w:rPr>
                      </w:pPr>
                    </w:p>
                    <w:p w:rsidR="008A71D4" w:rsidRPr="0052031E" w:rsidP="008A71D4" w14:paraId="4D13BD96" w14:textId="2770F684">
                      <w:pPr>
                        <w:pStyle w:val="a33"/>
                        <w:bidi/>
                        <w:rPr>
                          <w:rtl/>
                        </w:rPr>
                      </w:pPr>
                      <w:r w:rsidRPr="00736434">
                        <w:rPr>
                          <w:rtl/>
                        </w:rPr>
                        <w:t>דוח מבקר המדינה | כסלו התשפ"ו | דצמבר 2025</w:t>
                      </w:r>
                      <w:r>
                        <w:rPr>
                          <w:rFonts w:hint="cs"/>
                          <w:rtl/>
                        </w:rPr>
                        <w:t xml:space="preserve"> </w:t>
                      </w:r>
                    </w:p>
                    <w:p w:rsidR="00A074E9" w:rsidP="0052031E" w14:paraId="3874DDAC" w14:textId="77777777">
                      <w:pPr>
                        <w:ind w:left="2268"/>
                        <w:rPr>
                          <w:rtl/>
                        </w:rPr>
                      </w:pPr>
                    </w:p>
                    <w:p w:rsidR="00E56721" w:rsidP="0052031E" w14:paraId="6A74246D" w14:textId="77777777">
                      <w:pPr>
                        <w:ind w:left="2268"/>
                        <w:rPr>
                          <w:rtl/>
                        </w:rPr>
                      </w:pPr>
                    </w:p>
                    <w:p w:rsidR="00F73EE0" w:rsidP="0052031E" w14:paraId="537675A5" w14:textId="77777777">
                      <w:pPr>
                        <w:ind w:left="2268"/>
                        <w:rPr>
                          <w:rtl/>
                        </w:rPr>
                      </w:pPr>
                    </w:p>
                    <w:p w:rsidR="005D0F8C" w:rsidRPr="000A3ED4" w:rsidP="000F5023" w14:paraId="361EED1E" w14:textId="3D75BF59">
                      <w:pPr>
                        <w:pStyle w:val="-1"/>
                        <w:rPr>
                          <w:rtl/>
                        </w:rPr>
                      </w:pPr>
                      <w:r>
                        <w:rPr>
                          <w:rFonts w:hint="cs"/>
                          <w:rtl/>
                        </w:rPr>
                        <w:t>נושאים מערכתיים</w:t>
                      </w:r>
                      <w:r w:rsidR="00AB2F78">
                        <w:rPr>
                          <w:rFonts w:hint="cs"/>
                          <w:rtl/>
                        </w:rPr>
                        <w:t xml:space="preserve"> </w:t>
                      </w:r>
                    </w:p>
                    <w:p w:rsidR="00C30482" w:rsidRPr="000F5023" w:rsidP="00A074E9" w14:paraId="5BE5E625" w14:textId="7B3E0400">
                      <w:pPr>
                        <w:pStyle w:val="a32"/>
                        <w:bidi/>
                        <w:spacing w:before="120"/>
                        <w:rPr>
                          <w:rtl/>
                        </w:rPr>
                      </w:pPr>
                      <w:r w:rsidRPr="006F017B">
                        <w:rPr>
                          <w:rtl/>
                        </w:rPr>
                        <w:t xml:space="preserve">ההיערכות להגנה על מתקנים חיוניים מפני טילים, רקטות ואיומים אוויריים נוספים - ביקורת מעקב </w:t>
                      </w:r>
                      <w:r w:rsidR="00D73746">
                        <w:rPr>
                          <w:rFonts w:hint="cs"/>
                          <w:rtl/>
                        </w:rPr>
                        <w:t xml:space="preserve"> </w:t>
                      </w: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RDefault="00A8413A"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3065780</wp:posOffset>
                </wp:positionH>
                <wp:positionV relativeFrom="paragraph">
                  <wp:posOffset>95641</wp:posOffset>
                </wp:positionV>
                <wp:extent cx="0" cy="4825218"/>
                <wp:effectExtent l="25400" t="0" r="25400" b="26670"/>
                <wp:wrapNone/>
                <wp:docPr id="5" name="Straight Connector 5"/>
                <wp:cNvGraphicFramePr/>
                <a:graphic xmlns:a="http://schemas.openxmlformats.org/drawingml/2006/main">
                  <a:graphicData uri="http://schemas.microsoft.com/office/word/2010/wordprocessingShape">
                    <wps:wsp>
                      <wps:cNvCnPr/>
                      <wps:spPr>
                        <a:xfrm>
                          <a:off x="0" y="0"/>
                          <a:ext cx="0" cy="4825218"/>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31" style="mso-height-percent:0;mso-height-relative:margin;mso-width-percent:0;mso-width-relative:margin;mso-wrap-distance-bottom:0;mso-wrap-distance-left:9pt;mso-wrap-distance-right:9pt;mso-wrap-distance-top:0;mso-wrap-style:square;position:absolute;visibility:visible;z-index:251667456" from="241.4pt,7.55pt" to="241.4pt,387.5pt" strokecolor="white" strokeweight="4pt"/>
            </w:pict>
          </mc:Fallback>
        </mc:AlternateContent>
      </w:r>
    </w:p>
    <w:p w:rsidR="00E35DF9" w:rsidRPr="00406E80" w:rsidRDefault="00E35DF9" w:rsidP="008D2388">
      <w:pPr>
        <w:spacing w:line="240" w:lineRule="atLeast"/>
        <w:jc w:val="center"/>
        <w:rPr>
          <w:rFonts w:ascii="Tahoma" w:hAnsi="Tahoma" w:cs="Tahoma"/>
          <w:color w:val="C6D9F1"/>
          <w:sz w:val="22"/>
          <w:szCs w:val="22"/>
          <w:rtl/>
        </w:rPr>
      </w:pPr>
    </w:p>
    <w:p w:rsidR="008C0B8B" w:rsidRDefault="008C0B8B" w:rsidP="008D2388">
      <w:pPr>
        <w:spacing w:line="240" w:lineRule="atLeast"/>
        <w:jc w:val="center"/>
        <w:rPr>
          <w:rFonts w:ascii="Tahoma" w:hAnsi="Tahoma" w:cs="Tahoma"/>
          <w:sz w:val="22"/>
          <w:szCs w:val="22"/>
          <w:rtl/>
        </w:rPr>
      </w:pPr>
    </w:p>
    <w:p w:rsidR="008C0B8B" w:rsidRDefault="008C0B8B" w:rsidP="008D2388">
      <w:pPr>
        <w:spacing w:line="240" w:lineRule="atLeast"/>
        <w:jc w:val="center"/>
        <w:rPr>
          <w:rFonts w:ascii="Tahoma" w:hAnsi="Tahoma" w:cs="Tahoma"/>
          <w:sz w:val="22"/>
          <w:szCs w:val="22"/>
          <w:rtl/>
        </w:rPr>
      </w:pPr>
    </w:p>
    <w:p w:rsidR="00E35DF9" w:rsidRDefault="00E35DF9" w:rsidP="008D2388">
      <w:pPr>
        <w:spacing w:line="240" w:lineRule="atLeast"/>
        <w:jc w:val="center"/>
        <w:rPr>
          <w:rFonts w:ascii="Tahoma" w:hAnsi="Tahoma" w:cs="Tahoma"/>
          <w:sz w:val="22"/>
          <w:szCs w:val="22"/>
          <w:rtl/>
        </w:rPr>
      </w:pPr>
    </w:p>
    <w:p w:rsidR="00035688" w:rsidRDefault="00035688" w:rsidP="008D2388">
      <w:pPr>
        <w:spacing w:line="240" w:lineRule="atLeast"/>
        <w:jc w:val="center"/>
        <w:rPr>
          <w:rFonts w:ascii="Tahoma" w:hAnsi="Tahoma" w:cs="Tahoma"/>
          <w:sz w:val="22"/>
          <w:szCs w:val="22"/>
          <w:rtl/>
        </w:rPr>
        <w:sectPr w:rsidR="00035688" w:rsidSect="002970CC">
          <w:headerReference w:type="even" r:id="rId13"/>
          <w:headerReference w:type="default" r:id="rId14"/>
          <w:footerReference w:type="even" r:id="rId15"/>
          <w:footerReference w:type="default" r:id="rId16"/>
          <w:headerReference w:type="first" r:id="rId17"/>
          <w:footerReference w:type="first" r:id="rId18"/>
          <w:pgSz w:w="11906" w:h="16838" w:code="9"/>
          <w:pgMar w:top="3062" w:right="2268" w:bottom="2552" w:left="2268" w:header="1134" w:footer="1361" w:gutter="0"/>
          <w:cols w:space="720"/>
          <w:titlePg/>
          <w:bidi/>
          <w:rtlGutter/>
          <w:docGrid w:linePitch="272"/>
        </w:sectPr>
      </w:pPr>
    </w:p>
    <w:p w:rsidR="00BF5BF6" w:rsidRDefault="00A8413A" w:rsidP="000E64A1">
      <w:pPr>
        <w:spacing w:line="240" w:lineRule="atLeast"/>
        <w:jc w:val="left"/>
        <w:rPr>
          <w:rFonts w:ascii="Tahoma" w:hAnsi="Tahoma" w:cs="Tahoma"/>
          <w:sz w:val="22"/>
          <w:szCs w:val="22"/>
          <w:rtl/>
        </w:rPr>
      </w:pPr>
      <w:r>
        <w:rPr>
          <w:rFonts w:ascii="Tahoma" w:hAnsi="Tahoma" w:cs="Tahoma"/>
          <w:noProof/>
          <w:sz w:val="22"/>
          <w:szCs w:val="22"/>
          <w:rtl/>
          <w:lang w:val="he-IL"/>
        </w:rPr>
        <w:lastRenderedPageBreak/>
        <mc:AlternateContent>
          <mc:Choice Requires="wps">
            <w:drawing>
              <wp:anchor distT="0" distB="0" distL="114300" distR="114300" simplePos="0" relativeHeight="251698176" behindDoc="0" locked="0" layoutInCell="1" allowOverlap="1">
                <wp:simplePos x="0" y="0"/>
                <wp:positionH relativeFrom="column">
                  <wp:posOffset>3907353</wp:posOffset>
                </wp:positionH>
                <wp:positionV relativeFrom="paragraph">
                  <wp:posOffset>6663128</wp:posOffset>
                </wp:positionV>
                <wp:extent cx="1484963" cy="1543050"/>
                <wp:effectExtent l="0" t="0" r="1270" b="6350"/>
                <wp:wrapNone/>
                <wp:docPr id="2023003577" name="Rectangle 24"/>
                <wp:cNvGraphicFramePr/>
                <a:graphic xmlns:a="http://schemas.openxmlformats.org/drawingml/2006/main">
                  <a:graphicData uri="http://schemas.microsoft.com/office/word/2010/wordprocessingShape">
                    <wps:wsp>
                      <wps:cNvSpPr/>
                      <wps:spPr>
                        <a:xfrm flipV="1">
                          <a:off x="0" y="0"/>
                          <a:ext cx="1484963"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116.95pt;height:121.5pt;margin-top:524.65pt;margin-left:307.65pt;flip:y;mso-height-percent:0;mso-height-relative:margin;mso-width-percent:0;mso-width-relative:margin;mso-wrap-distance-bottom:0;mso-wrap-distance-left:9pt;mso-wrap-distance-right:9pt;mso-wrap-distance-top:0;mso-wrap-style:square;position:absolute;visibility:visible;v-text-anchor:middle;z-index:251699200" fillcolor="white" stroked="f" strokeweight="1.25pt"/>
            </w:pict>
          </mc:Fallback>
        </mc:AlternateContent>
      </w:r>
      <w:r w:rsidR="00A4391C">
        <w:rPr>
          <w:rFonts w:ascii="Tahoma" w:hAnsi="Tahoma" w:cs="Tahoma"/>
          <w:noProof/>
          <w:sz w:val="22"/>
          <w:szCs w:val="22"/>
          <w:rtl/>
          <w:lang w:val="he-IL"/>
        </w:rPr>
        <mc:AlternateContent>
          <mc:Choice Requires="wps">
            <w:drawing>
              <wp:anchor distT="0" distB="0" distL="114300" distR="114300" simplePos="0" relativeHeight="251670528"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3"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71552" fillcolor="white" stroked="f" strokeweight="1.25pt"/>
            </w:pict>
          </mc:Fallback>
        </mc:AlternateContent>
      </w:r>
    </w:p>
    <w:p w:rsidR="000E64A1" w:rsidRDefault="000E64A1" w:rsidP="000E64A1">
      <w:pPr>
        <w:jc w:val="left"/>
        <w:rPr>
          <w:rFonts w:ascii="Tahoma" w:hAnsi="Tahoma" w:cs="Tahoma"/>
          <w:sz w:val="22"/>
          <w:szCs w:val="22"/>
          <w:rtl/>
        </w:rPr>
        <w:sectPr w:rsidR="000E64A1" w:rsidSect="00DA022A">
          <w:headerReference w:type="even" r:id="rId19"/>
          <w:pgSz w:w="11906" w:h="16838" w:code="9"/>
          <w:pgMar w:top="3062" w:right="2268" w:bottom="2552" w:left="2268" w:header="709" w:footer="709" w:gutter="0"/>
          <w:pgNumType w:start="2"/>
          <w:cols w:space="720"/>
          <w:bidi/>
          <w:rtlGutter/>
          <w:docGrid w:linePitch="272"/>
        </w:sectPr>
      </w:pPr>
    </w:p>
    <w:p w:rsidR="001B01E1" w:rsidRDefault="00A8413A" w:rsidP="00632934">
      <w:pPr>
        <w:pStyle w:val="7320"/>
        <w:spacing w:after="600"/>
        <w:rPr>
          <w:noProof/>
          <w:rtl/>
        </w:rPr>
        <w:sectPr w:rsidR="001B01E1" w:rsidSect="001D2B32">
          <w:headerReference w:type="default" r:id="rId20"/>
          <w:pgSz w:w="11906" w:h="16838" w:code="9"/>
          <w:pgMar w:top="3062" w:right="2268" w:bottom="2552" w:left="2268" w:header="1134" w:footer="1361" w:gutter="0"/>
          <w:pgNumType w:start="3"/>
          <w:cols w:space="708"/>
          <w:bidi/>
          <w:rtlGutter/>
          <w:docGrid w:linePitch="360"/>
        </w:sectPr>
      </w:pPr>
      <w:r w:rsidRPr="00802F2E">
        <w:rPr>
          <w:noProof/>
          <w:rtl/>
        </w:rPr>
        <w:lastRenderedPageBreak/>
        <w:drawing>
          <wp:anchor distT="0" distB="0" distL="114300" distR="114300" simplePos="0" relativeHeight="251681792" behindDoc="0" locked="0" layoutInCell="1" allowOverlap="1">
            <wp:simplePos x="0" y="0"/>
            <wp:positionH relativeFrom="column">
              <wp:posOffset>3489091</wp:posOffset>
            </wp:positionH>
            <wp:positionV relativeFrom="paragraph">
              <wp:posOffset>1469390</wp:posOffset>
            </wp:positionV>
            <wp:extent cx="1386840" cy="421640"/>
            <wp:effectExtent l="0" t="0" r="0" b="0"/>
            <wp:wrapTopAndBottom/>
            <wp:docPr id="12"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רקע"/>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Pr="006F017B">
        <w:rPr>
          <w:noProof/>
          <w:rtl/>
        </w:rPr>
        <w:t xml:space="preserve">ההיערכות להגנה על מתקנים חיוניים מפני טילים, רקטות ואיומים אוויריים נוספים - ביקורת מעקב </w:t>
      </w:r>
    </w:p>
    <w:p w:rsidR="006F017B" w:rsidRPr="00596650" w:rsidRDefault="00A8413A" w:rsidP="006F017B">
      <w:pPr>
        <w:pStyle w:val="7392"/>
        <w:spacing w:before="840"/>
        <w:rPr>
          <w:rtl/>
        </w:rPr>
      </w:pPr>
      <w:r w:rsidRPr="00596650">
        <w:rPr>
          <w:rtl/>
        </w:rPr>
        <w:t xml:space="preserve">מלחמת חרבות </w:t>
      </w:r>
      <w:r w:rsidRPr="00596650">
        <w:rPr>
          <w:rtl/>
        </w:rPr>
        <w:t>ברזל</w:t>
      </w:r>
      <w:r w:rsidR="00814F28">
        <w:rPr>
          <w:rFonts w:hint="cs"/>
          <w:rtl/>
        </w:rPr>
        <w:t>,</w:t>
      </w:r>
      <w:r w:rsidRPr="00596650">
        <w:rPr>
          <w:rtl/>
        </w:rPr>
        <w:t xml:space="preserve"> שפרצה בשבעה באוקטובר 2023</w:t>
      </w:r>
      <w:r w:rsidR="00814F28">
        <w:rPr>
          <w:rFonts w:hint="cs"/>
          <w:rtl/>
        </w:rPr>
        <w:t>,</w:t>
      </w:r>
      <w:r w:rsidRPr="00596650">
        <w:rPr>
          <w:rtl/>
        </w:rPr>
        <w:t xml:space="preserve"> המחישה את הצורך המוגבר של </w:t>
      </w:r>
      <w:r w:rsidR="00814F28">
        <w:rPr>
          <w:rFonts w:hint="cs"/>
          <w:rtl/>
        </w:rPr>
        <w:t>מערכת הביטחון (</w:t>
      </w:r>
      <w:proofErr w:type="spellStart"/>
      <w:r w:rsidR="00814F28" w:rsidRPr="00596650">
        <w:rPr>
          <w:rtl/>
        </w:rPr>
        <w:t>מעהב"ט</w:t>
      </w:r>
      <w:proofErr w:type="spellEnd"/>
      <w:r w:rsidR="00814F28">
        <w:rPr>
          <w:rFonts w:hint="cs"/>
          <w:rtl/>
        </w:rPr>
        <w:t>)</w:t>
      </w:r>
      <w:r w:rsidR="00814F28" w:rsidRPr="00596650">
        <w:rPr>
          <w:rtl/>
        </w:rPr>
        <w:t xml:space="preserve"> </w:t>
      </w:r>
      <w:r w:rsidRPr="00596650">
        <w:rPr>
          <w:rtl/>
        </w:rPr>
        <w:t>בהגנה על מתקנים חיוניים. בשנת 2020 פרסם משרד מבקר המדינה דוח ביקורת בנושא "ההיערכות להגנה על מתקנים חיוניים מפני טילים, רקטות ואיומים אוויריים נוספים"</w:t>
      </w:r>
      <w:r>
        <w:rPr>
          <w:vertAlign w:val="superscript"/>
          <w:rtl/>
        </w:rPr>
        <w:footnoteReference w:id="1"/>
      </w:r>
      <w:r w:rsidRPr="00C31481">
        <w:rPr>
          <w:rtl/>
        </w:rPr>
        <w:t>,</w:t>
      </w:r>
      <w:r w:rsidRPr="00596650">
        <w:rPr>
          <w:rtl/>
        </w:rPr>
        <w:t xml:space="preserve"> שעמד על פערים מהותיים</w:t>
      </w:r>
      <w:r w:rsidRPr="00596650">
        <w:rPr>
          <w:rtl/>
        </w:rPr>
        <w:t xml:space="preserve"> בסוגיית מיגון מתקנים חיוניים בגופים מסוימים, בדגש על הקריטיים שבהם.</w:t>
      </w:r>
    </w:p>
    <w:p w:rsidR="006F017B" w:rsidRDefault="00A8413A" w:rsidP="007F4A20">
      <w:pPr>
        <w:pStyle w:val="7392"/>
        <w:spacing w:before="360"/>
        <w:rPr>
          <w:b/>
          <w:bCs/>
          <w:color w:val="00305F"/>
          <w:sz w:val="32"/>
          <w:szCs w:val="32"/>
          <w:rtl/>
        </w:rPr>
      </w:pPr>
      <w:r w:rsidRPr="001F3363">
        <w:rPr>
          <w:noProof/>
          <w:rtl/>
        </w:rPr>
        <w:drawing>
          <wp:anchor distT="0" distB="0" distL="114300" distR="114300" simplePos="0" relativeHeight="251674624" behindDoc="0" locked="0" layoutInCell="1" allowOverlap="1">
            <wp:simplePos x="0" y="0"/>
            <wp:positionH relativeFrom="column">
              <wp:posOffset>3494806</wp:posOffset>
            </wp:positionH>
            <wp:positionV relativeFrom="paragraph">
              <wp:posOffset>393700</wp:posOffset>
            </wp:positionV>
            <wp:extent cx="1405255" cy="431800"/>
            <wp:effectExtent l="0" t="0" r="0" b="0"/>
            <wp:wrapSquare wrapText="bothSides"/>
            <wp:docPr id="6"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נתוני מפתח"/>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5D0F8C" w:rsidRDefault="005D0F8C" w:rsidP="007F4A20">
      <w:pPr>
        <w:pStyle w:val="7392"/>
        <w:spacing w:before="360"/>
        <w:rPr>
          <w:b/>
          <w:bCs/>
          <w:color w:val="00305F"/>
          <w:sz w:val="32"/>
          <w:szCs w:val="32"/>
          <w:rtl/>
        </w:rPr>
      </w:pPr>
    </w:p>
    <w:p w:rsidR="005D0F8C" w:rsidRDefault="005D0F8C" w:rsidP="007F4A20">
      <w:pPr>
        <w:pStyle w:val="100"/>
        <w:tabs>
          <w:tab w:val="center" w:pos="3685"/>
        </w:tabs>
        <w:spacing w:before="360" w:after="0" w:line="240" w:lineRule="exact"/>
        <w:rPr>
          <w:b/>
          <w:bCs/>
          <w:color w:val="00305F"/>
          <w:sz w:val="32"/>
          <w:szCs w:val="32"/>
          <w:rtl/>
        </w:rPr>
      </w:pPr>
    </w:p>
    <w:tbl>
      <w:tblPr>
        <w:tblStyle w:val="a8"/>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23"/>
        <w:gridCol w:w="2081"/>
        <w:gridCol w:w="323"/>
        <w:gridCol w:w="2308"/>
      </w:tblGrid>
      <w:tr w:rsidR="00B46BA7" w:rsidTr="006F017B">
        <w:tc>
          <w:tcPr>
            <w:tcW w:w="1584" w:type="pct"/>
            <w:tcBorders>
              <w:bottom w:val="single" w:sz="12" w:space="0" w:color="000000" w:themeColor="text1"/>
            </w:tcBorders>
            <w:vAlign w:val="bottom"/>
          </w:tcPr>
          <w:p w:rsidR="006F017B" w:rsidRPr="006F017B" w:rsidRDefault="00A8413A" w:rsidP="006F017B">
            <w:pPr>
              <w:spacing w:after="60" w:line="240" w:lineRule="auto"/>
              <w:jc w:val="left"/>
              <w:rPr>
                <w:b/>
                <w:bCs/>
                <w:spacing w:val="-28"/>
                <w:rtl/>
              </w:rPr>
            </w:pPr>
            <w:r w:rsidRPr="006F017B">
              <w:rPr>
                <w:rFonts w:ascii="Tahoma" w:hAnsi="Tahoma" w:cs="Tahoma"/>
                <w:b/>
                <w:bCs/>
                <w:spacing w:val="-10"/>
                <w:sz w:val="36"/>
                <w:szCs w:val="36"/>
                <w:rtl/>
              </w:rPr>
              <w:t xml:space="preserve">0 </w:t>
            </w:r>
            <w:r w:rsidRPr="006F017B">
              <w:rPr>
                <w:rFonts w:ascii="Tahoma" w:hAnsi="Tahoma" w:cs="Tahoma"/>
                <w:b/>
                <w:bCs/>
                <w:spacing w:val="-10"/>
                <w:sz w:val="26"/>
                <w:szCs w:val="26"/>
                <w:rtl/>
              </w:rPr>
              <w:t>ליקויים תוקנו</w:t>
            </w:r>
          </w:p>
        </w:tc>
        <w:tc>
          <w:tcPr>
            <w:tcW w:w="219" w:type="pct"/>
            <w:vAlign w:val="bottom"/>
          </w:tcPr>
          <w:p w:rsidR="006F017B" w:rsidRPr="006F017B" w:rsidRDefault="006F017B" w:rsidP="006F017B">
            <w:pPr>
              <w:spacing w:before="120" w:after="60" w:line="240" w:lineRule="auto"/>
              <w:jc w:val="left"/>
              <w:rPr>
                <w:b/>
                <w:bCs/>
                <w:rtl/>
              </w:rPr>
            </w:pPr>
          </w:p>
        </w:tc>
        <w:tc>
          <w:tcPr>
            <w:tcW w:w="1412" w:type="pct"/>
            <w:tcBorders>
              <w:bottom w:val="single" w:sz="12" w:space="0" w:color="000000" w:themeColor="text1"/>
            </w:tcBorders>
            <w:vAlign w:val="bottom"/>
          </w:tcPr>
          <w:p w:rsidR="006F017B" w:rsidRPr="006F017B" w:rsidRDefault="00A8413A" w:rsidP="006F017B">
            <w:pPr>
              <w:pStyle w:val="2021"/>
              <w:spacing w:before="0" w:after="60"/>
              <w:rPr>
                <w:spacing w:val="-10"/>
                <w:rtl/>
              </w:rPr>
            </w:pPr>
            <w:r w:rsidRPr="006F017B">
              <w:rPr>
                <w:spacing w:val="-10"/>
                <w:sz w:val="26"/>
                <w:szCs w:val="26"/>
                <w:rtl/>
              </w:rPr>
              <w:t>יותר מ-</w:t>
            </w:r>
            <w:r w:rsidRPr="006F017B">
              <w:rPr>
                <w:spacing w:val="-10"/>
                <w:rtl/>
              </w:rPr>
              <w:t>26,000</w:t>
            </w:r>
          </w:p>
        </w:tc>
        <w:tc>
          <w:tcPr>
            <w:tcW w:w="219" w:type="pct"/>
            <w:vAlign w:val="bottom"/>
          </w:tcPr>
          <w:p w:rsidR="006F017B" w:rsidRPr="006F017B" w:rsidRDefault="006F017B" w:rsidP="006F017B">
            <w:pPr>
              <w:spacing w:before="120" w:after="60" w:line="240" w:lineRule="auto"/>
              <w:jc w:val="left"/>
              <w:rPr>
                <w:b/>
                <w:bCs/>
                <w:rtl/>
              </w:rPr>
            </w:pPr>
          </w:p>
        </w:tc>
        <w:tc>
          <w:tcPr>
            <w:tcW w:w="1566" w:type="pct"/>
            <w:tcBorders>
              <w:bottom w:val="single" w:sz="12" w:space="0" w:color="000000" w:themeColor="text1"/>
            </w:tcBorders>
            <w:vAlign w:val="bottom"/>
          </w:tcPr>
          <w:p w:rsidR="006F017B" w:rsidRPr="006F017B" w:rsidRDefault="00A8413A" w:rsidP="006F017B">
            <w:pPr>
              <w:pStyle w:val="2021"/>
              <w:spacing w:before="0" w:after="60"/>
              <w:rPr>
                <w:spacing w:val="-20"/>
                <w:sz w:val="24"/>
                <w:rtl/>
              </w:rPr>
            </w:pPr>
            <w:r w:rsidRPr="006F017B">
              <w:rPr>
                <w:spacing w:val="-10"/>
                <w:rtl/>
              </w:rPr>
              <w:t xml:space="preserve">14 </w:t>
            </w:r>
            <w:r w:rsidRPr="006F017B">
              <w:rPr>
                <w:spacing w:val="-10"/>
                <w:sz w:val="26"/>
                <w:szCs w:val="26"/>
                <w:rtl/>
              </w:rPr>
              <w:t>שנים</w:t>
            </w:r>
          </w:p>
        </w:tc>
      </w:tr>
      <w:tr w:rsidR="00B46BA7" w:rsidTr="006F017B">
        <w:tc>
          <w:tcPr>
            <w:tcW w:w="1584" w:type="pct"/>
            <w:tcBorders>
              <w:top w:val="single" w:sz="12" w:space="0" w:color="000000" w:themeColor="text1"/>
            </w:tcBorders>
          </w:tcPr>
          <w:p w:rsidR="006F017B" w:rsidRPr="00E52143" w:rsidRDefault="00A8413A" w:rsidP="006F017B">
            <w:pPr>
              <w:pStyle w:val="732021"/>
              <w:spacing w:before="0" w:line="240" w:lineRule="auto"/>
              <w:rPr>
                <w:rtl/>
              </w:rPr>
            </w:pPr>
            <w:r w:rsidRPr="00596650">
              <w:rPr>
                <w:rtl/>
              </w:rPr>
              <w:t>עד פרוץ מלחמת חרבות ברזל מתוך חמשת הליקויים שנבדקו במסגרת ביקורת המעקב</w:t>
            </w:r>
          </w:p>
        </w:tc>
        <w:tc>
          <w:tcPr>
            <w:tcW w:w="219" w:type="pct"/>
          </w:tcPr>
          <w:p w:rsidR="006F017B" w:rsidRPr="00E52143" w:rsidRDefault="006F017B" w:rsidP="006F017B">
            <w:pPr>
              <w:pStyle w:val="732021"/>
              <w:spacing w:before="0" w:line="240" w:lineRule="auto"/>
              <w:rPr>
                <w:rtl/>
              </w:rPr>
            </w:pPr>
          </w:p>
        </w:tc>
        <w:tc>
          <w:tcPr>
            <w:tcW w:w="1412" w:type="pct"/>
            <w:tcBorders>
              <w:top w:val="single" w:sz="12" w:space="0" w:color="000000" w:themeColor="text1"/>
            </w:tcBorders>
          </w:tcPr>
          <w:p w:rsidR="006F017B" w:rsidRPr="00E52143" w:rsidRDefault="00A8413A" w:rsidP="006F017B">
            <w:pPr>
              <w:pStyle w:val="732021"/>
              <w:spacing w:before="0" w:line="240" w:lineRule="auto"/>
              <w:rPr>
                <w:rtl/>
              </w:rPr>
            </w:pPr>
            <w:r w:rsidRPr="00596650">
              <w:rPr>
                <w:rtl/>
              </w:rPr>
              <w:t xml:space="preserve">איומים אוויריים שוגרו לעבר מדינת ישראל מתחילת מלחמת חרבות ברזל ועד </w:t>
            </w:r>
            <w:r w:rsidRPr="00596650">
              <w:rPr>
                <w:rtl/>
              </w:rPr>
              <w:t>תחילת אוקטובר 2024</w:t>
            </w:r>
            <w:r>
              <w:rPr>
                <w:vertAlign w:val="superscript"/>
                <w:rtl/>
              </w:rPr>
              <w:footnoteReference w:id="2"/>
            </w:r>
            <w:r w:rsidRPr="00596650">
              <w:rPr>
                <w:rtl/>
              </w:rPr>
              <w:t xml:space="preserve"> מכלל זירות הלחימה</w:t>
            </w:r>
          </w:p>
        </w:tc>
        <w:tc>
          <w:tcPr>
            <w:tcW w:w="219" w:type="pct"/>
          </w:tcPr>
          <w:p w:rsidR="006F017B" w:rsidRPr="00E52143" w:rsidRDefault="006F017B" w:rsidP="006F017B">
            <w:pPr>
              <w:pStyle w:val="732021"/>
              <w:spacing w:before="0" w:line="240" w:lineRule="auto"/>
              <w:rPr>
                <w:rtl/>
              </w:rPr>
            </w:pPr>
          </w:p>
        </w:tc>
        <w:tc>
          <w:tcPr>
            <w:tcW w:w="1566" w:type="pct"/>
            <w:tcBorders>
              <w:top w:val="single" w:sz="12" w:space="0" w:color="000000" w:themeColor="text1"/>
            </w:tcBorders>
          </w:tcPr>
          <w:p w:rsidR="006F017B" w:rsidRPr="00E52143" w:rsidRDefault="00A8413A" w:rsidP="006F017B">
            <w:pPr>
              <w:pStyle w:val="732021"/>
              <w:spacing w:before="0" w:line="240" w:lineRule="auto"/>
              <w:rPr>
                <w:rtl/>
              </w:rPr>
            </w:pPr>
            <w:r w:rsidRPr="00596650">
              <w:rPr>
                <w:rtl/>
              </w:rPr>
              <w:t>חלפו ממועד הפצתה של הצעת החוק לטיפול בעורף במצבי חירום ("חוק העורף") לראשונה ועד למועד סיום ביקורת המעקב</w:t>
            </w:r>
            <w:r>
              <w:rPr>
                <w:vertAlign w:val="superscript"/>
                <w:rtl/>
              </w:rPr>
              <w:footnoteReference w:id="3"/>
            </w:r>
          </w:p>
        </w:tc>
      </w:tr>
    </w:tbl>
    <w:p w:rsidR="00420374" w:rsidRDefault="00420374" w:rsidP="00420374">
      <w:pPr>
        <w:pStyle w:val="73f7"/>
        <w:spacing w:after="0"/>
        <w:rPr>
          <w:sz w:val="10"/>
          <w:szCs w:val="10"/>
          <w:rtl/>
        </w:rPr>
      </w:pPr>
    </w:p>
    <w:p w:rsidR="00420374" w:rsidRPr="00C62692" w:rsidRDefault="00A8413A" w:rsidP="00420374">
      <w:pPr>
        <w:pStyle w:val="732"/>
        <w:rPr>
          <w:rtl/>
        </w:rPr>
      </w:pPr>
      <w:r w:rsidRPr="00C62692">
        <w:rPr>
          <w:rtl/>
        </w:rPr>
        <w:lastRenderedPageBreak/>
        <w:t>פעולות הביקורת</w:t>
      </w:r>
    </w:p>
    <w:p w:rsidR="006F017B" w:rsidRPr="00596650" w:rsidRDefault="00A8413A" w:rsidP="006F017B">
      <w:pPr>
        <w:pStyle w:val="73f7"/>
        <w:rPr>
          <w:noProof/>
          <w:rtl/>
        </w:rPr>
      </w:pPr>
      <w:r w:rsidRPr="001F3363">
        <w:rPr>
          <w:noProof/>
        </w:rPr>
        <w:drawing>
          <wp:anchor distT="0" distB="0" distL="71755" distR="71755" simplePos="0" relativeHeight="251680768" behindDoc="0" locked="0" layoutInCell="1" allowOverlap="1">
            <wp:simplePos x="0" y="0"/>
            <wp:positionH relativeFrom="column">
              <wp:posOffset>4505960</wp:posOffset>
            </wp:positionH>
            <wp:positionV relativeFrom="paragraph">
              <wp:posOffset>49860</wp:posOffset>
            </wp:positionV>
            <wp:extent cx="162000" cy="162000"/>
            <wp:effectExtent l="0" t="0" r="3175" b="3175"/>
            <wp:wrapSquare wrapText="bothSides"/>
            <wp:docPr id="25" name="תמונה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uri="{C183D7F6-B498-43B3-948B-1728B52AA6E4}">
                          <adec:decorative xmlns:adec="http://schemas.microsoft.com/office/drawing/2017/decorative" val="1"/>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6650">
        <w:rPr>
          <w:noProof/>
          <w:rtl/>
        </w:rPr>
        <w:t>באוגוסט 2020 פרסם</w:t>
      </w:r>
      <w:r w:rsidR="00814F28">
        <w:rPr>
          <w:rFonts w:hint="cs"/>
          <w:noProof/>
          <w:rtl/>
        </w:rPr>
        <w:t xml:space="preserve"> כאמור</w:t>
      </w:r>
      <w:r w:rsidRPr="00596650">
        <w:rPr>
          <w:noProof/>
          <w:rtl/>
        </w:rPr>
        <w:t xml:space="preserve"> משרד מבקר המדינה דוח ביקורת בנושא "ההיערכות להגנה על מתקנים חיוניים מפני טילים, רקטות ואיומים אוויריים נוספים". הביקורת נעשתה בחודשים ספטמבר 2017 עד אפריל 2019, לסירוגין, ובה נבדקו בין היתר ההיערכות של משרד הביטחון (משהב"ט) למיגון המתקנים החיוניים בגופים </w:t>
      </w:r>
      <w:r w:rsidRPr="00596650">
        <w:rPr>
          <w:noProof/>
          <w:rtl/>
        </w:rPr>
        <w:t>מסוימים מפני האיום האווירי; פעילות המטה לביטחון לאומי (המל"ל) בנושא; והיבטים הנוגעים לתשתית החוקית בעניין האחריות להגנה על מתקנים חיוניים, תוך מתן דגש על המיגון הפיזי של מתקנים ותשתיות אלה</w:t>
      </w:r>
      <w:r>
        <w:rPr>
          <w:noProof/>
          <w:vertAlign w:val="superscript"/>
          <w:rtl/>
        </w:rPr>
        <w:footnoteReference w:id="4"/>
      </w:r>
      <w:r w:rsidRPr="00596650">
        <w:rPr>
          <w:noProof/>
          <w:rtl/>
        </w:rPr>
        <w:t>.</w:t>
      </w:r>
    </w:p>
    <w:p w:rsidR="006F017B" w:rsidRPr="00596650" w:rsidRDefault="00A8413A" w:rsidP="006F017B">
      <w:pPr>
        <w:pStyle w:val="73f7"/>
        <w:rPr>
          <w:noProof/>
          <w:rtl/>
        </w:rPr>
      </w:pPr>
      <w:r w:rsidRPr="00596650">
        <w:rPr>
          <w:noProof/>
          <w:rtl/>
        </w:rPr>
        <w:t>בחודשים אוגוסט עד דצמבר 2024 ערך משרד מבקר המדינה ביקורת מעקב כדי</w:t>
      </w:r>
      <w:r w:rsidRPr="00596650">
        <w:rPr>
          <w:noProof/>
          <w:rtl/>
        </w:rPr>
        <w:t xml:space="preserve"> לבחון באיזו מידה תוקנו הליקויים העיקריים שעלו בדוח הקודם. ביקורת השלמה נעשתה במהלך ינואר 2025. הביקורת נעשתה, בין היתר, במשהב"ט: בלשכת שר הביטחון, בלשכת מנכ"ל משהב"ט, באגף התכנון, באגף מבצעים לוגיסטיים ונכסים (אמון), במינהל ההרכשה והייצור (מנה"ר) ובאגף הי</w:t>
      </w:r>
      <w:r w:rsidRPr="00596650">
        <w:rPr>
          <w:noProof/>
          <w:rtl/>
        </w:rPr>
        <w:t>ועץ המשפטי (יועמ"ש) למעהב"ט; ברשות החירום הלאומית (רח"ל); במל"ל ובגופים נוספים. בדיקות השלמה נעשו במשרד האוצר: באגף החשב הכללי (החשכ"ל) ובאגף התקציבים; ובצה"ל.</w:t>
      </w:r>
    </w:p>
    <w:p w:rsidR="006F017B" w:rsidRDefault="00A8413A" w:rsidP="006F017B">
      <w:pPr>
        <w:pStyle w:val="73f7"/>
        <w:rPr>
          <w:noProof/>
          <w:rtl/>
        </w:rPr>
      </w:pPr>
      <w:r w:rsidRPr="00596650">
        <w:rPr>
          <w:noProof/>
          <w:rtl/>
        </w:rPr>
        <w:t>ועדת המשנה של הוועדה לענייני ביקורת המדינה של הכנסת החליטה שלא להניח דוח זה במלואו על שולחן הכנס</w:t>
      </w:r>
      <w:r w:rsidRPr="00596650">
        <w:rPr>
          <w:noProof/>
          <w:rtl/>
        </w:rPr>
        <w:t>ת אלא לפרסם רק חלקים ממנו, לשם שמירה על ביטחון המדינה, בהתאם לסעיף 17 לחוק מבקר המדינה, התשי"ח-1958 [נוסח משולב].</w:t>
      </w:r>
    </w:p>
    <w:p w:rsidR="00EB672B" w:rsidRPr="00275281" w:rsidRDefault="00A8413A" w:rsidP="00EB672B">
      <w:pPr>
        <w:pStyle w:val="732"/>
        <w:rPr>
          <w:rtl/>
        </w:rPr>
      </w:pPr>
      <w:r w:rsidRPr="00275281">
        <w:rPr>
          <w:rFonts w:hint="cs"/>
          <w:rtl/>
        </w:rPr>
        <w:t>תמונת המצב העולה מן הביקורת</w:t>
      </w:r>
    </w:p>
    <w:p w:rsidR="00EB672B" w:rsidRPr="00CF6518" w:rsidRDefault="00A8413A" w:rsidP="00EB672B">
      <w:pPr>
        <w:spacing w:after="240"/>
        <w:rPr>
          <w:rtl/>
        </w:rPr>
      </w:pPr>
      <w:r>
        <w:rPr>
          <w:noProof/>
          <w:rtl/>
          <w:lang w:val="he-IL"/>
        </w:rPr>
        <w:drawing>
          <wp:inline distT="0" distB="0" distL="0" distR="0">
            <wp:extent cx="1981200" cy="190500"/>
            <wp:effectExtent l="0" t="0" r="0" b="0"/>
            <wp:docPr id="1310143038" name="תמונה 4" descr="ליקויים">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uri="{C183D7F6-B498-43B3-948B-1728B52AA6E4}">
                          <adec:decorative xmlns:adec="http://schemas.microsoft.com/office/drawing/2017/decorative" val="0"/>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7425AD" w:rsidRPr="007425AD" w:rsidRDefault="00A8413A" w:rsidP="007425AD">
      <w:pPr>
        <w:pStyle w:val="73f1"/>
        <w:rPr>
          <w:rtl/>
        </w:rPr>
      </w:pPr>
      <w:r w:rsidRPr="007425AD">
        <w:rPr>
          <w:rtl/>
        </w:rPr>
        <w:t xml:space="preserve">עד לפרוץ מלחמת חרבות ברזל </w:t>
      </w:r>
      <w:proofErr w:type="spellStart"/>
      <w:r w:rsidRPr="007425AD">
        <w:rPr>
          <w:rtl/>
        </w:rPr>
        <w:t>משהב"ט</w:t>
      </w:r>
      <w:proofErr w:type="spellEnd"/>
      <w:r w:rsidRPr="007425AD">
        <w:rPr>
          <w:rtl/>
        </w:rPr>
        <w:t xml:space="preserve">, צה"ל </w:t>
      </w:r>
      <w:proofErr w:type="spellStart"/>
      <w:r w:rsidRPr="007425AD">
        <w:rPr>
          <w:rtl/>
        </w:rPr>
        <w:t>והמל"ל</w:t>
      </w:r>
      <w:proofErr w:type="spellEnd"/>
      <w:r w:rsidRPr="007425AD">
        <w:rPr>
          <w:rtl/>
        </w:rPr>
        <w:t xml:space="preserve"> לא תיקנו אף לא אחד מהליקויים העיקריים שעלו בביקורת הקודמת ולא קידמו את נושא מיגון המתקנים החיוניים בגופים מסוימים; גם לאחר פרוץ המלחמה ועל אף התממשות האיומים האוויריים הם לא קידמו נושא זה, מלבד כמה פעולות נקודת</w:t>
      </w:r>
      <w:r w:rsidRPr="007425AD">
        <w:rPr>
          <w:rtl/>
        </w:rPr>
        <w:t xml:space="preserve">יות. </w:t>
      </w:r>
    </w:p>
    <w:p w:rsidR="007425AD" w:rsidRPr="007425AD" w:rsidRDefault="00A8413A" w:rsidP="007425AD">
      <w:pPr>
        <w:pStyle w:val="73f1"/>
        <w:rPr>
          <w:rtl/>
        </w:rPr>
      </w:pPr>
      <w:r w:rsidRPr="007425AD">
        <w:rPr>
          <w:rtl/>
        </w:rPr>
        <w:t xml:space="preserve">מבקר המדינה מעיר </w:t>
      </w:r>
      <w:proofErr w:type="spellStart"/>
      <w:r w:rsidRPr="007425AD">
        <w:rPr>
          <w:rtl/>
        </w:rPr>
        <w:t>למשהב"ט</w:t>
      </w:r>
      <w:proofErr w:type="spellEnd"/>
      <w:r w:rsidRPr="007425AD">
        <w:rPr>
          <w:rtl/>
        </w:rPr>
        <w:t xml:space="preserve">, לצה"ל </w:t>
      </w:r>
      <w:proofErr w:type="spellStart"/>
      <w:r w:rsidRPr="007425AD">
        <w:rPr>
          <w:rtl/>
        </w:rPr>
        <w:t>ולמל"ל</w:t>
      </w:r>
      <w:proofErr w:type="spellEnd"/>
      <w:r w:rsidRPr="007425AD">
        <w:rPr>
          <w:rtl/>
        </w:rPr>
        <w:t xml:space="preserve"> על אי-תיקון הליקויים שעלו בביקורת הקודמת ושנבדקו במסגרת ביקורת זו.</w:t>
      </w:r>
    </w:p>
    <w:p w:rsidR="007425AD" w:rsidRPr="00596650" w:rsidRDefault="00A8413A" w:rsidP="007425AD">
      <w:pPr>
        <w:pStyle w:val="73f7"/>
      </w:pPr>
      <w:r w:rsidRPr="007425AD">
        <w:rPr>
          <w:rStyle w:val="73ff6"/>
          <w:rFonts w:hint="cs"/>
          <w:noProof/>
          <w:rtl/>
        </w:rPr>
        <w:drawing>
          <wp:anchor distT="0" distB="0" distL="71755" distR="0" simplePos="0" relativeHeight="25168896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425AD">
        <w:rPr>
          <w:rStyle w:val="73ff6"/>
          <w:rtl/>
        </w:rPr>
        <w:t xml:space="preserve">פעילות </w:t>
      </w:r>
      <w:proofErr w:type="spellStart"/>
      <w:r w:rsidRPr="007425AD">
        <w:rPr>
          <w:rStyle w:val="73ff6"/>
          <w:rtl/>
        </w:rPr>
        <w:t>מעהב"ט</w:t>
      </w:r>
      <w:proofErr w:type="spellEnd"/>
      <w:r w:rsidRPr="007425AD">
        <w:rPr>
          <w:rStyle w:val="73ff6"/>
          <w:rtl/>
        </w:rPr>
        <w:t xml:space="preserve"> לקידום המיגון של מתקנים חיוניים בגופים מסוימים -</w:t>
      </w:r>
      <w:r w:rsidRPr="00596650">
        <w:rPr>
          <w:rtl/>
        </w:rPr>
        <w:t xml:space="preserve"> בביקורת הקודמת עלה כי עבודת המטה למיפוי מתקנים חיוניים מסוימים, בגופים מסוימים, </w:t>
      </w:r>
      <w:r w:rsidRPr="00596650">
        <w:rPr>
          <w:rtl/>
        </w:rPr>
        <w:t xml:space="preserve">טרם </w:t>
      </w:r>
      <w:r w:rsidRPr="00596650">
        <w:rPr>
          <w:rtl/>
        </w:rPr>
        <w:lastRenderedPageBreak/>
        <w:t xml:space="preserve">הסתיימה: </w:t>
      </w:r>
      <w:proofErr w:type="spellStart"/>
      <w:r w:rsidRPr="00596650">
        <w:rPr>
          <w:rtl/>
        </w:rPr>
        <w:t>משהב"ט</w:t>
      </w:r>
      <w:proofErr w:type="spellEnd"/>
      <w:r w:rsidRPr="00596650">
        <w:rPr>
          <w:rtl/>
        </w:rPr>
        <w:t xml:space="preserve"> טרם קבע על אילו תשתיות יש להגן בגופים אלה, הוא לא נערך למיגונן, ואין בידיו </w:t>
      </w:r>
      <w:proofErr w:type="spellStart"/>
      <w:r w:rsidRPr="00596650">
        <w:rPr>
          <w:rtl/>
        </w:rPr>
        <w:t>תוכנית</w:t>
      </w:r>
      <w:proofErr w:type="spellEnd"/>
      <w:r w:rsidRPr="00596650">
        <w:rPr>
          <w:rtl/>
        </w:rPr>
        <w:t xml:space="preserve"> עבודה לביצוע המיגון האמור, לרבות תקצובה. </w:t>
      </w:r>
    </w:p>
    <w:p w:rsidR="007425AD" w:rsidRPr="007425AD" w:rsidRDefault="00A8413A" w:rsidP="00A8413A">
      <w:pPr>
        <w:pStyle w:val="739"/>
        <w:numPr>
          <w:ilvl w:val="0"/>
          <w:numId w:val="10"/>
        </w:numPr>
        <w:rPr>
          <w:b/>
          <w:bCs/>
        </w:rPr>
      </w:pPr>
      <w:r w:rsidRPr="007425AD">
        <w:rPr>
          <w:b/>
          <w:bCs/>
          <w:rtl/>
        </w:rPr>
        <w:t>בביקורת המעקב נמצא כי עד לפרוץ מלחמת חרבות ברזל הליקוי לא תוקן:</w:t>
      </w:r>
    </w:p>
    <w:p w:rsidR="007425AD" w:rsidRPr="00596650" w:rsidRDefault="00A8413A" w:rsidP="00A8413A">
      <w:pPr>
        <w:pStyle w:val="73f7"/>
        <w:numPr>
          <w:ilvl w:val="0"/>
          <w:numId w:val="11"/>
        </w:numPr>
      </w:pPr>
      <w:proofErr w:type="spellStart"/>
      <w:r w:rsidRPr="00596650">
        <w:rPr>
          <w:rtl/>
        </w:rPr>
        <w:t>משהב"ט</w:t>
      </w:r>
      <w:proofErr w:type="spellEnd"/>
      <w:r w:rsidRPr="00596650">
        <w:rPr>
          <w:rtl/>
        </w:rPr>
        <w:t xml:space="preserve"> לא מיפה את המתקנים החיוניים שנדרש למגנם, </w:t>
      </w:r>
      <w:r w:rsidRPr="00596650">
        <w:rPr>
          <w:rtl/>
        </w:rPr>
        <w:t xml:space="preserve">וממילא גם לא הכין </w:t>
      </w:r>
      <w:proofErr w:type="spellStart"/>
      <w:r w:rsidRPr="00596650">
        <w:rPr>
          <w:rtl/>
        </w:rPr>
        <w:t>תוכנית</w:t>
      </w:r>
      <w:proofErr w:type="spellEnd"/>
      <w:r w:rsidRPr="00596650">
        <w:rPr>
          <w:rtl/>
        </w:rPr>
        <w:t xml:space="preserve"> עבודה רב-שנתית למיגונם. זאת על אף הסיכון להיפגעותם מאיומים אוויריים המצויים בידי האויב בהיקף נרחב. </w:t>
      </w:r>
    </w:p>
    <w:p w:rsidR="007425AD" w:rsidRPr="00596650" w:rsidRDefault="00A8413A" w:rsidP="00A8413A">
      <w:pPr>
        <w:pStyle w:val="73f7"/>
        <w:numPr>
          <w:ilvl w:val="0"/>
          <w:numId w:val="11"/>
        </w:numPr>
      </w:pPr>
      <w:bookmarkStart w:id="1" w:name="_Hlk204163082"/>
      <w:r w:rsidRPr="00596650">
        <w:rPr>
          <w:rtl/>
        </w:rPr>
        <w:t xml:space="preserve">צה"ל לא יזם הצגה </w:t>
      </w:r>
      <w:proofErr w:type="spellStart"/>
      <w:r w:rsidRPr="00596650">
        <w:rPr>
          <w:rtl/>
        </w:rPr>
        <w:t>למשהב"ט</w:t>
      </w:r>
      <w:proofErr w:type="spellEnd"/>
      <w:r w:rsidRPr="00596650">
        <w:rPr>
          <w:rtl/>
        </w:rPr>
        <w:t xml:space="preserve"> של מידע מסוים לשם קידום הנושא.</w:t>
      </w:r>
      <w:bookmarkEnd w:id="1"/>
      <w:r w:rsidRPr="00596650">
        <w:rPr>
          <w:rFonts w:hint="cs"/>
          <w:rtl/>
        </w:rPr>
        <w:t xml:space="preserve"> </w:t>
      </w:r>
      <w:r w:rsidRPr="00596650">
        <w:rPr>
          <w:rtl/>
        </w:rPr>
        <w:t xml:space="preserve">פניותיו החוזרות ונשנות של גורם מסוים לשרי הביטחון בשנים 2019 - 2022 בדבר </w:t>
      </w:r>
      <w:r w:rsidRPr="00596650">
        <w:rPr>
          <w:rtl/>
        </w:rPr>
        <w:t xml:space="preserve">הצורך בקידום פתרונות לנושא מיגון המתקנים הקריטיים בגוף שלו, לרבות הקצאת משאבים, לא נענו, </w:t>
      </w:r>
      <w:proofErr w:type="spellStart"/>
      <w:r w:rsidRPr="00596650">
        <w:rPr>
          <w:rtl/>
        </w:rPr>
        <w:t>ומשהב"ט</w:t>
      </w:r>
      <w:proofErr w:type="spellEnd"/>
      <w:r w:rsidRPr="00596650">
        <w:rPr>
          <w:rtl/>
        </w:rPr>
        <w:t xml:space="preserve"> לא פעל למתן מענה בנושא. דבר זה הותיר את אותו הגוף בפערי מיגון משמעותיים.</w:t>
      </w:r>
    </w:p>
    <w:p w:rsidR="007425AD" w:rsidRPr="007425AD" w:rsidRDefault="00A8413A" w:rsidP="00A8413A">
      <w:pPr>
        <w:pStyle w:val="739"/>
        <w:numPr>
          <w:ilvl w:val="0"/>
          <w:numId w:val="10"/>
        </w:numPr>
        <w:rPr>
          <w:b/>
          <w:bCs/>
        </w:rPr>
      </w:pPr>
      <w:r w:rsidRPr="007425AD">
        <w:rPr>
          <w:b/>
          <w:bCs/>
          <w:rtl/>
        </w:rPr>
        <w:t xml:space="preserve">בביקורת המעקב נמצא כי לאחר פרוץ מלחמת חרבות ברזל הליקוי תוקן במידה מועטה: </w:t>
      </w:r>
    </w:p>
    <w:p w:rsidR="007425AD" w:rsidRPr="00596650" w:rsidRDefault="00A8413A" w:rsidP="00A8413A">
      <w:pPr>
        <w:pStyle w:val="73f7"/>
        <w:numPr>
          <w:ilvl w:val="0"/>
          <w:numId w:val="11"/>
        </w:numPr>
      </w:pPr>
      <w:proofErr w:type="spellStart"/>
      <w:r w:rsidRPr="00596650">
        <w:rPr>
          <w:rtl/>
        </w:rPr>
        <w:t>משהב"ט</w:t>
      </w:r>
      <w:proofErr w:type="spellEnd"/>
      <w:r w:rsidRPr="00596650">
        <w:rPr>
          <w:rtl/>
        </w:rPr>
        <w:t xml:space="preserve"> וצה"</w:t>
      </w:r>
      <w:r w:rsidRPr="00596650">
        <w:rPr>
          <w:rtl/>
        </w:rPr>
        <w:t>ל לא ביצעו עבודה משותפת שתכליתה הגדרת מתקנים חיוניים בגופים מסוימים.</w:t>
      </w:r>
    </w:p>
    <w:p w:rsidR="00EB672B" w:rsidRPr="00AF3B73" w:rsidRDefault="00A8413A" w:rsidP="00A8413A">
      <w:pPr>
        <w:pStyle w:val="73f7"/>
        <w:numPr>
          <w:ilvl w:val="0"/>
          <w:numId w:val="11"/>
        </w:numPr>
        <w:rPr>
          <w:rtl/>
        </w:rPr>
      </w:pPr>
      <w:proofErr w:type="spellStart"/>
      <w:r w:rsidRPr="00596650">
        <w:rPr>
          <w:rtl/>
        </w:rPr>
        <w:t>משהב"ט</w:t>
      </w:r>
      <w:proofErr w:type="spellEnd"/>
      <w:r w:rsidRPr="00596650">
        <w:rPr>
          <w:rtl/>
        </w:rPr>
        <w:t xml:space="preserve"> לא מיפה את המתקנים החיוניים שנדרש למגן בגופים מסוימים, וממילא גם לא הכין </w:t>
      </w:r>
      <w:proofErr w:type="spellStart"/>
      <w:r w:rsidRPr="00596650">
        <w:rPr>
          <w:rtl/>
        </w:rPr>
        <w:t>תוכנית</w:t>
      </w:r>
      <w:proofErr w:type="spellEnd"/>
      <w:r w:rsidRPr="00596650">
        <w:rPr>
          <w:rtl/>
        </w:rPr>
        <w:t xml:space="preserve"> עבודה רב-שנתית למיגונם לרבות תקצובה. זאת, מלבד מעורבות </w:t>
      </w:r>
      <w:proofErr w:type="spellStart"/>
      <w:r w:rsidRPr="00596650">
        <w:rPr>
          <w:rtl/>
        </w:rPr>
        <w:t>משהב"ט</w:t>
      </w:r>
      <w:proofErr w:type="spellEnd"/>
      <w:r w:rsidRPr="00596650">
        <w:rPr>
          <w:rtl/>
        </w:rPr>
        <w:t xml:space="preserve"> לקידום הצעה למימון </w:t>
      </w:r>
      <w:proofErr w:type="spellStart"/>
      <w:r w:rsidRPr="00596650">
        <w:rPr>
          <w:rtl/>
        </w:rPr>
        <w:t>תוכנית</w:t>
      </w:r>
      <w:proofErr w:type="spellEnd"/>
      <w:r w:rsidRPr="00596650">
        <w:rPr>
          <w:rtl/>
        </w:rPr>
        <w:t xml:space="preserve"> המיגון של מת</w:t>
      </w:r>
      <w:r w:rsidRPr="00596650">
        <w:rPr>
          <w:rtl/>
        </w:rPr>
        <w:t xml:space="preserve">קנים חיוניים בגוף מסוים; ומלבד ביצוע פעילות מיגון נקודתית - פעולות שאינן מחליפות את עבודת המטה הנדרשת לצורך המיגון הפיזי של המתקנים החיוניים בגופים מסוימים. רק בדצמבר 2024, עם סיום ביקורת המעקב, הנחה מנכ"ל </w:t>
      </w:r>
      <w:proofErr w:type="spellStart"/>
      <w:r w:rsidRPr="00596650">
        <w:rPr>
          <w:rtl/>
        </w:rPr>
        <w:t>משהב"ט</w:t>
      </w:r>
      <w:proofErr w:type="spellEnd"/>
      <w:r w:rsidRPr="00596650">
        <w:rPr>
          <w:rtl/>
        </w:rPr>
        <w:t xml:space="preserve"> על הקמת צוות בנושא מיגון של מתקנים חיוניים.</w:t>
      </w:r>
    </w:p>
    <w:p w:rsidR="007425AD" w:rsidRPr="00596650" w:rsidRDefault="00A8413A" w:rsidP="007425AD">
      <w:pPr>
        <w:pStyle w:val="7390"/>
      </w:pPr>
      <w:r w:rsidRPr="0063556C">
        <w:rPr>
          <w:rStyle w:val="7372"/>
          <w:rFonts w:hint="cs"/>
          <w:rtl/>
        </w:rPr>
        <w:drawing>
          <wp:anchor distT="0" distB="0" distL="114300" distR="114300" simplePos="0" relativeHeight="25168998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96650">
        <w:rPr>
          <w:rtl/>
        </w:rPr>
        <w:t>תוכנית למיגון ויתירות של מתקנים חיוניים בגוף מסוים</w:t>
      </w:r>
    </w:p>
    <w:p w:rsidR="007425AD" w:rsidRPr="00596650" w:rsidRDefault="00A8413A" w:rsidP="00A8413A">
      <w:pPr>
        <w:pStyle w:val="73f7"/>
        <w:numPr>
          <w:ilvl w:val="0"/>
          <w:numId w:val="12"/>
        </w:numPr>
      </w:pPr>
      <w:r w:rsidRPr="00596650">
        <w:rPr>
          <w:rtl/>
        </w:rPr>
        <w:t xml:space="preserve">בעקבות הנחיית ראש הממשלה את ראש </w:t>
      </w:r>
      <w:proofErr w:type="spellStart"/>
      <w:r w:rsidRPr="00596650">
        <w:rPr>
          <w:rtl/>
        </w:rPr>
        <w:t>המל"ל</w:t>
      </w:r>
      <w:proofErr w:type="spellEnd"/>
      <w:r w:rsidRPr="00596650">
        <w:rPr>
          <w:rtl/>
        </w:rPr>
        <w:t xml:space="preserve"> לקיים דיון בנושא </w:t>
      </w:r>
      <w:proofErr w:type="spellStart"/>
      <w:r w:rsidRPr="00596650">
        <w:rPr>
          <w:rtl/>
        </w:rPr>
        <w:t>תוכנית</w:t>
      </w:r>
      <w:proofErr w:type="spellEnd"/>
      <w:r w:rsidRPr="00596650">
        <w:rPr>
          <w:rtl/>
        </w:rPr>
        <w:t xml:space="preserve"> המיגון בגוף מסוים, קיים </w:t>
      </w:r>
      <w:proofErr w:type="spellStart"/>
      <w:r w:rsidRPr="00596650">
        <w:rPr>
          <w:rtl/>
        </w:rPr>
        <w:t>המל"ל</w:t>
      </w:r>
      <w:proofErr w:type="spellEnd"/>
      <w:r w:rsidRPr="00596650">
        <w:rPr>
          <w:rtl/>
        </w:rPr>
        <w:t xml:space="preserve"> דיונים בנושא. בביקורת המעקב עלה כי בהמשך להנחיית ראש הממשלה מנובמבר 2023 הנחה ראש </w:t>
      </w:r>
      <w:proofErr w:type="spellStart"/>
      <w:r w:rsidRPr="00596650">
        <w:rPr>
          <w:rtl/>
        </w:rPr>
        <w:t>המל"ל</w:t>
      </w:r>
      <w:proofErr w:type="spellEnd"/>
      <w:r w:rsidRPr="00596650">
        <w:rPr>
          <w:rtl/>
        </w:rPr>
        <w:t xml:space="preserve"> ביוני 2024 כי </w:t>
      </w:r>
      <w:proofErr w:type="spellStart"/>
      <w:r w:rsidRPr="00596650">
        <w:rPr>
          <w:rtl/>
        </w:rPr>
        <w:t>משהב"ט</w:t>
      </w:r>
      <w:proofErr w:type="spellEnd"/>
      <w:r w:rsidRPr="00596650">
        <w:rPr>
          <w:rtl/>
        </w:rPr>
        <w:t xml:space="preserve"> יע</w:t>
      </w:r>
      <w:r w:rsidRPr="00596650">
        <w:rPr>
          <w:rtl/>
        </w:rPr>
        <w:t xml:space="preserve">ביר את התייחסותו לנוסח חוות הדעת בעניין </w:t>
      </w:r>
      <w:proofErr w:type="spellStart"/>
      <w:r w:rsidRPr="00596650">
        <w:rPr>
          <w:rtl/>
        </w:rPr>
        <w:t>תוכנית</w:t>
      </w:r>
      <w:proofErr w:type="spellEnd"/>
      <w:r w:rsidRPr="00596650">
        <w:rPr>
          <w:rtl/>
        </w:rPr>
        <w:t xml:space="preserve"> המיגון של גוף זה עד ליולי 2024. רק בינואר 2025, במועד השלמת ביקורת המעקב וכחצי שנה לאחר המועד שהתבקש לעשות זאת, </w:t>
      </w:r>
      <w:proofErr w:type="spellStart"/>
      <w:r w:rsidRPr="00596650">
        <w:rPr>
          <w:rtl/>
        </w:rPr>
        <w:t>משהב"ט</w:t>
      </w:r>
      <w:proofErr w:type="spellEnd"/>
      <w:r w:rsidRPr="00596650">
        <w:rPr>
          <w:rtl/>
        </w:rPr>
        <w:t xml:space="preserve"> </w:t>
      </w:r>
      <w:hyperlink r:id="rId26" w:history="1">
        <w:r w:rsidRPr="00596650">
          <w:rPr>
            <w:rtl/>
          </w:rPr>
          <w:t>העביר</w:t>
        </w:r>
      </w:hyperlink>
      <w:r w:rsidRPr="00596650">
        <w:rPr>
          <w:rtl/>
        </w:rPr>
        <w:t xml:space="preserve"> </w:t>
      </w:r>
      <w:r w:rsidRPr="00596650">
        <w:rPr>
          <w:rtl/>
        </w:rPr>
        <w:t xml:space="preserve">את חוות דעתו </w:t>
      </w:r>
      <w:proofErr w:type="spellStart"/>
      <w:r w:rsidRPr="00596650">
        <w:rPr>
          <w:rtl/>
        </w:rPr>
        <w:t>למל"ל</w:t>
      </w:r>
      <w:proofErr w:type="spellEnd"/>
      <w:r w:rsidRPr="00596650">
        <w:rPr>
          <w:rtl/>
        </w:rPr>
        <w:t>.</w:t>
      </w:r>
    </w:p>
    <w:p w:rsidR="007425AD" w:rsidRPr="00596650" w:rsidRDefault="00A8413A" w:rsidP="00A8413A">
      <w:pPr>
        <w:pStyle w:val="73f7"/>
        <w:numPr>
          <w:ilvl w:val="0"/>
          <w:numId w:val="12"/>
        </w:numPr>
      </w:pPr>
      <w:r w:rsidRPr="00596650">
        <w:rPr>
          <w:rtl/>
        </w:rPr>
        <w:t xml:space="preserve">נכון למועד השלמת הביקורת (ינואר 2025) </w:t>
      </w:r>
      <w:proofErr w:type="spellStart"/>
      <w:r w:rsidRPr="00596650">
        <w:rPr>
          <w:rtl/>
        </w:rPr>
        <w:t>המל"ל</w:t>
      </w:r>
      <w:proofErr w:type="spellEnd"/>
      <w:r w:rsidRPr="00596650">
        <w:rPr>
          <w:rtl/>
        </w:rPr>
        <w:t xml:space="preserve"> </w:t>
      </w:r>
      <w:proofErr w:type="spellStart"/>
      <w:r w:rsidRPr="00596650">
        <w:rPr>
          <w:rtl/>
        </w:rPr>
        <w:t>ומשהב"ט</w:t>
      </w:r>
      <w:proofErr w:type="spellEnd"/>
      <w:r w:rsidRPr="00596650">
        <w:rPr>
          <w:rtl/>
        </w:rPr>
        <w:t xml:space="preserve"> לא השלימו את </w:t>
      </w:r>
      <w:proofErr w:type="spellStart"/>
      <w:r w:rsidRPr="00596650">
        <w:rPr>
          <w:rtl/>
        </w:rPr>
        <w:t>תוכנית</w:t>
      </w:r>
      <w:proofErr w:type="spellEnd"/>
      <w:r w:rsidRPr="00596650">
        <w:rPr>
          <w:rtl/>
        </w:rPr>
        <w:t xml:space="preserve"> המיגון בגוף המסוים, לרבות תקצובה.</w:t>
      </w:r>
    </w:p>
    <w:p w:rsidR="00EB672B" w:rsidRPr="00AF3B73" w:rsidRDefault="00A8413A" w:rsidP="00EB672B">
      <w:pPr>
        <w:pStyle w:val="73f7"/>
        <w:rPr>
          <w:rtl/>
        </w:rPr>
      </w:pPr>
      <w:r w:rsidRPr="007425AD">
        <w:rPr>
          <w:rStyle w:val="7391"/>
          <w:rFonts w:hint="cs"/>
          <w:rtl/>
        </w:rPr>
        <w:drawing>
          <wp:anchor distT="0" distB="0" distL="114300" distR="114300" simplePos="0" relativeHeight="25169100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2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7425AD" w:rsidRPr="007425AD">
        <w:rPr>
          <w:rStyle w:val="7391"/>
          <w:rtl/>
        </w:rPr>
        <w:t>חלוקת הסמכות והאחריות בנוגע למיגון המתקנים החיוניים בגופים מסוימים בין גורמי מעהב"ט -</w:t>
      </w:r>
      <w:r w:rsidR="007425AD" w:rsidRPr="00267EEA">
        <w:rPr>
          <w:rtl/>
        </w:rPr>
        <w:t xml:space="preserve"> בביקורת עלה כי בתקופה שבין ינואר 2019 ועד למועד סיום ביקורת המעקב (דצמבר 2024) עברו הסמכות והאחריות בנוגע למיגון המתקנים בין כמה גורמים </w:t>
      </w:r>
      <w:proofErr w:type="spellStart"/>
      <w:r w:rsidR="007425AD" w:rsidRPr="00267EEA">
        <w:rPr>
          <w:rtl/>
        </w:rPr>
        <w:t>במעהב"ט</w:t>
      </w:r>
      <w:proofErr w:type="spellEnd"/>
      <w:r w:rsidR="007425AD" w:rsidRPr="00267EEA">
        <w:rPr>
          <w:rtl/>
        </w:rPr>
        <w:t xml:space="preserve">, אך במשך תקופה זו מנה"ר, אגף התכנון </w:t>
      </w:r>
      <w:proofErr w:type="spellStart"/>
      <w:r w:rsidR="007425AD" w:rsidRPr="00267EEA">
        <w:rPr>
          <w:rtl/>
        </w:rPr>
        <w:t>ורח"ל</w:t>
      </w:r>
      <w:proofErr w:type="spellEnd"/>
      <w:r w:rsidR="007425AD" w:rsidRPr="00267EEA">
        <w:rPr>
          <w:rtl/>
        </w:rPr>
        <w:t xml:space="preserve"> לא פעלו למימוש אחריותם </w:t>
      </w:r>
      <w:r w:rsidR="007425AD" w:rsidRPr="00267EEA">
        <w:rPr>
          <w:rtl/>
        </w:rPr>
        <w:lastRenderedPageBreak/>
        <w:t>בנושא. יתרה מכך, הגורמים האמורים אינם רואים בעצמם אחראים על נושא זה וממילא לא פעלו לקידומו. פער זה גרם לאי-קבלת החלטות בנושא ולאי-קידומו</w:t>
      </w:r>
      <w:r w:rsidRPr="00AF3B73">
        <w:rPr>
          <w:rFonts w:hint="cs"/>
          <w:rtl/>
        </w:rPr>
        <w:t>.</w:t>
      </w:r>
    </w:p>
    <w:p w:rsidR="007425AD" w:rsidRPr="00267EEA" w:rsidRDefault="00A8413A" w:rsidP="007425AD">
      <w:pPr>
        <w:pStyle w:val="73f7"/>
      </w:pPr>
      <w:r w:rsidRPr="007425AD">
        <w:rPr>
          <w:rStyle w:val="7391"/>
          <w:rFonts w:hint="cs"/>
          <w:rtl/>
        </w:rPr>
        <w:drawing>
          <wp:anchor distT="0" distB="0" distL="114300" distR="114300" simplePos="0" relativeHeight="25169203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28"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425AD">
        <w:rPr>
          <w:rStyle w:val="7391"/>
          <w:rtl/>
        </w:rPr>
        <w:t>מעורבות המל"ל בנושא ההגנה על מתקנים חיוניים בגופים מסוימים -</w:t>
      </w:r>
      <w:r w:rsidRPr="00267EEA">
        <w:rPr>
          <w:rtl/>
        </w:rPr>
        <w:t xml:space="preserve"> בביקורת הקודמת עלה כי </w:t>
      </w:r>
      <w:proofErr w:type="spellStart"/>
      <w:r w:rsidRPr="00267EEA">
        <w:rPr>
          <w:rtl/>
        </w:rPr>
        <w:t>המל"ל</w:t>
      </w:r>
      <w:proofErr w:type="spellEnd"/>
      <w:r w:rsidRPr="00267EEA">
        <w:rPr>
          <w:rtl/>
        </w:rPr>
        <w:t xml:space="preserve"> לא הציע לראש הממשלה נושאים לדיון בישיבות ועדת השרים להכנת העורף לשעת חירום בתקופת כהונתה או בישיבות הקבינט המדיני-ביטח</w:t>
      </w:r>
      <w:r w:rsidRPr="00267EEA">
        <w:rPr>
          <w:rtl/>
        </w:rPr>
        <w:t xml:space="preserve">וני, בעניין קיומה וטיבה של פעילות הגורמים הנוגעים להגנה על מתקנים חיוניים בגופים מסוימים, לרבות מיגונן הפיזי במידת הצורך, לוחות הזמנים והתקציב הנדרש לכך. זאת על אף האמור בחוק </w:t>
      </w:r>
      <w:proofErr w:type="spellStart"/>
      <w:r w:rsidRPr="00267EEA">
        <w:rPr>
          <w:rtl/>
        </w:rPr>
        <w:t>המל"ל</w:t>
      </w:r>
      <w:proofErr w:type="spellEnd"/>
      <w:r w:rsidRPr="00267EEA">
        <w:rPr>
          <w:rtl/>
        </w:rPr>
        <w:t xml:space="preserve"> ולמרות חשיבותם הלאומית של תשתיות אלה. </w:t>
      </w:r>
    </w:p>
    <w:p w:rsidR="007425AD" w:rsidRPr="00267EEA" w:rsidRDefault="00A8413A" w:rsidP="00A8413A">
      <w:pPr>
        <w:pStyle w:val="7390"/>
        <w:numPr>
          <w:ilvl w:val="0"/>
          <w:numId w:val="13"/>
        </w:numPr>
      </w:pPr>
      <w:r w:rsidRPr="00267EEA">
        <w:rPr>
          <w:rtl/>
        </w:rPr>
        <w:t>בביקורת המעקב נמצא כי עד לפרוץ מלחמת</w:t>
      </w:r>
      <w:r w:rsidRPr="00267EEA">
        <w:rPr>
          <w:rtl/>
        </w:rPr>
        <w:t xml:space="preserve"> חרבות ברזל הליקוי לא תוקן</w:t>
      </w:r>
      <w:r w:rsidRPr="00267EEA">
        <w:rPr>
          <w:rFonts w:hint="cs"/>
          <w:rtl/>
        </w:rPr>
        <w:t>:</w:t>
      </w:r>
      <w:r w:rsidRPr="00267EEA">
        <w:rPr>
          <w:rtl/>
        </w:rPr>
        <w:t xml:space="preserve"> </w:t>
      </w:r>
    </w:p>
    <w:p w:rsidR="007425AD" w:rsidRPr="00267EEA" w:rsidRDefault="00A8413A" w:rsidP="00A8413A">
      <w:pPr>
        <w:pStyle w:val="73f7"/>
        <w:numPr>
          <w:ilvl w:val="0"/>
          <w:numId w:val="11"/>
        </w:numPr>
      </w:pPr>
      <w:r w:rsidRPr="00267EEA">
        <w:rPr>
          <w:rtl/>
        </w:rPr>
        <w:t xml:space="preserve">ממועד סיום הביקורת הקודמת (אפריל 2019) ועד לפרוץ מלחמת חרבות ברזל </w:t>
      </w:r>
      <w:proofErr w:type="spellStart"/>
      <w:r w:rsidRPr="00267EEA">
        <w:rPr>
          <w:rtl/>
        </w:rPr>
        <w:t>המל"ל</w:t>
      </w:r>
      <w:proofErr w:type="spellEnd"/>
      <w:r w:rsidRPr="00267EEA">
        <w:rPr>
          <w:rtl/>
        </w:rPr>
        <w:t>, כגוף שמרכז את עבודת המטה של הממשלה, של הקבינט המדיני-ביטחוני ושל כל ועדת שרים אחרת בענייני החוץ והביטחון וכגוף שמציע לראש הממשלה סדר יום ונושאים שיידונו ב</w:t>
      </w:r>
      <w:r w:rsidRPr="00267EEA">
        <w:rPr>
          <w:rtl/>
        </w:rPr>
        <w:t>ישיבות הקבינט המדיני-ביטחוני, לא הציע לראש הממשלה להעלות לפני הקבינט המדיני-ביטחוני את סוגיית היערכותם של הגורמים הנוגעים להגנה על המתקנים החיוניים בגופים מסוימים, לרבות מיגונם הפיזי במידת הצורך; וממילא הנושא לא נדון במסגרת ישיבות הקבינט המדיני-ביטחוני. זא</w:t>
      </w:r>
      <w:r w:rsidRPr="00267EEA">
        <w:rPr>
          <w:rtl/>
        </w:rPr>
        <w:t>ת, על אף חשיבותם הלאומית של המתקנים החיוניים בגופים מסוימים ולמרות המלצת מבקר המדינה בדוח הקודם.</w:t>
      </w:r>
    </w:p>
    <w:p w:rsidR="007425AD" w:rsidRPr="00267EEA" w:rsidRDefault="00A8413A" w:rsidP="00A8413A">
      <w:pPr>
        <w:pStyle w:val="73f7"/>
        <w:numPr>
          <w:ilvl w:val="0"/>
          <w:numId w:val="11"/>
        </w:numPr>
        <w:rPr>
          <w:rtl/>
        </w:rPr>
      </w:pPr>
      <w:r w:rsidRPr="00267EEA">
        <w:rPr>
          <w:rtl/>
        </w:rPr>
        <w:t xml:space="preserve">על אף ההבנה שמערכות ההגנה האווירית אינן מספקות מענה הרמטי, ואף </w:t>
      </w:r>
      <w:proofErr w:type="spellStart"/>
      <w:r w:rsidRPr="00267EEA">
        <w:rPr>
          <w:rtl/>
        </w:rPr>
        <w:t>שהמל"ל</w:t>
      </w:r>
      <w:proofErr w:type="spellEnd"/>
      <w:r w:rsidRPr="00267EEA">
        <w:rPr>
          <w:rtl/>
        </w:rPr>
        <w:t xml:space="preserve"> השתתף בפעילות הנוגעת למיגון מתקנים חיוניים מסוימים, הוא לא עסק בנושא מיגונם הפיזי של מתקנ</w:t>
      </w:r>
      <w:r w:rsidRPr="00267EEA">
        <w:rPr>
          <w:rtl/>
        </w:rPr>
        <w:t>ים חיוניים אחרים עד לפרוץ מלחמת חרבות ברזל, שבמהלכה התממשו האיומים האוויריים.</w:t>
      </w:r>
    </w:p>
    <w:p w:rsidR="007425AD" w:rsidRPr="005F36DE" w:rsidRDefault="00A8413A" w:rsidP="00A8413A">
      <w:pPr>
        <w:pStyle w:val="7390"/>
        <w:numPr>
          <w:ilvl w:val="0"/>
          <w:numId w:val="13"/>
        </w:numPr>
        <w:rPr>
          <w:b/>
          <w:bCs w:val="0"/>
          <w:spacing w:val="-4"/>
        </w:rPr>
      </w:pPr>
      <w:r w:rsidRPr="005F36DE">
        <w:rPr>
          <w:spacing w:val="-4"/>
          <w:rtl/>
        </w:rPr>
        <w:t>בביקורת המעקב נמצא כי מפרוץ מלחמת חרבות ברזל הליקוי תוקן במידה מועטה</w:t>
      </w:r>
      <w:r w:rsidRPr="005F36DE">
        <w:rPr>
          <w:rFonts w:hint="cs"/>
          <w:spacing w:val="-4"/>
          <w:rtl/>
        </w:rPr>
        <w:t>:</w:t>
      </w:r>
      <w:r w:rsidRPr="005F36DE">
        <w:rPr>
          <w:spacing w:val="-4"/>
          <w:rtl/>
        </w:rPr>
        <w:t xml:space="preserve"> </w:t>
      </w:r>
      <w:r w:rsidRPr="005F36DE">
        <w:rPr>
          <w:b/>
          <w:bCs w:val="0"/>
          <w:spacing w:val="-4"/>
          <w:rtl/>
        </w:rPr>
        <w:t xml:space="preserve">רק לאחר פרוץ מלחמת חרבות ברזל, שבמהלכה התממש האיום האווירי על מתקנים חיוניים, עם התערבות ראש הממשלה בעניין </w:t>
      </w:r>
      <w:r w:rsidRPr="005F36DE">
        <w:rPr>
          <w:b/>
          <w:bCs w:val="0"/>
          <w:spacing w:val="-4"/>
          <w:rtl/>
        </w:rPr>
        <w:t>ולאחר פניית גורם מסוים לראש המל"ל בדצמבר 2023, קיים המל"ל לראשונה דיון ייעודי בנושא מיגון המתקנים החיוניים, אך טרם נקבע מתווה לקידום הנושא. עוד עלה בביקורת המעקב כי על אף התממשות איומים אוויריים משמעותיים במהלך המלחמה, עד למועד סיום הביקורת המל"ל לא השיג א</w:t>
      </w:r>
      <w:r w:rsidRPr="005F36DE">
        <w:rPr>
          <w:b/>
          <w:bCs w:val="0"/>
          <w:spacing w:val="-4"/>
          <w:rtl/>
        </w:rPr>
        <w:t>ת השלמתה של בחינה מקיפה של הצורך במיגון המתקנים החיוניים בגופים מסוימים ולא הציע לראש ממשלה להעלות סוגיה זו לפני הקבינט המדיני-ביטחוני.</w:t>
      </w:r>
    </w:p>
    <w:p w:rsidR="007425AD" w:rsidRPr="007425AD" w:rsidRDefault="00A8413A" w:rsidP="007425AD">
      <w:pPr>
        <w:pStyle w:val="73f7"/>
        <w:rPr>
          <w:rStyle w:val="7391"/>
        </w:rPr>
      </w:pPr>
      <w:r w:rsidRPr="007425AD">
        <w:rPr>
          <w:rStyle w:val="7391"/>
          <w:rFonts w:hint="cs"/>
          <w:rtl/>
        </w:rPr>
        <w:drawing>
          <wp:anchor distT="0" distB="0" distL="114300" distR="114300" simplePos="0" relativeHeight="25169305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3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425AD">
        <w:rPr>
          <w:rStyle w:val="7391"/>
          <w:rtl/>
        </w:rPr>
        <w:t>מקורות המימון למימוש תוכנית מיגון -</w:t>
      </w:r>
      <w:r w:rsidRPr="00267EEA">
        <w:rPr>
          <w:rtl/>
        </w:rPr>
        <w:t xml:space="preserve"> בביקורת הקודמת עלה כי אין בידי </w:t>
      </w:r>
      <w:proofErr w:type="spellStart"/>
      <w:r w:rsidRPr="00267EEA">
        <w:rPr>
          <w:rtl/>
        </w:rPr>
        <w:t>משהב"ט</w:t>
      </w:r>
      <w:proofErr w:type="spellEnd"/>
      <w:r w:rsidRPr="00267EEA">
        <w:rPr>
          <w:rtl/>
        </w:rPr>
        <w:t xml:space="preserve"> </w:t>
      </w:r>
      <w:proofErr w:type="spellStart"/>
      <w:r w:rsidRPr="00267EEA">
        <w:rPr>
          <w:rtl/>
        </w:rPr>
        <w:t>תוכנית</w:t>
      </w:r>
      <w:proofErr w:type="spellEnd"/>
      <w:r w:rsidRPr="00267EEA">
        <w:rPr>
          <w:rtl/>
        </w:rPr>
        <w:t xml:space="preserve"> עבודה למיגון המתקנים החיוניים, לרבות ת</w:t>
      </w:r>
      <w:r w:rsidRPr="00267EEA">
        <w:rPr>
          <w:rtl/>
        </w:rPr>
        <w:t xml:space="preserve">קצובה. בביקורת המעקב נמצא כי </w:t>
      </w:r>
      <w:r w:rsidRPr="007425AD">
        <w:rPr>
          <w:rStyle w:val="7391"/>
          <w:b/>
          <w:bCs w:val="0"/>
          <w:rtl/>
        </w:rPr>
        <w:t>הליקוי</w:t>
      </w:r>
      <w:r w:rsidRPr="007425AD">
        <w:rPr>
          <w:rStyle w:val="7391"/>
          <w:rtl/>
        </w:rPr>
        <w:t xml:space="preserve"> לא תוקן:</w:t>
      </w:r>
    </w:p>
    <w:p w:rsidR="007425AD" w:rsidRPr="00267EEA" w:rsidRDefault="00A8413A" w:rsidP="00A8413A">
      <w:pPr>
        <w:pStyle w:val="73f7"/>
        <w:numPr>
          <w:ilvl w:val="0"/>
          <w:numId w:val="12"/>
        </w:numPr>
      </w:pPr>
      <w:r w:rsidRPr="00267EEA">
        <w:rPr>
          <w:rtl/>
        </w:rPr>
        <w:t xml:space="preserve">נכון למועד סיום הביקורת, דצמבר 2024, </w:t>
      </w:r>
      <w:proofErr w:type="spellStart"/>
      <w:r w:rsidRPr="00267EEA">
        <w:rPr>
          <w:rtl/>
        </w:rPr>
        <w:t>משהב"ט</w:t>
      </w:r>
      <w:proofErr w:type="spellEnd"/>
      <w:r w:rsidRPr="00267EEA">
        <w:rPr>
          <w:rtl/>
        </w:rPr>
        <w:t xml:space="preserve"> לא פעל למציאת פתרון לסוגיית המימון, לרבות העלאת הנושא לממשלה, כפי שהמליץ מבקר המדינה בדוח הקודם. זאת, על אף ההכרה בחשיבות של המתקנים החיוניים בגופים מסוימים</w:t>
      </w:r>
      <w:r w:rsidRPr="00267EEA">
        <w:rPr>
          <w:rFonts w:hint="cs"/>
          <w:rtl/>
        </w:rPr>
        <w:t xml:space="preserve"> </w:t>
      </w:r>
      <w:r w:rsidRPr="00267EEA">
        <w:rPr>
          <w:rtl/>
        </w:rPr>
        <w:t xml:space="preserve">ובסיכונים </w:t>
      </w:r>
      <w:r w:rsidRPr="00267EEA">
        <w:rPr>
          <w:rtl/>
        </w:rPr>
        <w:t>המוחשיים להיפגעותם מאיומים אוויריים, וההבנה כי עלויות המיגון גבוהות ונדרש לסכם את מקורות מימונן.</w:t>
      </w:r>
    </w:p>
    <w:p w:rsidR="007425AD" w:rsidRPr="00267EEA" w:rsidRDefault="00A8413A" w:rsidP="00A8413A">
      <w:pPr>
        <w:pStyle w:val="73f7"/>
        <w:numPr>
          <w:ilvl w:val="0"/>
          <w:numId w:val="12"/>
        </w:numPr>
        <w:rPr>
          <w:rtl/>
        </w:rPr>
      </w:pPr>
      <w:r w:rsidRPr="00267EEA">
        <w:rPr>
          <w:rtl/>
        </w:rPr>
        <w:lastRenderedPageBreak/>
        <w:t xml:space="preserve">חרף הנחייתו של </w:t>
      </w:r>
      <w:proofErr w:type="spellStart"/>
      <w:r w:rsidRPr="00267EEA">
        <w:rPr>
          <w:rtl/>
        </w:rPr>
        <w:t>המל"ל</w:t>
      </w:r>
      <w:proofErr w:type="spellEnd"/>
      <w:r w:rsidRPr="00267EEA">
        <w:rPr>
          <w:rtl/>
        </w:rPr>
        <w:t xml:space="preserve"> </w:t>
      </w:r>
      <w:proofErr w:type="spellStart"/>
      <w:r w:rsidRPr="00267EEA">
        <w:rPr>
          <w:rtl/>
        </w:rPr>
        <w:t>למשהב"ט</w:t>
      </w:r>
      <w:proofErr w:type="spellEnd"/>
      <w:r w:rsidRPr="00267EEA">
        <w:rPr>
          <w:rtl/>
        </w:rPr>
        <w:t xml:space="preserve"> לבצע עבודת מטה ולקבוע מדיניות אחודה, לרבות קריטריונים ברורים, להשתתפות המדינה במימון בקשות עתידיות למיגון מתקנים בגופים מסוימים</w:t>
      </w:r>
      <w:r w:rsidRPr="00267EEA">
        <w:rPr>
          <w:rFonts w:hint="cs"/>
          <w:rtl/>
        </w:rPr>
        <w:t xml:space="preserve"> </w:t>
      </w:r>
      <w:r w:rsidRPr="00267EEA">
        <w:rPr>
          <w:rtl/>
        </w:rPr>
        <w:t xml:space="preserve">- </w:t>
      </w:r>
      <w:proofErr w:type="spellStart"/>
      <w:r w:rsidRPr="00267EEA">
        <w:rPr>
          <w:rtl/>
        </w:rPr>
        <w:t>משהב"ט</w:t>
      </w:r>
      <w:proofErr w:type="spellEnd"/>
      <w:r w:rsidRPr="00267EEA">
        <w:rPr>
          <w:rtl/>
        </w:rPr>
        <w:t xml:space="preserve"> לא ביצע את עבודת המטה האמורה. לפיכך, נכון למועד סיום הביקורת, דצמבר 2024, וכשנה לאחר פניית גורם מסוים בנושא </w:t>
      </w:r>
      <w:proofErr w:type="spellStart"/>
      <w:r w:rsidRPr="00267EEA">
        <w:rPr>
          <w:rtl/>
        </w:rPr>
        <w:t>תוכנית</w:t>
      </w:r>
      <w:proofErr w:type="spellEnd"/>
      <w:r w:rsidRPr="00267EEA">
        <w:rPr>
          <w:rtl/>
        </w:rPr>
        <w:t xml:space="preserve"> המיגון של גוף מסוים</w:t>
      </w:r>
      <w:r w:rsidRPr="00267EEA">
        <w:rPr>
          <w:rFonts w:hint="cs"/>
          <w:rtl/>
        </w:rPr>
        <w:t xml:space="preserve"> </w:t>
      </w:r>
      <w:r w:rsidRPr="00267EEA">
        <w:rPr>
          <w:rtl/>
        </w:rPr>
        <w:t>- לא התקבלה החלטה בנוגע לתוכנית ולאופן מימונה.</w:t>
      </w:r>
    </w:p>
    <w:p w:rsidR="007425AD" w:rsidRPr="00267EEA" w:rsidRDefault="00A8413A" w:rsidP="00A8413A">
      <w:pPr>
        <w:pStyle w:val="73f7"/>
        <w:numPr>
          <w:ilvl w:val="0"/>
          <w:numId w:val="12"/>
        </w:numPr>
        <w:rPr>
          <w:rtl/>
        </w:rPr>
      </w:pPr>
      <w:r w:rsidRPr="00267EEA">
        <w:rPr>
          <w:rtl/>
        </w:rPr>
        <w:t xml:space="preserve">בביקורת המעקב עלה כי </w:t>
      </w:r>
      <w:proofErr w:type="spellStart"/>
      <w:r w:rsidRPr="00267EEA">
        <w:rPr>
          <w:rtl/>
        </w:rPr>
        <w:t>המל"ל</w:t>
      </w:r>
      <w:proofErr w:type="spellEnd"/>
      <w:r w:rsidRPr="00267EEA">
        <w:rPr>
          <w:rtl/>
        </w:rPr>
        <w:t xml:space="preserve">, </w:t>
      </w:r>
      <w:proofErr w:type="spellStart"/>
      <w:r w:rsidRPr="00267EEA">
        <w:rPr>
          <w:rtl/>
        </w:rPr>
        <w:t>משהב"ט</w:t>
      </w:r>
      <w:proofErr w:type="spellEnd"/>
      <w:r w:rsidRPr="00267EEA">
        <w:rPr>
          <w:rtl/>
        </w:rPr>
        <w:t>, משרד האוצר וגורם רגולטורי מסוים</w:t>
      </w:r>
      <w:r w:rsidRPr="00267EEA">
        <w:rPr>
          <w:rtl/>
        </w:rPr>
        <w:t xml:space="preserve"> טרם הגיעו לסיכום לגבי המקור התקציבי למיגון המתקנים החיוניים בגופים מסוימים, וכי כל אחד מהגורמים ראה לנגד עיניו פתרון שונה לסוגיית המימון. עמדת </w:t>
      </w:r>
      <w:proofErr w:type="spellStart"/>
      <w:r w:rsidRPr="00267EEA">
        <w:rPr>
          <w:rtl/>
        </w:rPr>
        <w:t>משהב"ט</w:t>
      </w:r>
      <w:proofErr w:type="spellEnd"/>
      <w:r w:rsidRPr="00267EEA">
        <w:rPr>
          <w:rtl/>
        </w:rPr>
        <w:t xml:space="preserve"> היא כי אין בתקציב המשרד המקורות הנדרשים למימון המיגון של גופים מסוימים. עמדת אגף </w:t>
      </w:r>
      <w:proofErr w:type="spellStart"/>
      <w:r w:rsidRPr="00267EEA">
        <w:rPr>
          <w:rtl/>
        </w:rPr>
        <w:t>החשכ"ל</w:t>
      </w:r>
      <w:proofErr w:type="spellEnd"/>
      <w:r w:rsidRPr="00267EEA">
        <w:rPr>
          <w:rtl/>
        </w:rPr>
        <w:t xml:space="preserve"> ואגף התקציבים במש</w:t>
      </w:r>
      <w:r w:rsidRPr="00267EEA">
        <w:rPr>
          <w:rtl/>
        </w:rPr>
        <w:t xml:space="preserve">רד האוצר היא כי המימון צריך להינתן ממקורות של גופים מסוימים או להיעשות מתוך תקציב </w:t>
      </w:r>
      <w:proofErr w:type="spellStart"/>
      <w:r w:rsidRPr="00267EEA">
        <w:rPr>
          <w:rtl/>
        </w:rPr>
        <w:t>משהב"ט</w:t>
      </w:r>
      <w:proofErr w:type="spellEnd"/>
      <w:r w:rsidRPr="00267EEA">
        <w:rPr>
          <w:rtl/>
        </w:rPr>
        <w:t xml:space="preserve">. </w:t>
      </w:r>
    </w:p>
    <w:p w:rsidR="00EB672B" w:rsidRPr="005F36DE" w:rsidRDefault="00A8413A" w:rsidP="00EB672B">
      <w:pPr>
        <w:pStyle w:val="73f7"/>
        <w:rPr>
          <w:spacing w:val="-2"/>
          <w:rtl/>
        </w:rPr>
      </w:pPr>
      <w:r w:rsidRPr="005F36DE">
        <w:rPr>
          <w:rStyle w:val="7391"/>
          <w:rFonts w:hint="cs"/>
          <w:spacing w:val="-2"/>
          <w:rtl/>
        </w:rPr>
        <w:drawing>
          <wp:anchor distT="0" distB="0" distL="114300" distR="114300" simplePos="0" relativeHeight="251694080"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3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7425AD" w:rsidRPr="005F36DE">
        <w:rPr>
          <w:rStyle w:val="7391"/>
          <w:spacing w:val="-2"/>
          <w:rtl/>
        </w:rPr>
        <w:t>הסדרה נורמטיבית של נושא מיגון המתקנים החיוניים בגופים מסוימים באמצעות חוק -</w:t>
      </w:r>
      <w:r w:rsidR="007425AD" w:rsidRPr="005F36DE">
        <w:rPr>
          <w:spacing w:val="-2"/>
          <w:rtl/>
        </w:rPr>
        <w:t xml:space="preserve"> בביקורת הקודמת עלה כי כבר בפברואר 2011 הפיץ </w:t>
      </w:r>
      <w:proofErr w:type="spellStart"/>
      <w:r w:rsidR="007425AD" w:rsidRPr="005F36DE">
        <w:rPr>
          <w:spacing w:val="-2"/>
          <w:rtl/>
        </w:rPr>
        <w:t>משהב"ט</w:t>
      </w:r>
      <w:proofErr w:type="spellEnd"/>
      <w:r w:rsidR="007425AD" w:rsidRPr="005F36DE">
        <w:rPr>
          <w:spacing w:val="-2"/>
          <w:rtl/>
        </w:rPr>
        <w:t xml:space="preserve"> את הצעת חוק העורף לשעת חירום, התשע"א-2011</w:t>
      </w:r>
      <w:r>
        <w:rPr>
          <w:spacing w:val="-2"/>
          <w:vertAlign w:val="superscript"/>
          <w:rtl/>
        </w:rPr>
        <w:footnoteReference w:id="5"/>
      </w:r>
      <w:r w:rsidR="007425AD" w:rsidRPr="005F36DE">
        <w:rPr>
          <w:spacing w:val="-2"/>
          <w:vertAlign w:val="superscript"/>
          <w:rtl/>
        </w:rPr>
        <w:t>,</w:t>
      </w:r>
      <w:r w:rsidR="007425AD" w:rsidRPr="005F36DE">
        <w:rPr>
          <w:spacing w:val="-2"/>
          <w:rtl/>
        </w:rPr>
        <w:t xml:space="preserve"> אך במועד סיום הביקורת הקודמת, אפריל 2019, טרם דנה הממשלה בהצעה וטרם אישרה אותה. בביקורת המעקב נמצא כי הליקוי </w:t>
      </w:r>
      <w:r w:rsidR="007425AD" w:rsidRPr="005F36DE">
        <w:rPr>
          <w:rStyle w:val="7391"/>
          <w:spacing w:val="-2"/>
          <w:rtl/>
        </w:rPr>
        <w:t xml:space="preserve">לא תוקן: </w:t>
      </w:r>
      <w:r w:rsidR="007425AD" w:rsidRPr="005F36DE">
        <w:rPr>
          <w:spacing w:val="-2"/>
          <w:rtl/>
        </w:rPr>
        <w:t xml:space="preserve">על אף החשיבות שמייחס </w:t>
      </w:r>
      <w:proofErr w:type="spellStart"/>
      <w:r w:rsidR="007425AD" w:rsidRPr="005F36DE">
        <w:rPr>
          <w:spacing w:val="-2"/>
          <w:rtl/>
        </w:rPr>
        <w:t>משהב"ט</w:t>
      </w:r>
      <w:proofErr w:type="spellEnd"/>
      <w:r w:rsidR="007425AD" w:rsidRPr="005F36DE">
        <w:rPr>
          <w:spacing w:val="-2"/>
          <w:rtl/>
        </w:rPr>
        <w:t xml:space="preserve"> לחקיקת חוק העורף, בין היתר לשם הסדרת האחריות להגנה על המתקנים החיוניים בגופים מסוימים מפני איומים אוויריים לרבות מיגונם, ואף שחלפו </w:t>
      </w:r>
      <w:r w:rsidR="00814F28">
        <w:rPr>
          <w:spacing w:val="-2"/>
          <w:rtl/>
        </w:rPr>
        <w:br/>
      </w:r>
      <w:r w:rsidR="007425AD" w:rsidRPr="005F36DE">
        <w:rPr>
          <w:spacing w:val="-2"/>
          <w:rtl/>
        </w:rPr>
        <w:t>כ-14 שנים ממועד הפצתה של הצעת החוק - נכון למועד סיום ביקורת המעקב (דצמבר 2024) טיוטת הצעת החוק עדיין נמצאת בשלבים מקדמיים, ואין צפי בשלב זה לסיום הליך החקיקה</w:t>
      </w:r>
      <w:r w:rsidRPr="005F36DE">
        <w:rPr>
          <w:rFonts w:hint="cs"/>
          <w:spacing w:val="-2"/>
          <w:rtl/>
        </w:rPr>
        <w:t>.</w:t>
      </w:r>
    </w:p>
    <w:p w:rsidR="007425AD" w:rsidRPr="00267EEA" w:rsidRDefault="00A8413A" w:rsidP="007425AD">
      <w:pPr>
        <w:pStyle w:val="73f7"/>
      </w:pPr>
      <w:r w:rsidRPr="007425AD">
        <w:rPr>
          <w:rStyle w:val="7391"/>
          <w:rFonts w:hint="cs"/>
          <w:rtl/>
        </w:rPr>
        <w:drawing>
          <wp:anchor distT="0" distB="0" distL="114300" distR="114300" simplePos="0" relativeHeight="251695104"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40"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425AD">
        <w:rPr>
          <w:rStyle w:val="7391"/>
          <w:rtl/>
        </w:rPr>
        <w:t xml:space="preserve">הסדרה נורמטיבית של נושא מיגון המתקנים החיוניים בגופים מסוימים </w:t>
      </w:r>
      <w:r w:rsidRPr="007425AD">
        <w:rPr>
          <w:rStyle w:val="7391"/>
          <w:rtl/>
        </w:rPr>
        <w:t>באמצעות החלטת ממשלה</w:t>
      </w:r>
      <w:r w:rsidRPr="007425AD">
        <w:rPr>
          <w:rStyle w:val="7391"/>
          <w:rFonts w:hint="cs"/>
          <w:rtl/>
        </w:rPr>
        <w:t xml:space="preserve"> </w:t>
      </w:r>
      <w:r w:rsidRPr="007425AD">
        <w:rPr>
          <w:rStyle w:val="7391"/>
          <w:rtl/>
        </w:rPr>
        <w:t>-</w:t>
      </w:r>
      <w:r w:rsidRPr="00267EEA">
        <w:rPr>
          <w:rtl/>
        </w:rPr>
        <w:t xml:space="preserve"> בביקורת הקודמת עלה כי </w:t>
      </w:r>
      <w:proofErr w:type="spellStart"/>
      <w:r w:rsidRPr="00267EEA">
        <w:rPr>
          <w:rtl/>
        </w:rPr>
        <w:t>רח"ל</w:t>
      </w:r>
      <w:proofErr w:type="spellEnd"/>
      <w:r w:rsidRPr="00267EEA">
        <w:rPr>
          <w:rtl/>
        </w:rPr>
        <w:t xml:space="preserve"> טרם הגישה לוועדת השרים להכנת העורף לשעת חירום ולקבינט המדיני-ביטחוני הצעת החלטה הקובעת בין היתר מנגנון להחרגת מתקנים חיוניים מסוימים מהרשימה; וכי הוועדה הבין-משרדית</w:t>
      </w:r>
      <w:r>
        <w:rPr>
          <w:vertAlign w:val="superscript"/>
          <w:rtl/>
        </w:rPr>
        <w:footnoteReference w:id="6"/>
      </w:r>
      <w:r w:rsidRPr="00267EEA">
        <w:rPr>
          <w:rtl/>
        </w:rPr>
        <w:t xml:space="preserve"> או </w:t>
      </w:r>
      <w:proofErr w:type="spellStart"/>
      <w:r w:rsidRPr="00267EEA">
        <w:rPr>
          <w:rtl/>
        </w:rPr>
        <w:t>רח"ל</w:t>
      </w:r>
      <w:proofErr w:type="spellEnd"/>
      <w:r w:rsidRPr="00267EEA">
        <w:rPr>
          <w:rtl/>
        </w:rPr>
        <w:t xml:space="preserve"> לא הגישו את הרשימה האחודה של מתקנ</w:t>
      </w:r>
      <w:r w:rsidRPr="00267EEA">
        <w:rPr>
          <w:rtl/>
        </w:rPr>
        <w:t xml:space="preserve">ים חיוניים הכוללת מתקנים מסוימים לוועדת השרים להכנת העורף לשעת חירום בתקופת כהונתה או לקבינט המדיני-ביטחוני ולממשלה לקבלת אישורם. בביקורת המעקב נמצא כי הליקוי </w:t>
      </w:r>
      <w:r w:rsidRPr="00E87D57">
        <w:rPr>
          <w:b/>
          <w:bCs/>
          <w:rtl/>
        </w:rPr>
        <w:t>לא תוקן:</w:t>
      </w:r>
      <w:r w:rsidRPr="00267EEA">
        <w:rPr>
          <w:rtl/>
        </w:rPr>
        <w:t xml:space="preserve"> על אף קיומה של החלטת ממשלה משנת 2011 בנושא הגנת תשתיות לאומיות חיוניות ומתקנים רגישים בי</w:t>
      </w:r>
      <w:r w:rsidRPr="00267EEA">
        <w:rPr>
          <w:rtl/>
        </w:rPr>
        <w:t xml:space="preserve">שראל, אשר קבעה בין היתר את הקמתה של ועדה בין-משרדית שתעסוק בנושא, ומשתתפים בה גורמים רבים, ובהם נציגי משרדי הממשלה הרלוונטיים, נציגי צה"ל, נציגי </w:t>
      </w:r>
      <w:proofErr w:type="spellStart"/>
      <w:r w:rsidRPr="00267EEA">
        <w:rPr>
          <w:rtl/>
        </w:rPr>
        <w:t>משהב"ט</w:t>
      </w:r>
      <w:proofErr w:type="spellEnd"/>
      <w:r w:rsidRPr="00267EEA">
        <w:rPr>
          <w:rtl/>
        </w:rPr>
        <w:t xml:space="preserve"> וכן נציגי </w:t>
      </w:r>
      <w:proofErr w:type="spellStart"/>
      <w:r w:rsidRPr="00267EEA">
        <w:rPr>
          <w:rtl/>
        </w:rPr>
        <w:t>המל"ל</w:t>
      </w:r>
      <w:proofErr w:type="spellEnd"/>
      <w:r w:rsidRPr="00267EEA">
        <w:rPr>
          <w:rtl/>
        </w:rPr>
        <w:t xml:space="preserve">, לא קיימת החלטת ממשלה מקבילה הקובעת מנגנון דומה לצורך מתן מענה למתקנים חיוניים מסוימים, </w:t>
      </w:r>
      <w:r w:rsidRPr="00267EEA">
        <w:rPr>
          <w:rtl/>
        </w:rPr>
        <w:t xml:space="preserve">והמתקנים האמורים לא נכללו במסגרת החלטת ממשלה. זאת, אף שמנכ"ל </w:t>
      </w:r>
      <w:proofErr w:type="spellStart"/>
      <w:r w:rsidRPr="00267EEA">
        <w:rPr>
          <w:rtl/>
        </w:rPr>
        <w:t>משהב"ט</w:t>
      </w:r>
      <w:proofErr w:type="spellEnd"/>
      <w:r w:rsidRPr="00267EEA">
        <w:rPr>
          <w:rtl/>
        </w:rPr>
        <w:t xml:space="preserve"> וגורם נוסף ציינו את הצורך בכך. היעדר הסדרה נורמטיבית בעניין זה, לרבות בדרך של החלטת ממשלה, עלול לגרום לכך שמיגון המתקנים החיוניים בגופים מסוימים לא יקודם.</w:t>
      </w:r>
    </w:p>
    <w:p w:rsidR="00EB672B" w:rsidRPr="006F49D3" w:rsidRDefault="00A8413A" w:rsidP="006F49D3">
      <w:pPr>
        <w:pStyle w:val="73fd"/>
        <w:rPr>
          <w:rtl/>
        </w:rPr>
      </w:pPr>
      <w:r w:rsidRPr="006F49D3">
        <w:rPr>
          <w:rFonts w:hint="cs"/>
          <w:rtl/>
        </w:rPr>
        <w:lastRenderedPageBreak/>
        <w:t>עיקרי המלצות הביקורת</w:t>
      </w:r>
    </w:p>
    <w:p w:rsidR="00EB672B" w:rsidRPr="007C7D40" w:rsidRDefault="00A8413A" w:rsidP="00EB672B">
      <w:pPr>
        <w:pStyle w:val="73f7"/>
      </w:pPr>
      <w:r w:rsidRPr="0063556C">
        <w:rPr>
          <w:rStyle w:val="7372"/>
          <w:rFonts w:hint="cs"/>
          <w:noProof/>
          <w:rtl/>
        </w:rPr>
        <w:drawing>
          <wp:anchor distT="0" distB="1440180" distL="107950" distR="114300" simplePos="0" relativeHeight="251682816"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28"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8"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7425AD" w:rsidRPr="00267EEA">
        <w:rPr>
          <w:rtl/>
        </w:rPr>
        <w:t xml:space="preserve">על שר הביטחון להנחות את מנכ"ל </w:t>
      </w:r>
      <w:proofErr w:type="spellStart"/>
      <w:r w:rsidR="007425AD" w:rsidRPr="00267EEA">
        <w:rPr>
          <w:rtl/>
        </w:rPr>
        <w:t>משהב"ט</w:t>
      </w:r>
      <w:proofErr w:type="spellEnd"/>
      <w:r w:rsidR="007425AD" w:rsidRPr="00267EEA">
        <w:rPr>
          <w:rtl/>
        </w:rPr>
        <w:t xml:space="preserve"> ואת הרמטכ"ל לפעול לקידום מיפוי המתקנים החיוניים ולגבש המלצה לתוכנית עבודה רב-שנתית למיגון המתקנים האמורים. זאת, בהתחשב במכלול השיקולים ובהם מגוון האמצעים האפשריים להגנה על מתקנים אלה ושיקולי עלות מול תועלת</w:t>
      </w:r>
      <w:r w:rsidRPr="007C7D40">
        <w:rPr>
          <w:rFonts w:hint="cs"/>
          <w:rtl/>
        </w:rPr>
        <w:t xml:space="preserve">. </w:t>
      </w:r>
    </w:p>
    <w:p w:rsidR="00EB672B" w:rsidRPr="007C7D40" w:rsidRDefault="00A8413A" w:rsidP="00EB672B">
      <w:pPr>
        <w:pStyle w:val="73f7"/>
      </w:pPr>
      <w:r w:rsidRPr="0063556C">
        <w:rPr>
          <w:rStyle w:val="7372"/>
          <w:rFonts w:hint="cs"/>
          <w:noProof/>
          <w:rtl/>
        </w:rPr>
        <w:drawing>
          <wp:anchor distT="0" distB="1440180" distL="107950" distR="114300" simplePos="0" relativeHeight="251683840"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7425AD" w:rsidRPr="00267EEA">
        <w:rPr>
          <w:rtl/>
        </w:rPr>
        <w:t xml:space="preserve">על שר הביטחון להגדיר את חלוקת הסמכות והאחריות בין גורמי </w:t>
      </w:r>
      <w:proofErr w:type="spellStart"/>
      <w:r w:rsidR="007425AD" w:rsidRPr="00267EEA">
        <w:rPr>
          <w:rtl/>
        </w:rPr>
        <w:t>מעהב"ט</w:t>
      </w:r>
      <w:proofErr w:type="spellEnd"/>
      <w:r w:rsidR="007425AD" w:rsidRPr="00267EEA">
        <w:rPr>
          <w:rtl/>
        </w:rPr>
        <w:t xml:space="preserve">, ובכללם </w:t>
      </w:r>
      <w:proofErr w:type="spellStart"/>
      <w:r w:rsidR="007425AD" w:rsidRPr="00267EEA">
        <w:rPr>
          <w:rtl/>
        </w:rPr>
        <w:t>רח"ל</w:t>
      </w:r>
      <w:proofErr w:type="spellEnd"/>
      <w:r w:rsidR="007425AD" w:rsidRPr="00267EEA">
        <w:rPr>
          <w:rtl/>
        </w:rPr>
        <w:t xml:space="preserve"> וצה"ל, בנושא המיגון הפיזי מפני איומים אוויריים במתקנים חיוניים של גופים מסוימים, ולהנחות כי הגדרות אלו יקבלו ביטוי בהוראות הגופים</w:t>
      </w:r>
      <w:r w:rsidRPr="007C7D40">
        <w:rPr>
          <w:rtl/>
        </w:rPr>
        <w:t xml:space="preserve">. </w:t>
      </w:r>
    </w:p>
    <w:p w:rsidR="00EB672B" w:rsidRPr="007C7D40" w:rsidRDefault="00A8413A" w:rsidP="00EB672B">
      <w:pPr>
        <w:pStyle w:val="73f7"/>
        <w:rPr>
          <w:rtl/>
        </w:rPr>
      </w:pPr>
      <w:r w:rsidRPr="0063556C">
        <w:rPr>
          <w:rStyle w:val="7372"/>
          <w:rFonts w:hint="cs"/>
          <w:noProof/>
          <w:rtl/>
        </w:rPr>
        <w:drawing>
          <wp:anchor distT="0" distB="1440180" distL="107950" distR="114300" simplePos="0" relativeHeight="251684864"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0"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7425AD" w:rsidRPr="00267EEA">
        <w:rPr>
          <w:rtl/>
        </w:rPr>
        <w:t xml:space="preserve">על ראש </w:t>
      </w:r>
      <w:proofErr w:type="spellStart"/>
      <w:r w:rsidR="007425AD" w:rsidRPr="00267EEA">
        <w:rPr>
          <w:rtl/>
        </w:rPr>
        <w:t>המל"ל</w:t>
      </w:r>
      <w:proofErr w:type="spellEnd"/>
      <w:r w:rsidR="007425AD" w:rsidRPr="00267EEA">
        <w:rPr>
          <w:rtl/>
        </w:rPr>
        <w:t xml:space="preserve"> ושר הביטחון להנחות על השלמת גיבוש </w:t>
      </w:r>
      <w:proofErr w:type="spellStart"/>
      <w:r w:rsidR="007425AD" w:rsidRPr="00267EEA">
        <w:rPr>
          <w:rtl/>
        </w:rPr>
        <w:t>תוכנית</w:t>
      </w:r>
      <w:proofErr w:type="spellEnd"/>
      <w:r w:rsidR="007425AD" w:rsidRPr="00267EEA">
        <w:rPr>
          <w:rtl/>
        </w:rPr>
        <w:t xml:space="preserve"> המיגון של גוף מסוים ועל ביצועה, וכן על בחינה משותפת של צורכי המיגון של המתקנים החיוניים ביתר הגופים הרלוונטיים</w:t>
      </w:r>
      <w:r w:rsidRPr="007C7D40">
        <w:rPr>
          <w:rFonts w:hint="cs"/>
          <w:rtl/>
        </w:rPr>
        <w:t>.</w:t>
      </w:r>
    </w:p>
    <w:p w:rsidR="00EB672B" w:rsidRPr="007C7D40" w:rsidRDefault="00A8413A" w:rsidP="00EB672B">
      <w:pPr>
        <w:pStyle w:val="73f7"/>
        <w:rPr>
          <w:rtl/>
        </w:rPr>
      </w:pPr>
      <w:r w:rsidRPr="0063556C">
        <w:rPr>
          <w:rStyle w:val="7372"/>
          <w:rFonts w:hint="cs"/>
          <w:noProof/>
          <w:rtl/>
        </w:rPr>
        <w:drawing>
          <wp:anchor distT="0" distB="1440180" distL="107950" distR="114300" simplePos="0" relativeHeight="251685888"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2"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7425AD" w:rsidRPr="00267EEA">
        <w:rPr>
          <w:rtl/>
        </w:rPr>
        <w:t xml:space="preserve">על ראש </w:t>
      </w:r>
      <w:proofErr w:type="spellStart"/>
      <w:r w:rsidR="007425AD" w:rsidRPr="00267EEA">
        <w:rPr>
          <w:rtl/>
        </w:rPr>
        <w:t>המל"ל</w:t>
      </w:r>
      <w:proofErr w:type="spellEnd"/>
      <w:r w:rsidR="007425AD" w:rsidRPr="00267EEA">
        <w:rPr>
          <w:rtl/>
        </w:rPr>
        <w:t xml:space="preserve"> להעלות בהקדם לפני ראש הממשלה, כנושא לדיון בישיבות הקבינט המדיני-ביטחוני, את סוגיית המיגון של המתקנים החיוניים בגופים מסוימים לצורך גיבוש מדיניות כוללת בנושא</w:t>
      </w:r>
      <w:r w:rsidRPr="007C7D40">
        <w:rPr>
          <w:rFonts w:hint="cs"/>
          <w:rtl/>
        </w:rPr>
        <w:t>.</w:t>
      </w:r>
    </w:p>
    <w:p w:rsidR="00EB672B" w:rsidRPr="007C7D40" w:rsidRDefault="00A8413A" w:rsidP="00EB672B">
      <w:pPr>
        <w:pStyle w:val="73f7"/>
      </w:pPr>
      <w:r w:rsidRPr="0063556C">
        <w:rPr>
          <w:rStyle w:val="7372"/>
          <w:rFonts w:hint="cs"/>
          <w:noProof/>
          <w:rtl/>
        </w:rPr>
        <w:drawing>
          <wp:anchor distT="0" distB="1440180" distL="107950" distR="114300" simplePos="0" relativeHeight="251686912"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3"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7425AD" w:rsidRPr="00267EEA">
        <w:rPr>
          <w:rtl/>
        </w:rPr>
        <w:t xml:space="preserve">על </w:t>
      </w:r>
      <w:proofErr w:type="spellStart"/>
      <w:r w:rsidR="007425AD" w:rsidRPr="00267EEA">
        <w:rPr>
          <w:rtl/>
        </w:rPr>
        <w:t>המל"ל</w:t>
      </w:r>
      <w:proofErr w:type="spellEnd"/>
      <w:r w:rsidR="007425AD" w:rsidRPr="00267EEA">
        <w:rPr>
          <w:rtl/>
        </w:rPr>
        <w:t xml:space="preserve"> להוביל בהקדם, בשיתוף </w:t>
      </w:r>
      <w:proofErr w:type="spellStart"/>
      <w:r w:rsidR="007425AD" w:rsidRPr="00267EEA">
        <w:rPr>
          <w:rtl/>
        </w:rPr>
        <w:t>משהב"ט</w:t>
      </w:r>
      <w:proofErr w:type="spellEnd"/>
      <w:r w:rsidR="007425AD" w:rsidRPr="00267EEA">
        <w:rPr>
          <w:rtl/>
        </w:rPr>
        <w:t xml:space="preserve">, שהחל לעסוק בנושא, ובשיתוף משרד האוצר וגורמים רלוונטיים נוספים, עבודת מטה לבחינת המודל </w:t>
      </w:r>
      <w:proofErr w:type="spellStart"/>
      <w:r w:rsidR="007425AD" w:rsidRPr="00267EEA">
        <w:rPr>
          <w:rtl/>
        </w:rPr>
        <w:t>המימוני</w:t>
      </w:r>
      <w:proofErr w:type="spellEnd"/>
      <w:r w:rsidR="007425AD" w:rsidRPr="00267EEA">
        <w:rPr>
          <w:rtl/>
        </w:rPr>
        <w:t xml:space="preserve"> המיטבי למיגון המתקנים החיוניים בגופים מסוימים, ולהביא לפני הקבינט המדיני-ביטחוני את המלצתו. זאת נוכח </w:t>
      </w:r>
      <w:r w:rsidR="00DF27E4">
        <w:rPr>
          <w:rFonts w:hint="cs"/>
          <w:rtl/>
        </w:rPr>
        <w:t>ה</w:t>
      </w:r>
      <w:r w:rsidR="007425AD" w:rsidRPr="00267EEA">
        <w:rPr>
          <w:rtl/>
        </w:rPr>
        <w:t>מרכזיות ו</w:t>
      </w:r>
      <w:r w:rsidR="00DF27E4">
        <w:rPr>
          <w:rFonts w:hint="cs"/>
          <w:rtl/>
        </w:rPr>
        <w:t>ה</w:t>
      </w:r>
      <w:r w:rsidR="007425AD" w:rsidRPr="00267EEA">
        <w:rPr>
          <w:rtl/>
        </w:rPr>
        <w:t xml:space="preserve">מורכבות </w:t>
      </w:r>
      <w:r w:rsidR="00DF27E4">
        <w:rPr>
          <w:rFonts w:hint="cs"/>
          <w:rtl/>
        </w:rPr>
        <w:t xml:space="preserve">של </w:t>
      </w:r>
      <w:r w:rsidR="007425AD" w:rsidRPr="00267EEA">
        <w:rPr>
          <w:rtl/>
        </w:rPr>
        <w:t xml:space="preserve">סוגיית המימון וחשיבותה לקידום נושא המיגון של המתקנים החיוניים בגופים האמורים, ונוכח הצורך המוחשי להחיש את </w:t>
      </w:r>
      <w:proofErr w:type="spellStart"/>
      <w:r w:rsidR="007425AD" w:rsidRPr="00267EEA">
        <w:rPr>
          <w:rtl/>
        </w:rPr>
        <w:t>תוכניות</w:t>
      </w:r>
      <w:proofErr w:type="spellEnd"/>
      <w:r w:rsidR="007425AD" w:rsidRPr="00267EEA">
        <w:rPr>
          <w:rtl/>
        </w:rPr>
        <w:t xml:space="preserve"> המיגון של מתקנים אלה מפני האיומים האוויריים הניכרים שמכוונים כלפיהם, ובהמשך להנחיית ראש הממשלה כי ראש </w:t>
      </w:r>
      <w:proofErr w:type="spellStart"/>
      <w:r w:rsidR="007425AD" w:rsidRPr="00267EEA">
        <w:rPr>
          <w:rtl/>
        </w:rPr>
        <w:t>המל"ל</w:t>
      </w:r>
      <w:proofErr w:type="spellEnd"/>
      <w:r w:rsidR="007425AD" w:rsidRPr="00267EEA">
        <w:rPr>
          <w:rtl/>
        </w:rPr>
        <w:t xml:space="preserve"> יקיים דיון בנושא </w:t>
      </w:r>
      <w:proofErr w:type="spellStart"/>
      <w:r w:rsidR="007425AD" w:rsidRPr="00267EEA">
        <w:rPr>
          <w:rtl/>
        </w:rPr>
        <w:t>תוכנית</w:t>
      </w:r>
      <w:proofErr w:type="spellEnd"/>
      <w:r w:rsidR="007425AD" w:rsidRPr="00267EEA">
        <w:rPr>
          <w:rtl/>
        </w:rPr>
        <w:t xml:space="preserve"> המיגון והיתירות של</w:t>
      </w:r>
      <w:r w:rsidR="00DF27E4">
        <w:rPr>
          <w:rFonts w:hint="cs"/>
          <w:rtl/>
        </w:rPr>
        <w:t xml:space="preserve"> </w:t>
      </w:r>
      <w:r w:rsidR="007425AD" w:rsidRPr="00267EEA">
        <w:rPr>
          <w:rtl/>
        </w:rPr>
        <w:t xml:space="preserve">גוף מסוים. משרד מבקר המדינה מדגיש כי בעניין זה נדרשת עבודה בין-משרדית </w:t>
      </w:r>
      <w:r w:rsidR="00DF27E4">
        <w:rPr>
          <w:rFonts w:hint="cs"/>
          <w:rtl/>
        </w:rPr>
        <w:t>כ</w:t>
      </w:r>
      <w:r w:rsidR="007425AD" w:rsidRPr="00267EEA">
        <w:rPr>
          <w:rtl/>
        </w:rPr>
        <w:t>תנאי הכרחי לקידום הנושא</w:t>
      </w:r>
      <w:r w:rsidRPr="007C7D40">
        <w:rPr>
          <w:rFonts w:hint="cs"/>
          <w:rtl/>
        </w:rPr>
        <w:t>.</w:t>
      </w:r>
    </w:p>
    <w:p w:rsidR="00EB672B" w:rsidRDefault="00A8413A" w:rsidP="00EB672B">
      <w:pPr>
        <w:pStyle w:val="73f7"/>
        <w:rPr>
          <w:rtl/>
        </w:rPr>
      </w:pPr>
      <w:r w:rsidRPr="0063556C">
        <w:rPr>
          <w:rStyle w:val="7372"/>
          <w:rFonts w:hint="cs"/>
          <w:noProof/>
          <w:rtl/>
        </w:rPr>
        <w:drawing>
          <wp:anchor distT="0" distB="1440180" distL="107950" distR="114300" simplePos="0" relativeHeight="251687936"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7425AD" w:rsidRPr="00267EEA">
        <w:rPr>
          <w:rtl/>
        </w:rPr>
        <w:t xml:space="preserve">נוכח העובדה שחלפו כ-14 שנים ממועד הפצתה של הצעת חוק העורף לראשונה, בין היתר בשל מורכבות הנושא, מעורבות בעלי עניין וגורמים רבים נוספים ובשל הנטל הכלכלי שמטיל החוק על הגופים המעורבים, על שר הביטחון להיכנס </w:t>
      </w:r>
      <w:r w:rsidR="00DF27E4">
        <w:rPr>
          <w:rFonts w:hint="cs"/>
          <w:rtl/>
        </w:rPr>
        <w:t>ב</w:t>
      </w:r>
      <w:r w:rsidR="007425AD" w:rsidRPr="00267EEA">
        <w:rPr>
          <w:rtl/>
        </w:rPr>
        <w:t>עובי הקורה ולהנחות על בחינת אופן המשך קידומו של החוק, תוך מתן התייחסות להסתייגויות שהעלו הגורמים ושהביאו לעיכוב הליך חקיקתו עד כה</w:t>
      </w:r>
      <w:r w:rsidRPr="008E57FE">
        <w:rPr>
          <w:rFonts w:hint="cs"/>
          <w:rtl/>
        </w:rPr>
        <w:t>.</w:t>
      </w:r>
    </w:p>
    <w:p w:rsidR="00362505" w:rsidRDefault="00A8413A" w:rsidP="00362505">
      <w:pPr>
        <w:pStyle w:val="73f7"/>
        <w:rPr>
          <w:rtl/>
        </w:rPr>
      </w:pPr>
      <w:r w:rsidRPr="0063556C">
        <w:rPr>
          <w:rStyle w:val="7372"/>
          <w:rFonts w:hint="cs"/>
          <w:noProof/>
          <w:rtl/>
        </w:rPr>
        <w:drawing>
          <wp:anchor distT="0" distB="1440180" distL="107950" distR="114300" simplePos="0" relativeHeight="251696128"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364147197" name="תמונה 3641471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47197" name="תמונה 364147197">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7425AD" w:rsidRPr="00267EEA">
        <w:rPr>
          <w:rtl/>
        </w:rPr>
        <w:t>בהתחשב באיומים האוויריים המשמעותיים על גופים מסוימים ובצורך האסטרטגי הלאומי במיגונ</w:t>
      </w:r>
      <w:r w:rsidR="00DF27E4">
        <w:rPr>
          <w:rFonts w:hint="cs"/>
          <w:rtl/>
        </w:rPr>
        <w:t>ם</w:t>
      </w:r>
      <w:r w:rsidR="007425AD" w:rsidRPr="00267EEA">
        <w:rPr>
          <w:rtl/>
        </w:rPr>
        <w:t xml:space="preserve">, מומלץ כי שר הביטחון בתיאום עם </w:t>
      </w:r>
      <w:proofErr w:type="spellStart"/>
      <w:r w:rsidR="007425AD" w:rsidRPr="00267EEA">
        <w:rPr>
          <w:rtl/>
        </w:rPr>
        <w:t>המל"ל</w:t>
      </w:r>
      <w:proofErr w:type="spellEnd"/>
      <w:r w:rsidR="007425AD" w:rsidRPr="00267EEA">
        <w:rPr>
          <w:rtl/>
        </w:rPr>
        <w:t xml:space="preserve"> יעלה את סוגיית ההסדרה של המיגון הפיזי של המתקנים החיוניים בגופים מסוימים לדיון בקבינט המדיני-ביטחוני לקבלת החלטתו בעניין</w:t>
      </w:r>
      <w:r w:rsidRPr="008E57FE">
        <w:rPr>
          <w:rFonts w:hint="cs"/>
          <w:rtl/>
        </w:rPr>
        <w:t>.</w:t>
      </w:r>
    </w:p>
    <w:p w:rsidR="00362505" w:rsidRDefault="00A8413A" w:rsidP="007425AD">
      <w:pPr>
        <w:pStyle w:val="73f7"/>
        <w:spacing w:after="600"/>
        <w:rPr>
          <w:rtl/>
        </w:rPr>
      </w:pPr>
      <w:r w:rsidRPr="0063556C">
        <w:rPr>
          <w:rStyle w:val="7372"/>
          <w:rFonts w:hint="cs"/>
          <w:noProof/>
          <w:rtl/>
        </w:rPr>
        <w:drawing>
          <wp:anchor distT="0" distB="144145" distL="107950" distR="114300" simplePos="0" relativeHeight="251697152" behindDoc="1" locked="0" layoutInCell="1" allowOverlap="1">
            <wp:simplePos x="0" y="0"/>
            <wp:positionH relativeFrom="column">
              <wp:posOffset>4522470</wp:posOffset>
            </wp:positionH>
            <wp:positionV relativeFrom="paragraph">
              <wp:posOffset>36195</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623734442" name="תמונה 16237344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734442" name="תמונה 1623734442">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7425AD" w:rsidRPr="00267EEA">
        <w:rPr>
          <w:rtl/>
        </w:rPr>
        <w:t>מומלץ כי ראש הממשלה יעקוב אחר מימוש הנחייתו בנוגע למיגון גוף מסוים וייתן דעתו בנוגע למיגון יתר הגופים הרלוונטיים</w:t>
      </w:r>
      <w:r w:rsidRPr="008E57FE">
        <w:rPr>
          <w:rFonts w:hint="cs"/>
          <w:rtl/>
        </w:rPr>
        <w:t>.</w:t>
      </w:r>
    </w:p>
    <w:p w:rsidR="007425AD" w:rsidRDefault="00A8413A" w:rsidP="007425AD">
      <w:pPr>
        <w:pStyle w:val="732"/>
        <w:rPr>
          <w:rtl/>
        </w:rPr>
      </w:pPr>
      <w:r w:rsidRPr="00EF3061">
        <w:rPr>
          <w:rFonts w:hint="cs"/>
          <w:rtl/>
        </w:rPr>
        <w:lastRenderedPageBreak/>
        <w:t>סיכום</w:t>
      </w:r>
    </w:p>
    <w:p w:rsidR="007425AD" w:rsidRPr="00267EEA" w:rsidRDefault="00A8413A" w:rsidP="007425AD">
      <w:pPr>
        <w:widowControl w:val="0"/>
        <w:tabs>
          <w:tab w:val="left" w:pos="9604"/>
        </w:tabs>
        <w:spacing w:before="240" w:line="276" w:lineRule="auto"/>
        <w:ind w:left="-1"/>
        <w:rPr>
          <w:rFonts w:ascii="Tahoma" w:hAnsi="Tahoma" w:cs="Tahoma"/>
          <w:sz w:val="18"/>
          <w:szCs w:val="18"/>
          <w:rtl/>
        </w:rPr>
      </w:pPr>
      <w:r w:rsidRPr="00267EEA">
        <w:rPr>
          <w:rFonts w:ascii="Tahoma" w:hAnsi="Tahoma" w:cs="Tahoma"/>
          <w:sz w:val="18"/>
          <w:szCs w:val="18"/>
          <w:rtl/>
        </w:rPr>
        <w:t>בביקורת הקודמת עלה כי זה שנים רבות קיימים ליקויים ניכרים בפעילותם של</w:t>
      </w:r>
      <w:r w:rsidRPr="00267EEA">
        <w:rPr>
          <w:rFonts w:ascii="Tahoma" w:hAnsi="Tahoma" w:cs="Tahoma"/>
          <w:sz w:val="18"/>
          <w:szCs w:val="18"/>
          <w:rtl/>
        </w:rPr>
        <w:t xml:space="preserve"> </w:t>
      </w:r>
      <w:proofErr w:type="spellStart"/>
      <w:r w:rsidRPr="00267EEA">
        <w:rPr>
          <w:rFonts w:ascii="Tahoma" w:hAnsi="Tahoma" w:cs="Tahoma"/>
          <w:sz w:val="18"/>
          <w:szCs w:val="18"/>
          <w:rtl/>
        </w:rPr>
        <w:t>משהב"ט</w:t>
      </w:r>
      <w:proofErr w:type="spellEnd"/>
      <w:r w:rsidRPr="00267EEA">
        <w:rPr>
          <w:rFonts w:ascii="Tahoma" w:hAnsi="Tahoma" w:cs="Tahoma"/>
          <w:sz w:val="18"/>
          <w:szCs w:val="18"/>
          <w:rtl/>
        </w:rPr>
        <w:t xml:space="preserve">, צה"ל, </w:t>
      </w:r>
      <w:proofErr w:type="spellStart"/>
      <w:r w:rsidRPr="00267EEA">
        <w:rPr>
          <w:rFonts w:ascii="Tahoma" w:hAnsi="Tahoma" w:cs="Tahoma"/>
          <w:sz w:val="18"/>
          <w:szCs w:val="18"/>
          <w:rtl/>
        </w:rPr>
        <w:t>רח"ל</w:t>
      </w:r>
      <w:proofErr w:type="spellEnd"/>
      <w:r w:rsidRPr="00267EEA">
        <w:rPr>
          <w:rFonts w:ascii="Tahoma" w:hAnsi="Tahoma" w:cs="Tahoma"/>
          <w:sz w:val="18"/>
          <w:szCs w:val="18"/>
          <w:rtl/>
        </w:rPr>
        <w:t xml:space="preserve"> </w:t>
      </w:r>
      <w:proofErr w:type="spellStart"/>
      <w:r w:rsidRPr="00267EEA">
        <w:rPr>
          <w:rFonts w:ascii="Tahoma" w:hAnsi="Tahoma" w:cs="Tahoma"/>
          <w:sz w:val="18"/>
          <w:szCs w:val="18"/>
          <w:rtl/>
        </w:rPr>
        <w:t>והמל"ל</w:t>
      </w:r>
      <w:proofErr w:type="spellEnd"/>
      <w:r w:rsidRPr="00267EEA">
        <w:rPr>
          <w:rFonts w:ascii="Tahoma" w:hAnsi="Tahoma" w:cs="Tahoma"/>
          <w:sz w:val="18"/>
          <w:szCs w:val="18"/>
          <w:rtl/>
        </w:rPr>
        <w:t xml:space="preserve"> - כל אחד בתחומו - בנושא ההגנה על מתקנים חיוניים. ביקורת המעקב מצאה כי על אף התגברות משמעותית של האיומים האוויריים ממועד פרסום הדוח הקודם, עד למלחמת חרבות ברזל לא תוקן שום ליקוי מחמשת הליקויים שנבדקו במסגרת ביקורת המעקב, ובמהלך המ</w:t>
      </w:r>
      <w:r w:rsidRPr="00267EEA">
        <w:rPr>
          <w:rFonts w:ascii="Tahoma" w:hAnsi="Tahoma" w:cs="Tahoma"/>
          <w:sz w:val="18"/>
          <w:szCs w:val="18"/>
          <w:rtl/>
        </w:rPr>
        <w:t>לחמה 40% מהליקויים האמורים תוקנו במידה מועטה והיתר לא תוקנו כלל.</w:t>
      </w:r>
    </w:p>
    <w:p w:rsidR="007425AD" w:rsidRPr="00267EEA" w:rsidRDefault="00A8413A" w:rsidP="007425AD">
      <w:pPr>
        <w:widowControl w:val="0"/>
        <w:tabs>
          <w:tab w:val="left" w:pos="9604"/>
        </w:tabs>
        <w:spacing w:before="240" w:line="276" w:lineRule="auto"/>
        <w:ind w:left="-1"/>
        <w:rPr>
          <w:rFonts w:ascii="Tahoma" w:hAnsi="Tahoma" w:cs="Tahoma"/>
          <w:sz w:val="18"/>
          <w:szCs w:val="18"/>
          <w:rtl/>
        </w:rPr>
      </w:pPr>
      <w:r w:rsidRPr="00267EEA">
        <w:rPr>
          <w:rFonts w:ascii="Tahoma" w:hAnsi="Tahoma" w:cs="Tahoma"/>
          <w:sz w:val="18"/>
          <w:szCs w:val="18"/>
          <w:rtl/>
        </w:rPr>
        <w:t xml:space="preserve">עם פרוץ מלחמת חרבות ברזל עלה הסיכון של פגיעה במתקנים החיוניים בגופים מסוימים. עם זאת, שר הביטחון ומנכ"ל </w:t>
      </w:r>
      <w:proofErr w:type="spellStart"/>
      <w:r w:rsidRPr="00267EEA">
        <w:rPr>
          <w:rFonts w:ascii="Tahoma" w:hAnsi="Tahoma" w:cs="Tahoma"/>
          <w:sz w:val="18"/>
          <w:szCs w:val="18"/>
          <w:rtl/>
        </w:rPr>
        <w:t>משהב"ט</w:t>
      </w:r>
      <w:proofErr w:type="spellEnd"/>
      <w:r w:rsidRPr="00267EEA">
        <w:rPr>
          <w:rFonts w:ascii="Tahoma" w:hAnsi="Tahoma" w:cs="Tahoma"/>
          <w:sz w:val="18"/>
          <w:szCs w:val="18"/>
          <w:rtl/>
        </w:rPr>
        <w:t xml:space="preserve"> לא פעלו עד למועד השלמת הביקורת (ינואר 2025) לקידום נושא מיגון המתקנים החיוניים, </w:t>
      </w:r>
      <w:r w:rsidRPr="00267EEA">
        <w:rPr>
          <w:rFonts w:ascii="Tahoma" w:hAnsi="Tahoma" w:cs="Tahoma"/>
          <w:sz w:val="18"/>
          <w:szCs w:val="18"/>
          <w:rtl/>
        </w:rPr>
        <w:t xml:space="preserve">למעט פעולות נקודתיות ולמעט הנחיה של מנכ"ל </w:t>
      </w:r>
      <w:proofErr w:type="spellStart"/>
      <w:r w:rsidRPr="00267EEA">
        <w:rPr>
          <w:rFonts w:ascii="Tahoma" w:hAnsi="Tahoma" w:cs="Tahoma"/>
          <w:sz w:val="18"/>
          <w:szCs w:val="18"/>
          <w:rtl/>
        </w:rPr>
        <w:t>משהב"ט</w:t>
      </w:r>
      <w:proofErr w:type="spellEnd"/>
      <w:r w:rsidRPr="00267EEA">
        <w:rPr>
          <w:rFonts w:ascii="Tahoma" w:hAnsi="Tahoma" w:cs="Tahoma"/>
          <w:sz w:val="18"/>
          <w:szCs w:val="18"/>
          <w:rtl/>
        </w:rPr>
        <w:t xml:space="preserve"> על הקמת צוות שיעסוק בנושא (בדצמבר 2024, יותר משנה מפרוץ המלחמה ועם סיום ביקורת המעקב). גם </w:t>
      </w:r>
      <w:proofErr w:type="spellStart"/>
      <w:r w:rsidRPr="00267EEA">
        <w:rPr>
          <w:rFonts w:ascii="Tahoma" w:hAnsi="Tahoma" w:cs="Tahoma"/>
          <w:sz w:val="18"/>
          <w:szCs w:val="18"/>
          <w:rtl/>
        </w:rPr>
        <w:t>המל"ל</w:t>
      </w:r>
      <w:proofErr w:type="spellEnd"/>
      <w:r w:rsidRPr="00267EEA">
        <w:rPr>
          <w:rFonts w:ascii="Tahoma" w:hAnsi="Tahoma" w:cs="Tahoma"/>
          <w:sz w:val="18"/>
          <w:szCs w:val="18"/>
          <w:rtl/>
        </w:rPr>
        <w:t xml:space="preserve"> לא השיג את השלמתה של בחינה מקיפה של הצורך במיגון המתקנים החיוניים בגופים מסוימים, ולא הציע לראש הממשלה להעלות ל</w:t>
      </w:r>
      <w:r w:rsidRPr="00267EEA">
        <w:rPr>
          <w:rFonts w:ascii="Tahoma" w:hAnsi="Tahoma" w:cs="Tahoma"/>
          <w:sz w:val="18"/>
          <w:szCs w:val="18"/>
          <w:rtl/>
        </w:rPr>
        <w:t>פני הקבינט המדיני-ביטחוני את הסוגיה.</w:t>
      </w:r>
    </w:p>
    <w:p w:rsidR="007425AD" w:rsidRPr="00267EEA" w:rsidRDefault="00A8413A" w:rsidP="007425AD">
      <w:pPr>
        <w:widowControl w:val="0"/>
        <w:tabs>
          <w:tab w:val="left" w:pos="9604"/>
        </w:tabs>
        <w:spacing w:before="240" w:line="276" w:lineRule="auto"/>
        <w:ind w:left="-1"/>
        <w:rPr>
          <w:rFonts w:ascii="Tahoma" w:hAnsi="Tahoma" w:cs="Tahoma"/>
          <w:sz w:val="18"/>
          <w:szCs w:val="18"/>
          <w:rtl/>
        </w:rPr>
      </w:pPr>
      <w:r w:rsidRPr="00267EEA">
        <w:rPr>
          <w:rFonts w:ascii="Tahoma" w:hAnsi="Tahoma" w:cs="Tahoma"/>
          <w:sz w:val="18"/>
          <w:szCs w:val="18"/>
          <w:rtl/>
        </w:rPr>
        <w:t xml:space="preserve">מבקר המדינה מעיר </w:t>
      </w:r>
      <w:proofErr w:type="spellStart"/>
      <w:r w:rsidRPr="00267EEA">
        <w:rPr>
          <w:rFonts w:ascii="Tahoma" w:hAnsi="Tahoma" w:cs="Tahoma"/>
          <w:sz w:val="18"/>
          <w:szCs w:val="18"/>
          <w:rtl/>
        </w:rPr>
        <w:t>למשהב"ט</w:t>
      </w:r>
      <w:proofErr w:type="spellEnd"/>
      <w:r w:rsidRPr="00267EEA">
        <w:rPr>
          <w:rFonts w:ascii="Tahoma" w:hAnsi="Tahoma" w:cs="Tahoma"/>
          <w:sz w:val="18"/>
          <w:szCs w:val="18"/>
          <w:rtl/>
        </w:rPr>
        <w:t xml:space="preserve">, לצה"ל </w:t>
      </w:r>
      <w:proofErr w:type="spellStart"/>
      <w:r w:rsidRPr="00267EEA">
        <w:rPr>
          <w:rFonts w:ascii="Tahoma" w:hAnsi="Tahoma" w:cs="Tahoma"/>
          <w:sz w:val="18"/>
          <w:szCs w:val="18"/>
          <w:rtl/>
        </w:rPr>
        <w:t>ולמל"ל</w:t>
      </w:r>
      <w:proofErr w:type="spellEnd"/>
      <w:r w:rsidRPr="00267EEA">
        <w:rPr>
          <w:rFonts w:ascii="Tahoma" w:hAnsi="Tahoma" w:cs="Tahoma"/>
          <w:sz w:val="18"/>
          <w:szCs w:val="18"/>
          <w:rtl/>
        </w:rPr>
        <w:t xml:space="preserve"> על אי-תיקון הליקויים שעלו בביקורת הקודמת ושנבדקו במסגרת ביקורת זו;</w:t>
      </w:r>
      <w:r w:rsidRPr="00267EEA">
        <w:rPr>
          <w:rFonts w:ascii="Tahoma" w:hAnsi="Tahoma" w:cs="Tahoma"/>
          <w:sz w:val="18"/>
          <w:szCs w:val="18"/>
        </w:rPr>
        <w:t xml:space="preserve"> </w:t>
      </w:r>
      <w:proofErr w:type="spellStart"/>
      <w:r w:rsidRPr="00267EEA">
        <w:rPr>
          <w:rFonts w:ascii="Tahoma" w:hAnsi="Tahoma" w:cs="Tahoma"/>
          <w:sz w:val="18"/>
          <w:szCs w:val="18"/>
          <w:rtl/>
        </w:rPr>
        <w:t>למל"ל</w:t>
      </w:r>
      <w:proofErr w:type="spellEnd"/>
      <w:r w:rsidRPr="00267EEA">
        <w:rPr>
          <w:rFonts w:ascii="Tahoma" w:hAnsi="Tahoma" w:cs="Tahoma"/>
          <w:sz w:val="18"/>
          <w:szCs w:val="18"/>
          <w:rtl/>
        </w:rPr>
        <w:t xml:space="preserve">, </w:t>
      </w:r>
      <w:proofErr w:type="spellStart"/>
      <w:r w:rsidRPr="00267EEA">
        <w:rPr>
          <w:rFonts w:ascii="Tahoma" w:hAnsi="Tahoma" w:cs="Tahoma"/>
          <w:sz w:val="18"/>
          <w:szCs w:val="18"/>
          <w:rtl/>
        </w:rPr>
        <w:t>למשהב"ט</w:t>
      </w:r>
      <w:proofErr w:type="spellEnd"/>
      <w:r w:rsidRPr="00267EEA">
        <w:rPr>
          <w:rFonts w:ascii="Tahoma" w:hAnsi="Tahoma" w:cs="Tahoma"/>
          <w:sz w:val="18"/>
          <w:szCs w:val="18"/>
          <w:rtl/>
        </w:rPr>
        <w:t>, ולמשרד האוצר על שטרם הגיעו לסיכום בדבר המקורות התקציביים למיגון המתקנים החיוניים בגופים מסוימים.</w:t>
      </w:r>
    </w:p>
    <w:p w:rsidR="007425AD" w:rsidRPr="00267EEA" w:rsidRDefault="00A8413A" w:rsidP="007425AD">
      <w:pPr>
        <w:widowControl w:val="0"/>
        <w:tabs>
          <w:tab w:val="left" w:pos="9604"/>
        </w:tabs>
        <w:spacing w:before="240" w:line="276" w:lineRule="auto"/>
        <w:ind w:left="-1"/>
        <w:rPr>
          <w:rFonts w:ascii="Tahoma" w:hAnsi="Tahoma" w:cs="Tahoma"/>
          <w:sz w:val="18"/>
          <w:szCs w:val="18"/>
        </w:rPr>
      </w:pPr>
      <w:r w:rsidRPr="00267EEA">
        <w:rPr>
          <w:rFonts w:ascii="Tahoma" w:hAnsi="Tahoma" w:cs="Tahoma"/>
          <w:sz w:val="18"/>
          <w:szCs w:val="18"/>
          <w:rtl/>
        </w:rPr>
        <w:t xml:space="preserve">נוכח התמשכות הליקויים בכל הנוגע למיגון המתקנים החיוניים בגופים מסוימים - על שר הביטחון וראש </w:t>
      </w:r>
      <w:proofErr w:type="spellStart"/>
      <w:r w:rsidRPr="00267EEA">
        <w:rPr>
          <w:rFonts w:ascii="Tahoma" w:hAnsi="Tahoma" w:cs="Tahoma"/>
          <w:sz w:val="18"/>
          <w:szCs w:val="18"/>
          <w:rtl/>
        </w:rPr>
        <w:t>המל"ל</w:t>
      </w:r>
      <w:proofErr w:type="spellEnd"/>
      <w:r w:rsidRPr="00267EEA">
        <w:rPr>
          <w:rFonts w:ascii="Tahoma" w:hAnsi="Tahoma" w:cs="Tahoma"/>
          <w:sz w:val="18"/>
          <w:szCs w:val="18"/>
          <w:rtl/>
        </w:rPr>
        <w:t xml:space="preserve"> לפעול במשותף לגיבוש מדיניות כוללת בנושא מיגון המתקנים החיוניים בגופים אלה. על שר הביטחון להנחות את מנכ"ל </w:t>
      </w:r>
      <w:proofErr w:type="spellStart"/>
      <w:r w:rsidRPr="00267EEA">
        <w:rPr>
          <w:rFonts w:ascii="Tahoma" w:hAnsi="Tahoma" w:cs="Tahoma"/>
          <w:sz w:val="18"/>
          <w:szCs w:val="18"/>
          <w:rtl/>
        </w:rPr>
        <w:t>משהב"ט</w:t>
      </w:r>
      <w:proofErr w:type="spellEnd"/>
      <w:r w:rsidRPr="00267EEA">
        <w:rPr>
          <w:rFonts w:ascii="Tahoma" w:hAnsi="Tahoma" w:cs="Tahoma"/>
          <w:sz w:val="18"/>
          <w:szCs w:val="18"/>
          <w:rtl/>
        </w:rPr>
        <w:t xml:space="preserve"> ואת הרמטכ"ל לפעול לקידום מיפוי המתקנים החיוניי</w:t>
      </w:r>
      <w:r w:rsidRPr="00267EEA">
        <w:rPr>
          <w:rFonts w:ascii="Tahoma" w:hAnsi="Tahoma" w:cs="Tahoma"/>
          <w:sz w:val="18"/>
          <w:szCs w:val="18"/>
          <w:rtl/>
        </w:rPr>
        <w:t>ם האמורים ולגבש המלצה בשיתוף של גורמים רלוונטיים לתוכנית עבודה רב-שנתית למיגון המתקנים שנדרש למגנם. זאת בהתחשב במכלול השיקולים ובהם מגוון האמצעים האפשריים להגנה על מתקנים אלה ושיקולי עלות מול תועלת. כמו כן, על שר הביטחון להגדיר את חלוקת הסמכות והאחריות בין</w:t>
      </w:r>
      <w:r w:rsidRPr="00267EEA">
        <w:rPr>
          <w:rFonts w:ascii="Tahoma" w:hAnsi="Tahoma" w:cs="Tahoma"/>
          <w:sz w:val="18"/>
          <w:szCs w:val="18"/>
          <w:rtl/>
        </w:rPr>
        <w:t xml:space="preserve"> גורמי </w:t>
      </w:r>
      <w:proofErr w:type="spellStart"/>
      <w:r w:rsidRPr="00267EEA">
        <w:rPr>
          <w:rFonts w:ascii="Tahoma" w:hAnsi="Tahoma" w:cs="Tahoma"/>
          <w:sz w:val="18"/>
          <w:szCs w:val="18"/>
          <w:rtl/>
        </w:rPr>
        <w:t>מעהב"ט</w:t>
      </w:r>
      <w:proofErr w:type="spellEnd"/>
      <w:r w:rsidRPr="00267EEA">
        <w:rPr>
          <w:rFonts w:ascii="Tahoma" w:hAnsi="Tahoma" w:cs="Tahoma"/>
          <w:sz w:val="18"/>
          <w:szCs w:val="18"/>
          <w:rtl/>
        </w:rPr>
        <w:t xml:space="preserve">, ובכללם </w:t>
      </w:r>
      <w:proofErr w:type="spellStart"/>
      <w:r w:rsidRPr="00267EEA">
        <w:rPr>
          <w:rFonts w:ascii="Tahoma" w:hAnsi="Tahoma" w:cs="Tahoma"/>
          <w:sz w:val="18"/>
          <w:szCs w:val="18"/>
          <w:rtl/>
        </w:rPr>
        <w:t>רח"ל</w:t>
      </w:r>
      <w:proofErr w:type="spellEnd"/>
      <w:r w:rsidRPr="00267EEA">
        <w:rPr>
          <w:rFonts w:ascii="Tahoma" w:hAnsi="Tahoma" w:cs="Tahoma"/>
          <w:sz w:val="18"/>
          <w:szCs w:val="18"/>
          <w:rtl/>
        </w:rPr>
        <w:t xml:space="preserve"> וצה"ל, בנושא המיגון הפיזי מפני איומים אוויריים במתקנים חיוניים בגופים מסוימים. </w:t>
      </w:r>
    </w:p>
    <w:p w:rsidR="007425AD" w:rsidRPr="00267EEA" w:rsidRDefault="00A8413A" w:rsidP="007425AD">
      <w:pPr>
        <w:widowControl w:val="0"/>
        <w:tabs>
          <w:tab w:val="left" w:pos="9604"/>
        </w:tabs>
        <w:spacing w:before="240" w:line="276" w:lineRule="auto"/>
        <w:ind w:left="-1"/>
        <w:rPr>
          <w:rFonts w:ascii="Tahoma" w:hAnsi="Tahoma" w:cs="Tahoma"/>
          <w:sz w:val="18"/>
          <w:szCs w:val="18"/>
          <w:rtl/>
        </w:rPr>
      </w:pPr>
      <w:r w:rsidRPr="00267EEA">
        <w:rPr>
          <w:rFonts w:ascii="Tahoma" w:hAnsi="Tahoma" w:cs="Tahoma"/>
          <w:sz w:val="18"/>
          <w:szCs w:val="18"/>
          <w:rtl/>
        </w:rPr>
        <w:t xml:space="preserve">כמו כן, נוכח </w:t>
      </w:r>
      <w:r>
        <w:rPr>
          <w:rFonts w:ascii="Tahoma" w:hAnsi="Tahoma" w:cs="Tahoma" w:hint="cs"/>
          <w:sz w:val="18"/>
          <w:szCs w:val="18"/>
          <w:rtl/>
        </w:rPr>
        <w:t>ה</w:t>
      </w:r>
      <w:r w:rsidRPr="00267EEA">
        <w:rPr>
          <w:rFonts w:ascii="Tahoma" w:hAnsi="Tahoma" w:cs="Tahoma"/>
          <w:sz w:val="18"/>
          <w:szCs w:val="18"/>
          <w:rtl/>
        </w:rPr>
        <w:t>מרכזיות ו</w:t>
      </w:r>
      <w:r>
        <w:rPr>
          <w:rFonts w:ascii="Tahoma" w:hAnsi="Tahoma" w:cs="Tahoma" w:hint="cs"/>
          <w:sz w:val="18"/>
          <w:szCs w:val="18"/>
          <w:rtl/>
        </w:rPr>
        <w:t>ה</w:t>
      </w:r>
      <w:r w:rsidRPr="00267EEA">
        <w:rPr>
          <w:rFonts w:ascii="Tahoma" w:hAnsi="Tahoma" w:cs="Tahoma"/>
          <w:sz w:val="18"/>
          <w:szCs w:val="18"/>
          <w:rtl/>
        </w:rPr>
        <w:t xml:space="preserve">מורכבות </w:t>
      </w:r>
      <w:r>
        <w:rPr>
          <w:rFonts w:ascii="Tahoma" w:hAnsi="Tahoma" w:cs="Tahoma" w:hint="cs"/>
          <w:sz w:val="18"/>
          <w:szCs w:val="18"/>
          <w:rtl/>
        </w:rPr>
        <w:t xml:space="preserve">של </w:t>
      </w:r>
      <w:r w:rsidRPr="00267EEA">
        <w:rPr>
          <w:rFonts w:ascii="Tahoma" w:hAnsi="Tahoma" w:cs="Tahoma"/>
          <w:sz w:val="18"/>
          <w:szCs w:val="18"/>
          <w:rtl/>
        </w:rPr>
        <w:t xml:space="preserve">סוגיית המימון וחשיבותה לקידום נושא המיגון של המתקנים החיוניים בגופים מסוימים, על </w:t>
      </w:r>
      <w:proofErr w:type="spellStart"/>
      <w:r w:rsidRPr="00267EEA">
        <w:rPr>
          <w:rFonts w:ascii="Tahoma" w:hAnsi="Tahoma" w:cs="Tahoma"/>
          <w:sz w:val="18"/>
          <w:szCs w:val="18"/>
          <w:rtl/>
        </w:rPr>
        <w:t>המל"ל</w:t>
      </w:r>
      <w:proofErr w:type="spellEnd"/>
      <w:r w:rsidRPr="00267EEA">
        <w:rPr>
          <w:rFonts w:ascii="Tahoma" w:hAnsi="Tahoma" w:cs="Tahoma"/>
          <w:sz w:val="18"/>
          <w:szCs w:val="18"/>
          <w:rtl/>
        </w:rPr>
        <w:t xml:space="preserve"> להוביל בהקדם, בשיתוף </w:t>
      </w:r>
      <w:proofErr w:type="spellStart"/>
      <w:r w:rsidRPr="00267EEA">
        <w:rPr>
          <w:rFonts w:ascii="Tahoma" w:hAnsi="Tahoma" w:cs="Tahoma"/>
          <w:sz w:val="18"/>
          <w:szCs w:val="18"/>
          <w:rtl/>
        </w:rPr>
        <w:t>משהב"ט</w:t>
      </w:r>
      <w:proofErr w:type="spellEnd"/>
      <w:r>
        <w:rPr>
          <w:rFonts w:ascii="Tahoma" w:hAnsi="Tahoma" w:cs="Tahoma" w:hint="cs"/>
          <w:sz w:val="18"/>
          <w:szCs w:val="18"/>
          <w:rtl/>
        </w:rPr>
        <w:t>,</w:t>
      </w:r>
      <w:r w:rsidRPr="00267EEA">
        <w:rPr>
          <w:rFonts w:ascii="Tahoma" w:hAnsi="Tahoma" w:cs="Tahoma"/>
          <w:sz w:val="18"/>
          <w:szCs w:val="18"/>
          <w:rtl/>
        </w:rPr>
        <w:t xml:space="preserve"> שהחל לעסוק בנושא, ובשיתוף משרד האוצר וגורמים רלוו</w:t>
      </w:r>
      <w:r>
        <w:rPr>
          <w:rFonts w:ascii="Tahoma" w:hAnsi="Tahoma" w:cs="Tahoma" w:hint="cs"/>
          <w:sz w:val="18"/>
          <w:szCs w:val="18"/>
          <w:rtl/>
        </w:rPr>
        <w:t>נ</w:t>
      </w:r>
      <w:r w:rsidRPr="00267EEA">
        <w:rPr>
          <w:rFonts w:ascii="Tahoma" w:hAnsi="Tahoma" w:cs="Tahoma"/>
          <w:sz w:val="18"/>
          <w:szCs w:val="18"/>
          <w:rtl/>
        </w:rPr>
        <w:t xml:space="preserve">טיים נוספים, עבודת מטה לבחינת המודל </w:t>
      </w:r>
      <w:proofErr w:type="spellStart"/>
      <w:r w:rsidRPr="00267EEA">
        <w:rPr>
          <w:rFonts w:ascii="Tahoma" w:hAnsi="Tahoma" w:cs="Tahoma"/>
          <w:sz w:val="18"/>
          <w:szCs w:val="18"/>
          <w:rtl/>
        </w:rPr>
        <w:t>המימוני</w:t>
      </w:r>
      <w:proofErr w:type="spellEnd"/>
      <w:r w:rsidRPr="00267EEA">
        <w:rPr>
          <w:rFonts w:ascii="Tahoma" w:hAnsi="Tahoma" w:cs="Tahoma"/>
          <w:sz w:val="18"/>
          <w:szCs w:val="18"/>
          <w:rtl/>
        </w:rPr>
        <w:t xml:space="preserve"> המיטבי למיגון המתקנים האמורים ולהביא לפני הקבינט המדיני-ביטחוני את המלצתו בנושא.</w:t>
      </w:r>
    </w:p>
    <w:p w:rsidR="007425AD" w:rsidRPr="00267EEA" w:rsidRDefault="00A8413A" w:rsidP="007425AD">
      <w:pPr>
        <w:widowControl w:val="0"/>
        <w:tabs>
          <w:tab w:val="left" w:pos="9604"/>
        </w:tabs>
        <w:spacing w:before="240" w:line="276" w:lineRule="auto"/>
        <w:ind w:left="-1"/>
        <w:rPr>
          <w:rFonts w:ascii="Tahoma" w:hAnsi="Tahoma" w:cs="Tahoma"/>
          <w:sz w:val="18"/>
          <w:szCs w:val="18"/>
          <w:rtl/>
        </w:rPr>
      </w:pPr>
      <w:r w:rsidRPr="00267EEA">
        <w:rPr>
          <w:rFonts w:ascii="Tahoma" w:hAnsi="Tahoma" w:cs="Tahoma"/>
          <w:sz w:val="18"/>
          <w:szCs w:val="18"/>
          <w:rtl/>
        </w:rPr>
        <w:t>מומלץ כי ראש הממשלה ושר הביטחון יעקבו אחר נושא מיגון המתקנים החיוניים בגוף מסוי</w:t>
      </w:r>
      <w:r w:rsidRPr="00267EEA">
        <w:rPr>
          <w:rFonts w:ascii="Tahoma" w:hAnsi="Tahoma" w:cs="Tahoma"/>
          <w:sz w:val="18"/>
          <w:szCs w:val="18"/>
          <w:rtl/>
        </w:rPr>
        <w:t>ם ויבחנו את הנושא ביתר הגופים הרלוונטיים.</w:t>
      </w:r>
    </w:p>
    <w:p w:rsidR="007425AD" w:rsidRDefault="00A8413A">
      <w:pPr>
        <w:bidi w:val="0"/>
        <w:spacing w:after="200" w:line="276" w:lineRule="auto"/>
        <w:rPr>
          <w:rStyle w:val="7372"/>
          <w:rtl/>
        </w:rPr>
      </w:pPr>
      <w:r>
        <w:rPr>
          <w:rStyle w:val="7372"/>
          <w:rtl/>
        </w:rPr>
        <w:br w:type="page"/>
      </w:r>
    </w:p>
    <w:p w:rsidR="005D0F8C" w:rsidRDefault="00A8413A" w:rsidP="00EB672B">
      <w:pPr>
        <w:pStyle w:val="73f7"/>
        <w:rPr>
          <w:rtl/>
        </w:rPr>
      </w:pPr>
      <w:r w:rsidRPr="00D527BD">
        <w:rPr>
          <w:noProof/>
          <w:szCs w:val="20"/>
          <w:rtl/>
        </w:rPr>
        <w:lastRenderedPageBreak/>
        <mc:AlternateContent>
          <mc:Choice Requires="wps">
            <w:drawing>
              <wp:anchor distT="0" distB="0" distL="114300" distR="114300" simplePos="0" relativeHeight="251676672" behindDoc="0" locked="0" layoutInCell="1" allowOverlap="1">
                <wp:simplePos x="0" y="0"/>
                <wp:positionH relativeFrom="column">
                  <wp:posOffset>100379</wp:posOffset>
                </wp:positionH>
                <wp:positionV relativeFrom="paragraph">
                  <wp:posOffset>72390</wp:posOffset>
                </wp:positionV>
                <wp:extent cx="4436745" cy="434975"/>
                <wp:effectExtent l="0" t="0" r="0" b="0"/>
                <wp:wrapNone/>
                <wp:docPr id="1451066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434975"/>
                        </a:xfrm>
                        <a:prstGeom prst="rect">
                          <a:avLst/>
                        </a:prstGeom>
                        <a:solidFill>
                          <a:srgbClr val="F05260"/>
                        </a:solidFill>
                        <a:ln w="9525">
                          <a:noFill/>
                          <a:miter lim="800000"/>
                          <a:headEnd/>
                          <a:tailEnd/>
                        </a:ln>
                      </wps:spPr>
                      <wps:txbx>
                        <w:txbxContent>
                          <w:p w:rsidR="005D0F8C" w:rsidRPr="005C7ABF" w:rsidRDefault="00A8413A" w:rsidP="00524400">
                            <w:pPr>
                              <w:pStyle w:val="73ff"/>
                              <w:rPr>
                                <w:rtl/>
                              </w:rPr>
                            </w:pPr>
                            <w:r w:rsidRPr="001F15F3">
                              <w:rPr>
                                <w:rtl/>
                              </w:rPr>
                              <w:t>עיקרי הליקויים שעלו בדוח הקודם, לפי מידת תיקונם</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4" type="#_x0000_t202" style="width:349.35pt;height:34.25pt;margin-top:5.7pt;margin-left:7.9pt;mso-height-percent:0;mso-height-relative:margin;mso-width-percent:0;mso-width-relative:margin;mso-wrap-distance-bottom:0;mso-wrap-distance-left:9pt;mso-wrap-distance-right:9pt;mso-wrap-distance-top:0;mso-wrap-style:square;position:absolute;visibility:visible;v-text-anchor:middle;z-index:251677696" fillcolor="#f05260" stroked="f">
                <v:textbox>
                  <w:txbxContent>
                    <w:p w:rsidR="005D0F8C" w:rsidRPr="005C7ABF" w:rsidP="00524400" w14:paraId="1D5D7976" w14:textId="0E018560">
                      <w:pPr>
                        <w:pStyle w:val="7332"/>
                        <w:rPr>
                          <w:rtl/>
                        </w:rPr>
                      </w:pPr>
                      <w:r w:rsidRPr="001F15F3">
                        <w:rPr>
                          <w:rtl/>
                        </w:rPr>
                        <w:t>עיקרי הליקויים שעלו בדוח הקודם, לפי מידת תיקונם</w:t>
                      </w:r>
                    </w:p>
                  </w:txbxContent>
                </v:textbox>
              </v:shape>
            </w:pict>
          </mc:Fallback>
        </mc:AlternateContent>
      </w:r>
      <w:r w:rsidR="00D57BE9" w:rsidRPr="00D527BD">
        <w:rPr>
          <w:noProof/>
          <w:szCs w:val="20"/>
          <w:rtl/>
        </w:rPr>
        <w:drawing>
          <wp:anchor distT="0" distB="0" distL="114300" distR="114300" simplePos="0" relativeHeight="251675648" behindDoc="0" locked="0" layoutInCell="1" allowOverlap="1">
            <wp:simplePos x="0" y="0"/>
            <wp:positionH relativeFrom="column">
              <wp:posOffset>-58420</wp:posOffset>
            </wp:positionH>
            <wp:positionV relativeFrom="paragraph">
              <wp:posOffset>-33655</wp:posOffset>
            </wp:positionV>
            <wp:extent cx="4775102" cy="762619"/>
            <wp:effectExtent l="0" t="0" r="0" b="0"/>
            <wp:wrapNone/>
            <wp:docPr id="1451066646"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54">
                      <a:extLst>
                        <a:ext uri="{C183D7F6-B498-43B3-948B-1728B52AA6E4}">
                          <adec:decorative xmlns:adec="http://schemas.microsoft.com/office/drawing/2017/decorative" val="1"/>
                        </a:ext>
                      </a:extLst>
                    </pic:cNvPr>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775102" cy="762619"/>
                    </a:xfrm>
                    <a:prstGeom prst="rect">
                      <a:avLst/>
                    </a:prstGeom>
                  </pic:spPr>
                </pic:pic>
              </a:graphicData>
            </a:graphic>
            <wp14:sizeRelH relativeFrom="margin">
              <wp14:pctWidth>0</wp14:pctWidth>
            </wp14:sizeRelH>
            <wp14:sizeRelV relativeFrom="margin">
              <wp14:pctHeight>0</wp14:pctHeight>
            </wp14:sizeRelV>
          </wp:anchor>
        </w:drawing>
      </w:r>
      <w:r>
        <w:rPr>
          <w:rtl/>
        </w:rPr>
        <w:t xml:space="preserve"> </w:t>
      </w:r>
    </w:p>
    <w:p w:rsidR="005D0F8C" w:rsidRDefault="005D0F8C" w:rsidP="005D0F8C">
      <w:pPr>
        <w:pStyle w:val="73f7"/>
        <w:rPr>
          <w:rtl/>
        </w:rPr>
      </w:pPr>
    </w:p>
    <w:p w:rsidR="005D0F8C" w:rsidRPr="00D57BE9" w:rsidRDefault="005D0F8C" w:rsidP="00D57BE9">
      <w:pPr>
        <w:rPr>
          <w:rtl/>
        </w:rPr>
      </w:pPr>
    </w:p>
    <w:p w:rsidR="00D57BE9" w:rsidRPr="00D57BE9" w:rsidRDefault="00A8413A" w:rsidP="007149A0">
      <w:pPr>
        <w:jc w:val="center"/>
        <w:rPr>
          <w:rtl/>
        </w:rPr>
      </w:pPr>
      <w:bookmarkStart w:id="2" w:name="_GoBack"/>
      <w:r>
        <w:rPr>
          <w:noProof/>
          <w:rtl/>
          <w:lang w:val="he-IL"/>
        </w:rPr>
        <w:drawing>
          <wp:inline distT="0" distB="0" distL="0" distR="0">
            <wp:extent cx="4403188" cy="2366010"/>
            <wp:effectExtent l="0" t="0" r="3810" b="0"/>
            <wp:docPr id="252592013" name="תמונה 4" descr="חמישה מהליקויים העיקריים שהועלו בדוח הקודם לא תוקנו עד פרוץ מלחמת חרבות ברזל. לאחר פרוץ המלחמה - שלושה מהליקויים עדיין לא תוקנו, ושניים תוקנו במידה מועט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92013" name="תמונה 4"/>
                    <pic:cNvPicPr/>
                  </pic:nvPicPr>
                  <pic:blipFill>
                    <a:blip r:embed="rId29" cstate="print">
                      <a:extLst>
                        <a:ext uri="{28A0092B-C50C-407E-A947-70E740481C1C}">
                          <a14:useLocalDpi xmlns:a14="http://schemas.microsoft.com/office/drawing/2010/main" val="0"/>
                        </a:ext>
                      </a:extLst>
                    </a:blip>
                    <a:srcRect l="7692" r="1724"/>
                    <a:stretch>
                      <a:fillRect/>
                    </a:stretch>
                  </pic:blipFill>
                  <pic:spPr bwMode="auto">
                    <a:xfrm>
                      <a:off x="0" y="0"/>
                      <a:ext cx="4422768" cy="2376531"/>
                    </a:xfrm>
                    <a:prstGeom prst="rect">
                      <a:avLst/>
                    </a:prstGeom>
                    <a:ln>
                      <a:noFill/>
                    </a:ln>
                    <a:extLst>
                      <a:ext uri="{53640926-AAD7-44D8-BBD7-CCE9431645EC}">
                        <a14:shadowObscured xmlns:a14="http://schemas.microsoft.com/office/drawing/2010/main"/>
                      </a:ext>
                    </a:extLst>
                  </pic:spPr>
                </pic:pic>
              </a:graphicData>
            </a:graphic>
          </wp:inline>
        </w:drawing>
      </w:r>
      <w:bookmarkEnd w:id="2"/>
    </w:p>
    <w:p w:rsidR="005C43CE" w:rsidRDefault="00A8413A">
      <w:pPr>
        <w:bidi w:val="0"/>
        <w:spacing w:after="200" w:line="276" w:lineRule="auto"/>
        <w:rPr>
          <w:rFonts w:ascii="Tahoma" w:hAnsi="Tahoma" w:cs="Tahoma"/>
          <w:color w:val="0D0D0D" w:themeColor="text1" w:themeTint="F2"/>
          <w:sz w:val="16"/>
          <w:szCs w:val="16"/>
          <w:rtl/>
        </w:rPr>
      </w:pPr>
      <w:r>
        <w:rPr>
          <w:rtl/>
        </w:rPr>
        <w:br w:type="page"/>
      </w:r>
    </w:p>
    <w:p w:rsidR="000B31AA" w:rsidRPr="000B31AA" w:rsidRDefault="00A8413A" w:rsidP="00662020">
      <w:pPr>
        <w:pStyle w:val="73e"/>
        <w:spacing w:before="0" w:after="0"/>
        <w:rPr>
          <w:rtl/>
        </w:rPr>
      </w:pPr>
      <w:r w:rsidRPr="00DC1D24">
        <w:rPr>
          <w:noProof/>
          <w:rtl/>
        </w:rPr>
        <w:lastRenderedPageBreak/>
        <mc:AlternateContent>
          <mc:Choice Requires="wpg">
            <w:drawing>
              <wp:anchor distT="0" distB="0" distL="114300" distR="114300" simplePos="0" relativeHeight="251678720" behindDoc="0" locked="0" layoutInCell="1" allowOverlap="1">
                <wp:simplePos x="0" y="0"/>
                <wp:positionH relativeFrom="margin">
                  <wp:posOffset>-106680</wp:posOffset>
                </wp:positionH>
                <wp:positionV relativeFrom="paragraph">
                  <wp:posOffset>634</wp:posOffset>
                </wp:positionV>
                <wp:extent cx="4787900" cy="767080"/>
                <wp:effectExtent l="0" t="0" r="0" b="0"/>
                <wp:wrapSquare wrapText="bothSides"/>
                <wp:docPr id="1113575890" name="Group 20527709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787900" cy="767080"/>
                          <a:chOff x="0" y="181533"/>
                          <a:chExt cx="4787900" cy="614829"/>
                        </a:xfrm>
                      </wpg:grpSpPr>
                      <pic:pic xmlns:pic="http://schemas.openxmlformats.org/drawingml/2006/picture">
                        <pic:nvPicPr>
                          <pic:cNvPr id="1113575891" name="Picture 23"/>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181533"/>
                            <a:ext cx="4787900" cy="614829"/>
                          </a:xfrm>
                          <a:prstGeom prst="rect">
                            <a:avLst/>
                          </a:prstGeom>
                        </pic:spPr>
                      </pic:pic>
                      <wps:wsp>
                        <wps:cNvPr id="1113575892" name="Text Box 2"/>
                        <wps:cNvSpPr txBox="1">
                          <a:spLocks noChangeArrowheads="1"/>
                        </wps:cNvSpPr>
                        <wps:spPr bwMode="auto">
                          <a:xfrm>
                            <a:off x="202806" y="266506"/>
                            <a:ext cx="4428490" cy="347646"/>
                          </a:xfrm>
                          <a:prstGeom prst="rect">
                            <a:avLst/>
                          </a:prstGeom>
                          <a:solidFill>
                            <a:srgbClr val="F05260"/>
                          </a:solidFill>
                          <a:ln w="9525">
                            <a:noFill/>
                            <a:miter lim="800000"/>
                            <a:headEnd/>
                            <a:tailEnd/>
                          </a:ln>
                        </wps:spPr>
                        <wps:txbx>
                          <w:txbxContent>
                            <w:p w:rsidR="000B31AA" w:rsidRPr="00524400" w:rsidRDefault="00A8413A" w:rsidP="00524400">
                              <w:pPr>
                                <w:pStyle w:val="73ff"/>
                              </w:pPr>
                              <w:r w:rsidRPr="00C035DE">
                                <w:rPr>
                                  <w:rtl/>
                                </w:rPr>
                                <w:t>מידת תיקון עיקרי הליקויים שעלו בדוח הקודם</w:t>
                              </w:r>
                            </w:p>
                          </w:txbxContent>
                        </wps:txbx>
                        <wps:bodyPr rot="0" vert="horz" wrap="square" lIns="91440" tIns="45720" rIns="91440" bIns="45720" anchor="ctr" anchorCtr="0"/>
                      </wps:wsp>
                    </wpg:wgp>
                  </a:graphicData>
                </a:graphic>
                <wp14:sizeRelH relativeFrom="margin">
                  <wp14:pctWidth>0</wp14:pctWidth>
                </wp14:sizeRelH>
                <wp14:sizeRelV relativeFrom="margin">
                  <wp14:pctHeight>0</wp14:pctHeight>
                </wp14:sizeRelV>
              </wp:anchor>
            </w:drawing>
          </mc:Choice>
          <mc:Fallback>
            <w:pict>
              <v:group id="Group 2052770959" o:spid="_x0000_s1035" alt="&quot;&quot;" style="width:377pt;height:60.4pt;margin-top:0.05pt;margin-left:-8.4pt;mso-height-relative:margin;mso-position-horizontal-relative:margin;mso-width-relative:margin;position:absolute;z-index:251679744" coordorigin="0,1815" coordsize="47879,61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36" type="#_x0000_t75" style="width:47879;height:6148;mso-wrap-style:square;position:absolute;top:1815;visibility:visible">
                  <v:imagedata r:id="rId30" o:title=""/>
                </v:shape>
                <v:shape id="_x0000_s1037" type="#_x0000_t202" style="width:44284;height:3476;left:2028;mso-wrap-style:square;position:absolute;top:2665;visibility:visible;v-text-anchor:middle" fillcolor="#f05260" stroked="f">
                  <v:textbox>
                    <w:txbxContent>
                      <w:p w:rsidR="000B31AA" w:rsidRPr="00524400" w:rsidP="00524400" w14:paraId="64B50804" w14:textId="4ED6E2D4">
                        <w:pPr>
                          <w:pStyle w:val="7332"/>
                        </w:pPr>
                        <w:r w:rsidRPr="00C035DE">
                          <w:rPr>
                            <w:rtl/>
                          </w:rPr>
                          <w:t>מידת תיקון עיקרי הליקויים שעלו בדוח הקודם</w:t>
                        </w:r>
                      </w:p>
                    </w:txbxContent>
                  </v:textbox>
                </v:shape>
                <w10:wrap type="square"/>
              </v:group>
            </w:pict>
          </mc:Fallback>
        </mc:AlternateContent>
      </w:r>
    </w:p>
    <w:tbl>
      <w:tblPr>
        <w:tblStyle w:val="a8"/>
        <w:bidiVisual/>
        <w:tblW w:w="7216" w:type="dxa"/>
        <w:tblInd w:w="397" w:type="dxa"/>
        <w:tblBorders>
          <w:top w:val="none" w:sz="0" w:space="0" w:color="auto"/>
          <w:left w:val="single" w:sz="2" w:space="0" w:color="auto"/>
          <w:bottom w:val="none" w:sz="0" w:space="0" w:color="auto"/>
          <w:right w:val="single" w:sz="2" w:space="0" w:color="auto"/>
          <w:insideH w:val="none" w:sz="0" w:space="0" w:color="auto"/>
          <w:insideV w:val="single" w:sz="2" w:space="0" w:color="auto"/>
        </w:tblBorders>
        <w:shd w:val="clear" w:color="auto" w:fill="DFECEF"/>
        <w:tblLook w:val="04A0" w:firstRow="1" w:lastRow="0" w:firstColumn="1" w:lastColumn="0" w:noHBand="0" w:noVBand="1"/>
      </w:tblPr>
      <w:tblGrid>
        <w:gridCol w:w="1474"/>
        <w:gridCol w:w="998"/>
        <w:gridCol w:w="1984"/>
        <w:gridCol w:w="584"/>
        <w:gridCol w:w="758"/>
        <w:gridCol w:w="733"/>
        <w:gridCol w:w="685"/>
      </w:tblGrid>
      <w:tr w:rsidR="00B46BA7" w:rsidTr="003E5AE8">
        <w:trPr>
          <w:tblHeader/>
        </w:trPr>
        <w:tc>
          <w:tcPr>
            <w:tcW w:w="1474" w:type="dxa"/>
            <w:vMerge w:val="restart"/>
            <w:shd w:val="clear" w:color="auto" w:fill="C8DCE4"/>
            <w:vAlign w:val="bottom"/>
          </w:tcPr>
          <w:p w:rsidR="00F6117F" w:rsidRDefault="00A8413A" w:rsidP="003E5AE8">
            <w:pPr>
              <w:pStyle w:val="73R"/>
            </w:pPr>
            <w:r w:rsidRPr="007E204E">
              <w:rPr>
                <w:b/>
                <w:bCs/>
                <w:rtl/>
              </w:rPr>
              <w:t>פרק הביקורת</w:t>
            </w:r>
          </w:p>
        </w:tc>
        <w:tc>
          <w:tcPr>
            <w:tcW w:w="998" w:type="dxa"/>
            <w:vMerge w:val="restart"/>
            <w:shd w:val="clear" w:color="auto" w:fill="C8DCE4"/>
            <w:vAlign w:val="bottom"/>
          </w:tcPr>
          <w:p w:rsidR="00F6117F" w:rsidRDefault="00A8413A" w:rsidP="003E5AE8">
            <w:pPr>
              <w:pStyle w:val="73R"/>
              <w:rPr>
                <w:rtl/>
              </w:rPr>
            </w:pPr>
            <w:r w:rsidRPr="007E204E">
              <w:rPr>
                <w:rFonts w:hint="cs"/>
                <w:b/>
                <w:bCs/>
                <w:rtl/>
              </w:rPr>
              <w:t>הגוף המבוקר</w:t>
            </w:r>
          </w:p>
        </w:tc>
        <w:tc>
          <w:tcPr>
            <w:tcW w:w="1984" w:type="dxa"/>
            <w:vMerge w:val="restart"/>
            <w:shd w:val="clear" w:color="auto" w:fill="C8DCE4"/>
            <w:vAlign w:val="bottom"/>
          </w:tcPr>
          <w:p w:rsidR="00F6117F" w:rsidRDefault="00A8413A" w:rsidP="003E5AE8">
            <w:pPr>
              <w:pStyle w:val="73R"/>
              <w:rPr>
                <w:rtl/>
              </w:rPr>
            </w:pPr>
            <w:r w:rsidRPr="007E204E">
              <w:rPr>
                <w:b/>
                <w:bCs/>
                <w:rtl/>
              </w:rPr>
              <w:t>הליקוי בדוח הביקורת</w:t>
            </w:r>
            <w:r w:rsidRPr="007E204E">
              <w:rPr>
                <w:rFonts w:hint="cs"/>
                <w:b/>
                <w:bCs/>
                <w:rtl/>
              </w:rPr>
              <w:t xml:space="preserve"> הקודם</w:t>
            </w:r>
          </w:p>
        </w:tc>
        <w:tc>
          <w:tcPr>
            <w:tcW w:w="2760" w:type="dxa"/>
            <w:gridSpan w:val="4"/>
            <w:shd w:val="clear" w:color="auto" w:fill="C8DCE4"/>
            <w:vAlign w:val="center"/>
          </w:tcPr>
          <w:p w:rsidR="00F6117F" w:rsidRPr="00FA2D84" w:rsidRDefault="00A8413A" w:rsidP="003E5AE8">
            <w:pPr>
              <w:pStyle w:val="73R"/>
              <w:bidi w:val="0"/>
              <w:jc w:val="center"/>
              <w:rPr>
                <w:b/>
                <w:bCs/>
                <w:rtl/>
              </w:rPr>
            </w:pPr>
            <w:r w:rsidRPr="00FA2D84">
              <w:rPr>
                <w:b/>
                <w:bCs/>
                <w:rtl/>
              </w:rPr>
              <w:t>מידת תיקון הליקוי</w:t>
            </w:r>
            <w:r w:rsidRPr="00FA2D84">
              <w:rPr>
                <w:rFonts w:hint="cs"/>
                <w:b/>
                <w:bCs/>
                <w:rtl/>
              </w:rPr>
              <w:t xml:space="preserve"> </w:t>
            </w:r>
            <w:r w:rsidRPr="00FA2D84">
              <w:rPr>
                <w:b/>
                <w:bCs/>
                <w:rtl/>
              </w:rPr>
              <w:br/>
            </w:r>
            <w:r w:rsidRPr="00FA2D84">
              <w:rPr>
                <w:rFonts w:hint="cs"/>
                <w:b/>
                <w:bCs/>
                <w:rtl/>
              </w:rPr>
              <w:t>כפי שעלה בביקורת המעקב</w:t>
            </w:r>
          </w:p>
        </w:tc>
      </w:tr>
      <w:tr w:rsidR="00B46BA7" w:rsidTr="003E5AE8">
        <w:trPr>
          <w:tblHeader/>
        </w:trPr>
        <w:tc>
          <w:tcPr>
            <w:tcW w:w="1474" w:type="dxa"/>
            <w:vMerge/>
            <w:shd w:val="clear" w:color="auto" w:fill="C8DCE4"/>
            <w:vAlign w:val="bottom"/>
          </w:tcPr>
          <w:p w:rsidR="00F6117F" w:rsidRPr="007E204E" w:rsidRDefault="00F6117F" w:rsidP="003E5AE8">
            <w:pPr>
              <w:pStyle w:val="73R"/>
              <w:rPr>
                <w:b/>
                <w:bCs/>
                <w:rtl/>
              </w:rPr>
            </w:pPr>
          </w:p>
        </w:tc>
        <w:tc>
          <w:tcPr>
            <w:tcW w:w="998" w:type="dxa"/>
            <w:vMerge/>
            <w:shd w:val="clear" w:color="auto" w:fill="C8DCE4"/>
            <w:vAlign w:val="bottom"/>
          </w:tcPr>
          <w:p w:rsidR="00F6117F" w:rsidRPr="007E204E" w:rsidRDefault="00F6117F" w:rsidP="003E5AE8">
            <w:pPr>
              <w:pStyle w:val="73R"/>
              <w:rPr>
                <w:b/>
                <w:bCs/>
                <w:rtl/>
              </w:rPr>
            </w:pPr>
          </w:p>
        </w:tc>
        <w:tc>
          <w:tcPr>
            <w:tcW w:w="1984" w:type="dxa"/>
            <w:vMerge/>
            <w:shd w:val="clear" w:color="auto" w:fill="C8DCE4"/>
            <w:vAlign w:val="bottom"/>
          </w:tcPr>
          <w:p w:rsidR="00F6117F" w:rsidRPr="007E204E" w:rsidRDefault="00F6117F" w:rsidP="003E5AE8">
            <w:pPr>
              <w:pStyle w:val="73R"/>
              <w:rPr>
                <w:b/>
                <w:bCs/>
                <w:rtl/>
              </w:rPr>
            </w:pPr>
          </w:p>
        </w:tc>
        <w:tc>
          <w:tcPr>
            <w:tcW w:w="584" w:type="dxa"/>
            <w:shd w:val="clear" w:color="auto" w:fill="FF0100"/>
            <w:vAlign w:val="bottom"/>
          </w:tcPr>
          <w:p w:rsidR="00F6117F" w:rsidRPr="007E204E" w:rsidRDefault="00A8413A" w:rsidP="003E5AE8">
            <w:pPr>
              <w:pStyle w:val="73R"/>
              <w:rPr>
                <w:b/>
                <w:bCs/>
                <w:rtl/>
              </w:rPr>
            </w:pPr>
            <w:r w:rsidRPr="007E204E">
              <w:rPr>
                <w:rFonts w:hint="eastAsia"/>
                <w:b/>
                <w:bCs/>
                <w:rtl/>
              </w:rPr>
              <w:t>לא</w:t>
            </w:r>
            <w:r w:rsidRPr="007E204E">
              <w:rPr>
                <w:b/>
                <w:bCs/>
                <w:rtl/>
              </w:rPr>
              <w:t xml:space="preserve"> </w:t>
            </w:r>
            <w:r w:rsidRPr="007E204E">
              <w:rPr>
                <w:rFonts w:hint="eastAsia"/>
                <w:b/>
                <w:bCs/>
                <w:rtl/>
              </w:rPr>
              <w:t>תוקן</w:t>
            </w:r>
          </w:p>
        </w:tc>
        <w:tc>
          <w:tcPr>
            <w:tcW w:w="758" w:type="dxa"/>
            <w:shd w:val="clear" w:color="auto" w:fill="FFC002"/>
            <w:vAlign w:val="bottom"/>
          </w:tcPr>
          <w:p w:rsidR="00F6117F" w:rsidRPr="007E204E" w:rsidRDefault="00A8413A" w:rsidP="003E5AE8">
            <w:pPr>
              <w:pStyle w:val="73R"/>
              <w:rPr>
                <w:b/>
                <w:bCs/>
                <w:rtl/>
              </w:rPr>
            </w:pPr>
            <w:r w:rsidRPr="007E204E">
              <w:rPr>
                <w:rFonts w:hint="eastAsia"/>
                <w:b/>
                <w:bCs/>
                <w:rtl/>
              </w:rPr>
              <w:t>תוקן</w:t>
            </w:r>
            <w:r w:rsidRPr="007E204E">
              <w:rPr>
                <w:b/>
                <w:bCs/>
                <w:rtl/>
              </w:rPr>
              <w:t xml:space="preserve"> </w:t>
            </w:r>
            <w:r w:rsidRPr="007E204E">
              <w:rPr>
                <w:rFonts w:hint="eastAsia"/>
                <w:b/>
                <w:bCs/>
                <w:rtl/>
              </w:rPr>
              <w:t>במידה</w:t>
            </w:r>
            <w:r w:rsidRPr="007E204E">
              <w:rPr>
                <w:b/>
                <w:bCs/>
                <w:rtl/>
              </w:rPr>
              <w:t xml:space="preserve"> </w:t>
            </w:r>
            <w:r w:rsidRPr="007E204E">
              <w:rPr>
                <w:rFonts w:hint="eastAsia"/>
                <w:b/>
                <w:bCs/>
                <w:rtl/>
              </w:rPr>
              <w:t>מועטה</w:t>
            </w:r>
          </w:p>
        </w:tc>
        <w:tc>
          <w:tcPr>
            <w:tcW w:w="733" w:type="dxa"/>
            <w:shd w:val="clear" w:color="auto" w:fill="FFFF00"/>
            <w:vAlign w:val="bottom"/>
          </w:tcPr>
          <w:p w:rsidR="00F6117F" w:rsidRPr="007E204E" w:rsidRDefault="00A8413A" w:rsidP="003E5AE8">
            <w:pPr>
              <w:pStyle w:val="73R"/>
              <w:rPr>
                <w:b/>
                <w:bCs/>
                <w:rtl/>
              </w:rPr>
            </w:pPr>
            <w:r w:rsidRPr="007E204E">
              <w:rPr>
                <w:rFonts w:hint="eastAsia"/>
                <w:b/>
                <w:bCs/>
                <w:rtl/>
              </w:rPr>
              <w:t>תוקן</w:t>
            </w:r>
            <w:r w:rsidRPr="007E204E">
              <w:rPr>
                <w:b/>
                <w:bCs/>
                <w:rtl/>
              </w:rPr>
              <w:t xml:space="preserve"> </w:t>
            </w:r>
            <w:r w:rsidRPr="007E204E">
              <w:rPr>
                <w:rFonts w:hint="eastAsia"/>
                <w:b/>
                <w:bCs/>
                <w:rtl/>
              </w:rPr>
              <w:t>במידה</w:t>
            </w:r>
            <w:r w:rsidRPr="007E204E">
              <w:rPr>
                <w:b/>
                <w:bCs/>
                <w:rtl/>
              </w:rPr>
              <w:t xml:space="preserve"> </w:t>
            </w:r>
            <w:r w:rsidRPr="007E204E">
              <w:rPr>
                <w:rFonts w:hint="eastAsia"/>
                <w:b/>
                <w:bCs/>
                <w:rtl/>
              </w:rPr>
              <w:t>רבה</w:t>
            </w:r>
          </w:p>
        </w:tc>
        <w:tc>
          <w:tcPr>
            <w:tcW w:w="685" w:type="dxa"/>
            <w:shd w:val="clear" w:color="auto" w:fill="91CE50"/>
            <w:vAlign w:val="bottom"/>
          </w:tcPr>
          <w:p w:rsidR="00F6117F" w:rsidRPr="007E204E" w:rsidRDefault="00A8413A" w:rsidP="003E5AE8">
            <w:pPr>
              <w:pStyle w:val="73R"/>
              <w:rPr>
                <w:b/>
                <w:bCs/>
                <w:rtl/>
              </w:rPr>
            </w:pPr>
            <w:r w:rsidRPr="007E204E">
              <w:rPr>
                <w:rFonts w:hint="eastAsia"/>
                <w:b/>
                <w:bCs/>
                <w:rtl/>
              </w:rPr>
              <w:t>תוקן</w:t>
            </w:r>
            <w:r w:rsidRPr="007E204E">
              <w:rPr>
                <w:b/>
                <w:bCs/>
                <w:rtl/>
              </w:rPr>
              <w:t xml:space="preserve"> </w:t>
            </w:r>
            <w:r w:rsidRPr="007E204E">
              <w:rPr>
                <w:rFonts w:hint="eastAsia"/>
                <w:b/>
                <w:bCs/>
                <w:rtl/>
              </w:rPr>
              <w:t>באופן</w:t>
            </w:r>
            <w:r w:rsidRPr="007E204E">
              <w:rPr>
                <w:b/>
                <w:bCs/>
                <w:rtl/>
              </w:rPr>
              <w:t xml:space="preserve"> </w:t>
            </w:r>
            <w:r w:rsidRPr="007E204E">
              <w:rPr>
                <w:rFonts w:hint="eastAsia"/>
                <w:b/>
                <w:bCs/>
                <w:rtl/>
              </w:rPr>
              <w:t>מלא</w:t>
            </w:r>
          </w:p>
        </w:tc>
      </w:tr>
      <w:tr w:rsidR="00B46BA7" w:rsidTr="00773D70">
        <w:trPr>
          <w:trHeight w:val="743"/>
        </w:trPr>
        <w:tc>
          <w:tcPr>
            <w:tcW w:w="1474" w:type="dxa"/>
            <w:tcBorders>
              <w:bottom w:val="single" w:sz="2" w:space="0" w:color="auto"/>
            </w:tcBorders>
            <w:shd w:val="clear" w:color="auto" w:fill="DFECEF"/>
          </w:tcPr>
          <w:p w:rsidR="00E87D57" w:rsidRPr="001F15F3" w:rsidRDefault="00A8413A" w:rsidP="003E5AE8">
            <w:pPr>
              <w:pStyle w:val="73R"/>
              <w:rPr>
                <w:b/>
                <w:bCs/>
                <w:rtl/>
              </w:rPr>
            </w:pPr>
            <w:r w:rsidRPr="002432F0">
              <w:rPr>
                <w:b/>
                <w:bCs/>
                <w:rtl/>
              </w:rPr>
              <w:t xml:space="preserve">פעילות </w:t>
            </w:r>
            <w:proofErr w:type="spellStart"/>
            <w:r w:rsidRPr="002432F0">
              <w:rPr>
                <w:b/>
                <w:bCs/>
                <w:rtl/>
              </w:rPr>
              <w:t>מעהב"ט</w:t>
            </w:r>
            <w:proofErr w:type="spellEnd"/>
            <w:r w:rsidRPr="002432F0">
              <w:rPr>
                <w:b/>
                <w:bCs/>
                <w:rtl/>
              </w:rPr>
              <w:t xml:space="preserve"> לקידום המיגון של מתקנים חיוניים בגופים מסוימים לפני פרוץ מלחמת חרבות ברזל</w:t>
            </w:r>
          </w:p>
        </w:tc>
        <w:tc>
          <w:tcPr>
            <w:tcW w:w="998" w:type="dxa"/>
            <w:vMerge w:val="restart"/>
            <w:shd w:val="clear" w:color="auto" w:fill="DFECEF"/>
          </w:tcPr>
          <w:p w:rsidR="00E87D57" w:rsidRPr="007C1A27" w:rsidRDefault="00A8413A" w:rsidP="001F15F3">
            <w:pPr>
              <w:pStyle w:val="73R"/>
              <w:rPr>
                <w:rtl/>
              </w:rPr>
            </w:pPr>
            <w:proofErr w:type="spellStart"/>
            <w:r w:rsidRPr="007C1A27">
              <w:rPr>
                <w:rtl/>
              </w:rPr>
              <w:t>משהב"ט</w:t>
            </w:r>
            <w:proofErr w:type="spellEnd"/>
            <w:r>
              <w:rPr>
                <w:rFonts w:hint="cs"/>
                <w:rtl/>
              </w:rPr>
              <w:t xml:space="preserve"> </w:t>
            </w:r>
            <w:r w:rsidRPr="007C1A27">
              <w:rPr>
                <w:rtl/>
              </w:rPr>
              <w:t>צה"ל</w:t>
            </w:r>
          </w:p>
        </w:tc>
        <w:tc>
          <w:tcPr>
            <w:tcW w:w="1984" w:type="dxa"/>
            <w:vMerge w:val="restart"/>
            <w:shd w:val="clear" w:color="auto" w:fill="DFECEF"/>
          </w:tcPr>
          <w:p w:rsidR="00E87D57" w:rsidRPr="007C1A27" w:rsidRDefault="00A8413A" w:rsidP="003E5AE8">
            <w:pPr>
              <w:pStyle w:val="73R"/>
              <w:rPr>
                <w:rtl/>
              </w:rPr>
            </w:pPr>
            <w:r w:rsidRPr="007C1A27">
              <w:rPr>
                <w:rtl/>
              </w:rPr>
              <w:t xml:space="preserve">עבודת המטה למיפוי המתקנים החיוניים בגופים מסוימים טרם הסתיימה: </w:t>
            </w:r>
            <w:proofErr w:type="spellStart"/>
            <w:r w:rsidRPr="007C1A27">
              <w:rPr>
                <w:rtl/>
              </w:rPr>
              <w:t>משהב"ט</w:t>
            </w:r>
            <w:proofErr w:type="spellEnd"/>
            <w:r w:rsidRPr="007C1A27">
              <w:rPr>
                <w:rtl/>
              </w:rPr>
              <w:t xml:space="preserve"> טרם קבע על אילו מתקנים חיוניים יש </w:t>
            </w:r>
            <w:r w:rsidRPr="007C1A27">
              <w:rPr>
                <w:rtl/>
              </w:rPr>
              <w:t>להגן, ולא נערך למיגונם</w:t>
            </w:r>
          </w:p>
        </w:tc>
        <w:tc>
          <w:tcPr>
            <w:tcW w:w="584" w:type="dxa"/>
            <w:vMerge w:val="restart"/>
            <w:shd w:val="clear" w:color="auto" w:fill="E0EDF0"/>
          </w:tcPr>
          <w:p w:rsidR="00E87D57" w:rsidRPr="00973C85" w:rsidRDefault="00A8413A" w:rsidP="003E5AE8">
            <w:pPr>
              <w:pStyle w:val="73R"/>
              <w:rPr>
                <w:noProof/>
                <w:rtl/>
              </w:rPr>
            </w:pPr>
            <w:r w:rsidRPr="00973C85">
              <w:rPr>
                <w:noProof/>
                <w:rtl/>
              </w:rPr>
              <mc:AlternateContent>
                <mc:Choice Requires="wps">
                  <w:drawing>
                    <wp:anchor distT="0" distB="0" distL="114300" distR="114300" simplePos="0" relativeHeight="251704320" behindDoc="0" locked="0" layoutInCell="1" allowOverlap="1">
                      <wp:simplePos x="0" y="0"/>
                      <wp:positionH relativeFrom="column">
                        <wp:posOffset>-69526</wp:posOffset>
                      </wp:positionH>
                      <wp:positionV relativeFrom="paragraph">
                        <wp:posOffset>477520</wp:posOffset>
                      </wp:positionV>
                      <wp:extent cx="357505" cy="223520"/>
                      <wp:effectExtent l="12700" t="12700" r="10795" b="17780"/>
                      <wp:wrapNone/>
                      <wp:docPr id="1502193067" name="חץ שמאלה 1502193067" descr="לא תוקן"/>
                      <wp:cNvGraphicFramePr/>
                      <a:graphic xmlns:a="http://schemas.openxmlformats.org/drawingml/2006/main">
                        <a:graphicData uri="http://schemas.microsoft.com/office/word/2010/wordprocessingShape">
                          <wps:wsp>
                            <wps:cNvSpPr/>
                            <wps:spPr>
                              <a:xfrm>
                                <a:off x="0" y="0"/>
                                <a:ext cx="357505" cy="223520"/>
                              </a:xfrm>
                              <a:prstGeom prst="leftArrow">
                                <a:avLst/>
                              </a:prstGeom>
                              <a:solidFill>
                                <a:srgbClr val="FF0100"/>
                              </a:solidFill>
                              <a:ln w="25400">
                                <a:solidFill>
                                  <a:srgbClr val="FF01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חץ שמאלה 1502193067" o:spid="_x0000_s1038" type="#_x0000_t66" alt="לא תוקן" style="width:28.15pt;height:17.6pt;margin-top:37.6pt;margin-left:-5.45pt;mso-height-percent:0;mso-height-relative:margin;mso-width-percent:0;mso-width-relative:margin;mso-wrap-distance-bottom:0;mso-wrap-distance-left:9pt;mso-wrap-distance-right:9pt;mso-wrap-distance-top:0;mso-wrap-style:square;position:absolute;visibility:visible;v-text-anchor:middle;z-index:251705344" adj="6752" fillcolor="#ff0100" strokecolor="#ff0100" strokeweight="2pt"/>
                  </w:pict>
                </mc:Fallback>
              </mc:AlternateContent>
            </w:r>
          </w:p>
        </w:tc>
        <w:tc>
          <w:tcPr>
            <w:tcW w:w="758" w:type="dxa"/>
            <w:vMerge w:val="restart"/>
            <w:shd w:val="clear" w:color="auto" w:fill="E0EDF0"/>
          </w:tcPr>
          <w:p w:rsidR="00E87D57" w:rsidRDefault="00E87D57" w:rsidP="003E5AE8">
            <w:pPr>
              <w:pStyle w:val="73R"/>
              <w:rPr>
                <w:rtl/>
              </w:rPr>
            </w:pPr>
          </w:p>
        </w:tc>
        <w:tc>
          <w:tcPr>
            <w:tcW w:w="733" w:type="dxa"/>
            <w:vMerge w:val="restart"/>
            <w:shd w:val="clear" w:color="auto" w:fill="E0EDF0"/>
          </w:tcPr>
          <w:p w:rsidR="00E87D57" w:rsidRDefault="00E87D57" w:rsidP="003E5AE8">
            <w:pPr>
              <w:pStyle w:val="73R"/>
              <w:rPr>
                <w:rtl/>
              </w:rPr>
            </w:pPr>
          </w:p>
        </w:tc>
        <w:tc>
          <w:tcPr>
            <w:tcW w:w="685" w:type="dxa"/>
            <w:vMerge w:val="restart"/>
            <w:shd w:val="clear" w:color="auto" w:fill="E0EDF0"/>
          </w:tcPr>
          <w:p w:rsidR="00E87D57" w:rsidRDefault="00E87D57" w:rsidP="003E5AE8">
            <w:pPr>
              <w:pStyle w:val="73R"/>
              <w:rPr>
                <w:rtl/>
              </w:rPr>
            </w:pPr>
          </w:p>
        </w:tc>
      </w:tr>
      <w:tr w:rsidR="00B46BA7" w:rsidTr="00773D70">
        <w:trPr>
          <w:trHeight w:val="300"/>
        </w:trPr>
        <w:tc>
          <w:tcPr>
            <w:tcW w:w="1474" w:type="dxa"/>
            <w:vMerge w:val="restart"/>
            <w:tcBorders>
              <w:top w:val="single" w:sz="2" w:space="0" w:color="auto"/>
            </w:tcBorders>
            <w:shd w:val="clear" w:color="auto" w:fill="DFECEF"/>
          </w:tcPr>
          <w:p w:rsidR="00E87D57" w:rsidRPr="001F15F3" w:rsidRDefault="00A8413A" w:rsidP="003E5AE8">
            <w:pPr>
              <w:pStyle w:val="73R"/>
              <w:rPr>
                <w:b/>
                <w:bCs/>
                <w:rtl/>
              </w:rPr>
            </w:pPr>
            <w:r w:rsidRPr="001F15F3">
              <w:rPr>
                <w:b/>
                <w:bCs/>
                <w:rtl/>
              </w:rPr>
              <w:t xml:space="preserve">פעילות </w:t>
            </w:r>
            <w:proofErr w:type="spellStart"/>
            <w:r w:rsidRPr="001F15F3">
              <w:rPr>
                <w:b/>
                <w:bCs/>
                <w:rtl/>
              </w:rPr>
              <w:t>מעהב"ט</w:t>
            </w:r>
            <w:proofErr w:type="spellEnd"/>
            <w:r w:rsidRPr="001F15F3">
              <w:rPr>
                <w:b/>
                <w:bCs/>
                <w:rtl/>
              </w:rPr>
              <w:t xml:space="preserve"> לקידום המיגון של מתקנים חיוניים בגופים מסוימים לאחר פרוץ מלחמת חרבות ברזל</w:t>
            </w:r>
          </w:p>
        </w:tc>
        <w:tc>
          <w:tcPr>
            <w:tcW w:w="998" w:type="dxa"/>
            <w:vMerge/>
            <w:shd w:val="clear" w:color="auto" w:fill="DFECEF"/>
          </w:tcPr>
          <w:p w:rsidR="00E87D57" w:rsidRDefault="00E87D57" w:rsidP="001F15F3">
            <w:pPr>
              <w:pStyle w:val="73R"/>
              <w:rPr>
                <w:rtl/>
              </w:rPr>
            </w:pPr>
          </w:p>
        </w:tc>
        <w:tc>
          <w:tcPr>
            <w:tcW w:w="1984" w:type="dxa"/>
            <w:vMerge/>
            <w:shd w:val="clear" w:color="auto" w:fill="DFECEF"/>
          </w:tcPr>
          <w:p w:rsidR="00E87D57" w:rsidRDefault="00E87D57" w:rsidP="003E5AE8">
            <w:pPr>
              <w:pStyle w:val="73R"/>
              <w:rPr>
                <w:rtl/>
              </w:rPr>
            </w:pPr>
          </w:p>
        </w:tc>
        <w:tc>
          <w:tcPr>
            <w:tcW w:w="584" w:type="dxa"/>
            <w:vMerge/>
            <w:tcBorders>
              <w:bottom w:val="single" w:sz="2" w:space="0" w:color="auto"/>
            </w:tcBorders>
            <w:shd w:val="clear" w:color="auto" w:fill="E0EDF0"/>
          </w:tcPr>
          <w:p w:rsidR="00E87D57" w:rsidRDefault="00E87D57" w:rsidP="003E5AE8">
            <w:pPr>
              <w:pStyle w:val="73R"/>
              <w:rPr>
                <w:rtl/>
              </w:rPr>
            </w:pPr>
          </w:p>
        </w:tc>
        <w:tc>
          <w:tcPr>
            <w:tcW w:w="758" w:type="dxa"/>
            <w:vMerge/>
            <w:tcBorders>
              <w:bottom w:val="single" w:sz="2" w:space="0" w:color="auto"/>
            </w:tcBorders>
            <w:shd w:val="clear" w:color="auto" w:fill="E0EDF0"/>
          </w:tcPr>
          <w:p w:rsidR="00E87D57" w:rsidRDefault="00E87D57" w:rsidP="003E5AE8">
            <w:pPr>
              <w:pStyle w:val="73R"/>
              <w:rPr>
                <w:rtl/>
              </w:rPr>
            </w:pPr>
          </w:p>
        </w:tc>
        <w:tc>
          <w:tcPr>
            <w:tcW w:w="733" w:type="dxa"/>
            <w:vMerge/>
            <w:tcBorders>
              <w:bottom w:val="single" w:sz="2" w:space="0" w:color="auto"/>
            </w:tcBorders>
            <w:shd w:val="clear" w:color="auto" w:fill="E0EDF0"/>
          </w:tcPr>
          <w:p w:rsidR="00E87D57" w:rsidRDefault="00E87D57" w:rsidP="003E5AE8">
            <w:pPr>
              <w:pStyle w:val="73R"/>
              <w:rPr>
                <w:rtl/>
              </w:rPr>
            </w:pPr>
          </w:p>
        </w:tc>
        <w:tc>
          <w:tcPr>
            <w:tcW w:w="685" w:type="dxa"/>
            <w:vMerge/>
            <w:tcBorders>
              <w:bottom w:val="single" w:sz="2" w:space="0" w:color="auto"/>
            </w:tcBorders>
            <w:shd w:val="clear" w:color="auto" w:fill="E0EDF0"/>
          </w:tcPr>
          <w:p w:rsidR="00E87D57" w:rsidRDefault="00E87D57" w:rsidP="003E5AE8">
            <w:pPr>
              <w:pStyle w:val="73R"/>
              <w:rPr>
                <w:rtl/>
              </w:rPr>
            </w:pPr>
          </w:p>
        </w:tc>
      </w:tr>
      <w:tr w:rsidR="00B46BA7" w:rsidTr="00773D70">
        <w:trPr>
          <w:trHeight w:val="737"/>
        </w:trPr>
        <w:tc>
          <w:tcPr>
            <w:tcW w:w="1474" w:type="dxa"/>
            <w:vMerge/>
            <w:shd w:val="clear" w:color="auto" w:fill="F0F8F9"/>
          </w:tcPr>
          <w:p w:rsidR="00E87D57" w:rsidRDefault="00E87D57" w:rsidP="003E5AE8">
            <w:pPr>
              <w:pStyle w:val="73R"/>
              <w:rPr>
                <w:rtl/>
              </w:rPr>
            </w:pPr>
          </w:p>
        </w:tc>
        <w:tc>
          <w:tcPr>
            <w:tcW w:w="998" w:type="dxa"/>
            <w:vMerge/>
            <w:shd w:val="clear" w:color="auto" w:fill="F0F8F9"/>
          </w:tcPr>
          <w:p w:rsidR="00E87D57" w:rsidRDefault="00E87D57" w:rsidP="003E5AE8">
            <w:pPr>
              <w:pStyle w:val="73R"/>
              <w:rPr>
                <w:rtl/>
              </w:rPr>
            </w:pPr>
          </w:p>
        </w:tc>
        <w:tc>
          <w:tcPr>
            <w:tcW w:w="1984" w:type="dxa"/>
            <w:vMerge/>
            <w:shd w:val="clear" w:color="auto" w:fill="F0F8F9"/>
          </w:tcPr>
          <w:p w:rsidR="00E87D57" w:rsidRDefault="00E87D57" w:rsidP="003E5AE8">
            <w:pPr>
              <w:pStyle w:val="73R"/>
              <w:rPr>
                <w:rtl/>
              </w:rPr>
            </w:pPr>
          </w:p>
        </w:tc>
        <w:tc>
          <w:tcPr>
            <w:tcW w:w="584" w:type="dxa"/>
            <w:tcBorders>
              <w:top w:val="single" w:sz="2" w:space="0" w:color="auto"/>
            </w:tcBorders>
            <w:shd w:val="clear" w:color="auto" w:fill="E0EDF0"/>
          </w:tcPr>
          <w:p w:rsidR="00E87D57" w:rsidRDefault="00A8413A" w:rsidP="00E87D57">
            <w:pPr>
              <w:pStyle w:val="73R"/>
              <w:spacing w:before="240"/>
              <w:rPr>
                <w:rtl/>
              </w:rPr>
            </w:pPr>
            <w:r w:rsidRPr="00973C85">
              <w:rPr>
                <w:noProof/>
                <w:rtl/>
              </w:rPr>
              <mc:AlternateContent>
                <mc:Choice Requires="wps">
                  <w:drawing>
                    <wp:anchor distT="0" distB="0" distL="114300" distR="114300" simplePos="0" relativeHeight="251702272" behindDoc="0" locked="0" layoutInCell="1" allowOverlap="1">
                      <wp:simplePos x="0" y="0"/>
                      <wp:positionH relativeFrom="column">
                        <wp:posOffset>-545465</wp:posOffset>
                      </wp:positionH>
                      <wp:positionV relativeFrom="paragraph">
                        <wp:posOffset>323850</wp:posOffset>
                      </wp:positionV>
                      <wp:extent cx="831850" cy="223520"/>
                      <wp:effectExtent l="12700" t="12700" r="19050" b="17780"/>
                      <wp:wrapNone/>
                      <wp:docPr id="58" name="חץ שמאלה 58" descr="תוקן במידה מועטה"/>
                      <wp:cNvGraphicFramePr/>
                      <a:graphic xmlns:a="http://schemas.openxmlformats.org/drawingml/2006/main">
                        <a:graphicData uri="http://schemas.microsoft.com/office/word/2010/wordprocessingShape">
                          <wps:wsp>
                            <wps:cNvSpPr/>
                            <wps:spPr>
                              <a:xfrm>
                                <a:off x="0" y="0"/>
                                <a:ext cx="831850" cy="223520"/>
                              </a:xfrm>
                              <a:prstGeom prst="leftArrow">
                                <a:avLst/>
                              </a:prstGeom>
                              <a:solidFill>
                                <a:srgbClr val="FFC002"/>
                              </a:solidFill>
                              <a:ln w="25400">
                                <a:solidFill>
                                  <a:srgbClr val="FFC002"/>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58" o:spid="_x0000_s1039" type="#_x0000_t66" alt="תוקן במידה מועטה" style="width:65.5pt;height:17.6pt;margin-top:25.5pt;margin-left:-42.95pt;mso-height-percent:0;mso-height-relative:margin;mso-width-percent:0;mso-width-relative:margin;mso-wrap-distance-bottom:0;mso-wrap-distance-left:9pt;mso-wrap-distance-right:9pt;mso-wrap-distance-top:0;mso-wrap-style:square;position:absolute;visibility:visible;v-text-anchor:middle;z-index:251703296" adj="2902" fillcolor="#ffc002" strokecolor="#ffc002" strokeweight="2pt"/>
                  </w:pict>
                </mc:Fallback>
              </mc:AlternateContent>
            </w:r>
          </w:p>
        </w:tc>
        <w:tc>
          <w:tcPr>
            <w:tcW w:w="758" w:type="dxa"/>
            <w:tcBorders>
              <w:top w:val="single" w:sz="2" w:space="0" w:color="auto"/>
            </w:tcBorders>
            <w:shd w:val="clear" w:color="auto" w:fill="E0EDF0"/>
          </w:tcPr>
          <w:p w:rsidR="00E87D57" w:rsidRDefault="00E87D57" w:rsidP="00E87D57">
            <w:pPr>
              <w:pStyle w:val="73R"/>
              <w:spacing w:before="240"/>
              <w:rPr>
                <w:rtl/>
              </w:rPr>
            </w:pPr>
          </w:p>
        </w:tc>
        <w:tc>
          <w:tcPr>
            <w:tcW w:w="733" w:type="dxa"/>
            <w:tcBorders>
              <w:top w:val="single" w:sz="2" w:space="0" w:color="auto"/>
            </w:tcBorders>
            <w:shd w:val="clear" w:color="auto" w:fill="E0EDF0"/>
          </w:tcPr>
          <w:p w:rsidR="00E87D57" w:rsidRDefault="00E87D57" w:rsidP="00E87D57">
            <w:pPr>
              <w:pStyle w:val="73R"/>
              <w:spacing w:before="240"/>
              <w:rPr>
                <w:rtl/>
              </w:rPr>
            </w:pPr>
          </w:p>
        </w:tc>
        <w:tc>
          <w:tcPr>
            <w:tcW w:w="685" w:type="dxa"/>
            <w:tcBorders>
              <w:top w:val="single" w:sz="2" w:space="0" w:color="auto"/>
            </w:tcBorders>
            <w:shd w:val="clear" w:color="auto" w:fill="E0EDF0"/>
          </w:tcPr>
          <w:p w:rsidR="00E87D57" w:rsidRDefault="00E87D57" w:rsidP="00E87D57">
            <w:pPr>
              <w:pStyle w:val="73R"/>
              <w:spacing w:before="240"/>
              <w:rPr>
                <w:rtl/>
              </w:rPr>
            </w:pPr>
          </w:p>
        </w:tc>
      </w:tr>
      <w:tr w:rsidR="00B46BA7" w:rsidTr="00773D70">
        <w:trPr>
          <w:trHeight w:val="1877"/>
        </w:trPr>
        <w:tc>
          <w:tcPr>
            <w:tcW w:w="1474" w:type="dxa"/>
            <w:tcBorders>
              <w:bottom w:val="single" w:sz="2" w:space="0" w:color="auto"/>
            </w:tcBorders>
            <w:shd w:val="clear" w:color="auto" w:fill="F1F9FA"/>
            <w:vAlign w:val="center"/>
          </w:tcPr>
          <w:p w:rsidR="00773D70" w:rsidRPr="001F15F3" w:rsidRDefault="00A8413A" w:rsidP="00773D70">
            <w:pPr>
              <w:pStyle w:val="73R"/>
              <w:rPr>
                <w:b/>
                <w:bCs/>
                <w:rtl/>
              </w:rPr>
            </w:pPr>
            <w:r w:rsidRPr="00413023">
              <w:rPr>
                <w:b/>
                <w:bCs/>
                <w:rtl/>
              </w:rPr>
              <w:t xml:space="preserve">מעורבות </w:t>
            </w:r>
            <w:proofErr w:type="spellStart"/>
            <w:r w:rsidRPr="00413023">
              <w:rPr>
                <w:b/>
                <w:bCs/>
                <w:rtl/>
              </w:rPr>
              <w:t>המל"ל</w:t>
            </w:r>
            <w:proofErr w:type="spellEnd"/>
            <w:r w:rsidRPr="00413023">
              <w:rPr>
                <w:b/>
                <w:bCs/>
                <w:rtl/>
              </w:rPr>
              <w:t xml:space="preserve"> בסוגיית המיגון של מתקנים חיוניים</w:t>
            </w:r>
            <w:r w:rsidRPr="00413023">
              <w:rPr>
                <w:b/>
                <w:bCs/>
              </w:rPr>
              <w:t xml:space="preserve"> </w:t>
            </w:r>
            <w:r w:rsidRPr="00413023">
              <w:rPr>
                <w:b/>
                <w:bCs/>
                <w:rtl/>
              </w:rPr>
              <w:t>בגופים מסוימים עד לפרוץ מלחמת חרבות ברזל</w:t>
            </w:r>
          </w:p>
        </w:tc>
        <w:tc>
          <w:tcPr>
            <w:tcW w:w="998" w:type="dxa"/>
            <w:vMerge w:val="restart"/>
            <w:shd w:val="clear" w:color="auto" w:fill="F1F9FA"/>
          </w:tcPr>
          <w:p w:rsidR="00773D70" w:rsidRPr="001F15F3" w:rsidRDefault="00A8413A" w:rsidP="00773D70">
            <w:pPr>
              <w:pStyle w:val="73R"/>
              <w:rPr>
                <w:rtl/>
              </w:rPr>
            </w:pPr>
            <w:proofErr w:type="spellStart"/>
            <w:r w:rsidRPr="007C1A27">
              <w:rPr>
                <w:rtl/>
              </w:rPr>
              <w:t>המל"ל</w:t>
            </w:r>
            <w:proofErr w:type="spellEnd"/>
          </w:p>
        </w:tc>
        <w:tc>
          <w:tcPr>
            <w:tcW w:w="1984" w:type="dxa"/>
            <w:vMerge w:val="restart"/>
            <w:shd w:val="clear" w:color="auto" w:fill="F1F9FA"/>
          </w:tcPr>
          <w:p w:rsidR="00773D70" w:rsidRDefault="00A8413A" w:rsidP="00773D70">
            <w:pPr>
              <w:pStyle w:val="73R"/>
              <w:rPr>
                <w:rtl/>
              </w:rPr>
            </w:pPr>
            <w:proofErr w:type="spellStart"/>
            <w:r w:rsidRPr="007C1A27">
              <w:rPr>
                <w:rtl/>
              </w:rPr>
              <w:t>המל"ל</w:t>
            </w:r>
            <w:proofErr w:type="spellEnd"/>
            <w:r w:rsidRPr="007C1A27">
              <w:rPr>
                <w:rtl/>
              </w:rPr>
              <w:t xml:space="preserve"> לא הציע לראש הממשלה </w:t>
            </w:r>
            <w:r w:rsidRPr="007C1A27">
              <w:rPr>
                <w:rtl/>
              </w:rPr>
              <w:t>נושאים לדיון בישיבות ועדת השרים להכנת העורף לשעת חירום בתקופת כהונתה או בישיבות הקבינט המדיני-ביטחוני בעניין קיומה וטיבה של פעילות הגורמים הנוגעים להגנה על מתקנים חיוניים בגופים מסוימים, לרבות מיגונ</w:t>
            </w:r>
            <w:r w:rsidR="00DF27E4">
              <w:rPr>
                <w:rFonts w:hint="cs"/>
                <w:rtl/>
              </w:rPr>
              <w:t>ם</w:t>
            </w:r>
            <w:r w:rsidRPr="007C1A27">
              <w:rPr>
                <w:rtl/>
              </w:rPr>
              <w:t xml:space="preserve"> הפיזי במידת הצורך, לוחות הזמנים והתקציב הנדרש לכך. זאת ע</w:t>
            </w:r>
            <w:r w:rsidRPr="007C1A27">
              <w:rPr>
                <w:rtl/>
              </w:rPr>
              <w:t xml:space="preserve">ל אף האמור בחוק </w:t>
            </w:r>
            <w:proofErr w:type="spellStart"/>
            <w:r w:rsidRPr="007C1A27">
              <w:rPr>
                <w:rtl/>
              </w:rPr>
              <w:t>המל"ל</w:t>
            </w:r>
            <w:proofErr w:type="spellEnd"/>
            <w:r w:rsidRPr="007C1A27">
              <w:rPr>
                <w:rtl/>
              </w:rPr>
              <w:t xml:space="preserve"> ולמרות חשיבות</w:t>
            </w:r>
            <w:r w:rsidR="00DF27E4">
              <w:rPr>
                <w:rFonts w:hint="cs"/>
                <w:rtl/>
              </w:rPr>
              <w:t>ם</w:t>
            </w:r>
            <w:r w:rsidRPr="007C1A27">
              <w:rPr>
                <w:rtl/>
              </w:rPr>
              <w:t xml:space="preserve"> הלאומית</w:t>
            </w:r>
          </w:p>
        </w:tc>
        <w:tc>
          <w:tcPr>
            <w:tcW w:w="584" w:type="dxa"/>
            <w:tcBorders>
              <w:bottom w:val="single" w:sz="2" w:space="0" w:color="auto"/>
            </w:tcBorders>
            <w:shd w:val="clear" w:color="auto" w:fill="F1F9FA"/>
          </w:tcPr>
          <w:p w:rsidR="00773D70" w:rsidRDefault="00A8413A" w:rsidP="00773D70">
            <w:pPr>
              <w:pStyle w:val="73R"/>
              <w:rPr>
                <w:rtl/>
              </w:rPr>
            </w:pPr>
            <w:r w:rsidRPr="00973C85">
              <w:rPr>
                <w:noProof/>
                <w:rtl/>
              </w:rPr>
              <mc:AlternateContent>
                <mc:Choice Requires="wps">
                  <w:drawing>
                    <wp:anchor distT="0" distB="0" distL="114300" distR="114300" simplePos="0" relativeHeight="251712512" behindDoc="0" locked="0" layoutInCell="1" allowOverlap="1">
                      <wp:simplePos x="0" y="0"/>
                      <wp:positionH relativeFrom="column">
                        <wp:posOffset>-61106</wp:posOffset>
                      </wp:positionH>
                      <wp:positionV relativeFrom="paragraph">
                        <wp:posOffset>486752</wp:posOffset>
                      </wp:positionV>
                      <wp:extent cx="357505" cy="223520"/>
                      <wp:effectExtent l="12700" t="12700" r="10795" b="17780"/>
                      <wp:wrapNone/>
                      <wp:docPr id="1872525799" name="חץ שמאלה 1872525799" descr="לא תוקן"/>
                      <wp:cNvGraphicFramePr/>
                      <a:graphic xmlns:a="http://schemas.openxmlformats.org/drawingml/2006/main">
                        <a:graphicData uri="http://schemas.microsoft.com/office/word/2010/wordprocessingShape">
                          <wps:wsp>
                            <wps:cNvSpPr/>
                            <wps:spPr>
                              <a:xfrm>
                                <a:off x="0" y="0"/>
                                <a:ext cx="357505" cy="223520"/>
                              </a:xfrm>
                              <a:prstGeom prst="leftArrow">
                                <a:avLst/>
                              </a:prstGeom>
                              <a:solidFill>
                                <a:srgbClr val="FF0100"/>
                              </a:solidFill>
                              <a:ln w="25400">
                                <a:solidFill>
                                  <a:srgbClr val="FF01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872525799" o:spid="_x0000_s1040" type="#_x0000_t66" alt="לא תוקן" style="width:28.15pt;height:17.6pt;margin-top:38.35pt;margin-left:-4.8pt;mso-height-percent:0;mso-height-relative:margin;mso-width-percent:0;mso-width-relative:margin;mso-wrap-distance-bottom:0;mso-wrap-distance-left:9pt;mso-wrap-distance-right:9pt;mso-wrap-distance-top:0;mso-wrap-style:square;position:absolute;visibility:visible;v-text-anchor:middle;z-index:251713536" adj="6752" fillcolor="#ff0100" strokecolor="#ff0100" strokeweight="2pt"/>
                  </w:pict>
                </mc:Fallback>
              </mc:AlternateContent>
            </w:r>
          </w:p>
        </w:tc>
        <w:tc>
          <w:tcPr>
            <w:tcW w:w="758" w:type="dxa"/>
            <w:tcBorders>
              <w:bottom w:val="single" w:sz="2" w:space="0" w:color="auto"/>
            </w:tcBorders>
            <w:shd w:val="clear" w:color="auto" w:fill="F1F9FA"/>
          </w:tcPr>
          <w:p w:rsidR="00773D70" w:rsidRDefault="00773D70" w:rsidP="00773D70">
            <w:pPr>
              <w:pStyle w:val="73R"/>
              <w:rPr>
                <w:rtl/>
              </w:rPr>
            </w:pPr>
          </w:p>
        </w:tc>
        <w:tc>
          <w:tcPr>
            <w:tcW w:w="733" w:type="dxa"/>
            <w:tcBorders>
              <w:bottom w:val="single" w:sz="2" w:space="0" w:color="auto"/>
            </w:tcBorders>
            <w:shd w:val="clear" w:color="auto" w:fill="F1F9FA"/>
          </w:tcPr>
          <w:p w:rsidR="00773D70" w:rsidRDefault="00773D70" w:rsidP="00773D70">
            <w:pPr>
              <w:pStyle w:val="73R"/>
              <w:rPr>
                <w:rtl/>
              </w:rPr>
            </w:pPr>
          </w:p>
        </w:tc>
        <w:tc>
          <w:tcPr>
            <w:tcW w:w="685" w:type="dxa"/>
            <w:tcBorders>
              <w:bottom w:val="single" w:sz="2" w:space="0" w:color="auto"/>
            </w:tcBorders>
            <w:shd w:val="clear" w:color="auto" w:fill="F1F9FA"/>
          </w:tcPr>
          <w:p w:rsidR="00773D70" w:rsidRDefault="00773D70" w:rsidP="00773D70">
            <w:pPr>
              <w:pStyle w:val="73R"/>
              <w:rPr>
                <w:rtl/>
              </w:rPr>
            </w:pPr>
          </w:p>
        </w:tc>
      </w:tr>
      <w:tr w:rsidR="00B46BA7" w:rsidTr="00773D70">
        <w:tc>
          <w:tcPr>
            <w:tcW w:w="1474" w:type="dxa"/>
            <w:tcBorders>
              <w:top w:val="single" w:sz="2" w:space="0" w:color="auto"/>
            </w:tcBorders>
            <w:shd w:val="clear" w:color="auto" w:fill="F1F9FA"/>
            <w:vAlign w:val="center"/>
          </w:tcPr>
          <w:p w:rsidR="00773D70" w:rsidRDefault="00A8413A" w:rsidP="00773D70">
            <w:pPr>
              <w:pStyle w:val="73R"/>
              <w:rPr>
                <w:rtl/>
              </w:rPr>
            </w:pPr>
            <w:r w:rsidRPr="00413023">
              <w:rPr>
                <w:b/>
                <w:bCs/>
                <w:rtl/>
              </w:rPr>
              <w:t xml:space="preserve">מעורבות </w:t>
            </w:r>
            <w:proofErr w:type="spellStart"/>
            <w:r w:rsidRPr="00413023">
              <w:rPr>
                <w:b/>
                <w:bCs/>
                <w:rtl/>
              </w:rPr>
              <w:t>המל"ל</w:t>
            </w:r>
            <w:proofErr w:type="spellEnd"/>
            <w:r w:rsidRPr="00413023">
              <w:rPr>
                <w:b/>
                <w:bCs/>
                <w:rtl/>
              </w:rPr>
              <w:t xml:space="preserve"> בסוגיית המיגון של מתקנים חיוניים</w:t>
            </w:r>
            <w:r w:rsidRPr="00413023">
              <w:rPr>
                <w:b/>
                <w:bCs/>
              </w:rPr>
              <w:t xml:space="preserve"> </w:t>
            </w:r>
            <w:r w:rsidRPr="00413023">
              <w:rPr>
                <w:b/>
                <w:bCs/>
                <w:rtl/>
              </w:rPr>
              <w:t>בגופים מסוימים מפרוץ מלחמת חרבות ברזל</w:t>
            </w:r>
          </w:p>
        </w:tc>
        <w:tc>
          <w:tcPr>
            <w:tcW w:w="998" w:type="dxa"/>
            <w:vMerge/>
            <w:shd w:val="clear" w:color="auto" w:fill="F0F8F9"/>
          </w:tcPr>
          <w:p w:rsidR="00773D70" w:rsidRDefault="00773D70" w:rsidP="00773D70">
            <w:pPr>
              <w:pStyle w:val="73R"/>
              <w:rPr>
                <w:rtl/>
              </w:rPr>
            </w:pPr>
          </w:p>
        </w:tc>
        <w:tc>
          <w:tcPr>
            <w:tcW w:w="1984" w:type="dxa"/>
            <w:vMerge/>
            <w:shd w:val="clear" w:color="auto" w:fill="F0F8F9"/>
          </w:tcPr>
          <w:p w:rsidR="00773D70" w:rsidRDefault="00773D70" w:rsidP="00773D70">
            <w:pPr>
              <w:pStyle w:val="73R"/>
              <w:rPr>
                <w:rtl/>
              </w:rPr>
            </w:pPr>
          </w:p>
        </w:tc>
        <w:tc>
          <w:tcPr>
            <w:tcW w:w="584" w:type="dxa"/>
            <w:tcBorders>
              <w:top w:val="single" w:sz="2" w:space="0" w:color="auto"/>
            </w:tcBorders>
            <w:shd w:val="clear" w:color="auto" w:fill="F0F8F9"/>
          </w:tcPr>
          <w:p w:rsidR="00773D70" w:rsidRDefault="00773D70" w:rsidP="00773D70">
            <w:pPr>
              <w:pStyle w:val="73R"/>
              <w:rPr>
                <w:rtl/>
              </w:rPr>
            </w:pPr>
          </w:p>
        </w:tc>
        <w:tc>
          <w:tcPr>
            <w:tcW w:w="758" w:type="dxa"/>
            <w:tcBorders>
              <w:top w:val="single" w:sz="2" w:space="0" w:color="auto"/>
            </w:tcBorders>
            <w:shd w:val="clear" w:color="auto" w:fill="F0F8F9"/>
          </w:tcPr>
          <w:p w:rsidR="00773D70" w:rsidRDefault="00A8413A" w:rsidP="00773D70">
            <w:pPr>
              <w:pStyle w:val="73R"/>
              <w:rPr>
                <w:rtl/>
              </w:rPr>
            </w:pPr>
            <w:r w:rsidRPr="00973C85">
              <w:rPr>
                <w:noProof/>
                <w:rtl/>
              </w:rPr>
              <mc:AlternateContent>
                <mc:Choice Requires="wps">
                  <w:drawing>
                    <wp:anchor distT="0" distB="0" distL="114300" distR="114300" simplePos="0" relativeHeight="251714560" behindDoc="0" locked="0" layoutInCell="1" allowOverlap="1">
                      <wp:simplePos x="0" y="0"/>
                      <wp:positionH relativeFrom="column">
                        <wp:posOffset>-59429</wp:posOffset>
                      </wp:positionH>
                      <wp:positionV relativeFrom="paragraph">
                        <wp:posOffset>287020</wp:posOffset>
                      </wp:positionV>
                      <wp:extent cx="831850" cy="223520"/>
                      <wp:effectExtent l="12700" t="12700" r="19050" b="17780"/>
                      <wp:wrapNone/>
                      <wp:docPr id="349573551" name="חץ שמאלה 349573551" descr="תוקן במידה מועטה"/>
                      <wp:cNvGraphicFramePr/>
                      <a:graphic xmlns:a="http://schemas.openxmlformats.org/drawingml/2006/main">
                        <a:graphicData uri="http://schemas.microsoft.com/office/word/2010/wordprocessingShape">
                          <wps:wsp>
                            <wps:cNvSpPr/>
                            <wps:spPr>
                              <a:xfrm>
                                <a:off x="0" y="0"/>
                                <a:ext cx="831850" cy="223520"/>
                              </a:xfrm>
                              <a:prstGeom prst="leftArrow">
                                <a:avLst/>
                              </a:prstGeom>
                              <a:solidFill>
                                <a:srgbClr val="FFC002"/>
                              </a:solidFill>
                              <a:ln w="25400">
                                <a:solidFill>
                                  <a:srgbClr val="FFC002"/>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349573551" o:spid="_x0000_s1041" type="#_x0000_t66" alt="תוקן במידה מועטה" style="width:65.5pt;height:17.6pt;margin-top:22.6pt;margin-left:-4.7pt;mso-height-percent:0;mso-height-relative:margin;mso-width-percent:0;mso-width-relative:margin;mso-wrap-distance-bottom:0;mso-wrap-distance-left:9pt;mso-wrap-distance-right:9pt;mso-wrap-distance-top:0;mso-wrap-style:square;position:absolute;visibility:visible;v-text-anchor:middle;z-index:251715584" adj="2902" fillcolor="#ffc002" strokecolor="#ffc002" strokeweight="2pt"/>
                  </w:pict>
                </mc:Fallback>
              </mc:AlternateContent>
            </w:r>
          </w:p>
        </w:tc>
        <w:tc>
          <w:tcPr>
            <w:tcW w:w="733" w:type="dxa"/>
            <w:tcBorders>
              <w:top w:val="single" w:sz="2" w:space="0" w:color="auto"/>
            </w:tcBorders>
            <w:shd w:val="clear" w:color="auto" w:fill="F0F8F9"/>
          </w:tcPr>
          <w:p w:rsidR="00773D70" w:rsidRDefault="00773D70" w:rsidP="00773D70">
            <w:pPr>
              <w:pStyle w:val="73R"/>
              <w:rPr>
                <w:rtl/>
              </w:rPr>
            </w:pPr>
          </w:p>
        </w:tc>
        <w:tc>
          <w:tcPr>
            <w:tcW w:w="685" w:type="dxa"/>
            <w:tcBorders>
              <w:top w:val="single" w:sz="2" w:space="0" w:color="auto"/>
            </w:tcBorders>
            <w:shd w:val="clear" w:color="auto" w:fill="F0F8F9"/>
          </w:tcPr>
          <w:p w:rsidR="00773D70" w:rsidRDefault="00773D70" w:rsidP="00773D70">
            <w:pPr>
              <w:pStyle w:val="73R"/>
              <w:rPr>
                <w:rtl/>
              </w:rPr>
            </w:pPr>
          </w:p>
        </w:tc>
      </w:tr>
      <w:tr w:rsidR="00B46BA7" w:rsidTr="003E5AE8">
        <w:tc>
          <w:tcPr>
            <w:tcW w:w="1474" w:type="dxa"/>
            <w:shd w:val="clear" w:color="auto" w:fill="DFECEF"/>
          </w:tcPr>
          <w:p w:rsidR="00773D70" w:rsidRPr="005F36DE" w:rsidRDefault="00A8413A" w:rsidP="00773D70">
            <w:pPr>
              <w:pStyle w:val="73R"/>
              <w:rPr>
                <w:b/>
                <w:bCs/>
                <w:rtl/>
              </w:rPr>
            </w:pPr>
            <w:r w:rsidRPr="005F36DE">
              <w:rPr>
                <w:b/>
                <w:bCs/>
                <w:rtl/>
              </w:rPr>
              <w:t xml:space="preserve">מקורות המימון למימוש </w:t>
            </w:r>
            <w:proofErr w:type="spellStart"/>
            <w:r w:rsidRPr="005F36DE">
              <w:rPr>
                <w:b/>
                <w:bCs/>
                <w:rtl/>
              </w:rPr>
              <w:t>תוכנית</w:t>
            </w:r>
            <w:proofErr w:type="spellEnd"/>
            <w:r w:rsidRPr="005F36DE">
              <w:rPr>
                <w:b/>
                <w:bCs/>
                <w:rtl/>
              </w:rPr>
              <w:t xml:space="preserve"> מיגון של מתקנים חיוניים בגופים מסוימים</w:t>
            </w:r>
          </w:p>
        </w:tc>
        <w:tc>
          <w:tcPr>
            <w:tcW w:w="998" w:type="dxa"/>
            <w:shd w:val="clear" w:color="auto" w:fill="DFECEF"/>
          </w:tcPr>
          <w:p w:rsidR="00773D70" w:rsidRDefault="00A8413A" w:rsidP="00773D70">
            <w:pPr>
              <w:pStyle w:val="73R"/>
              <w:rPr>
                <w:rtl/>
              </w:rPr>
            </w:pPr>
            <w:proofErr w:type="spellStart"/>
            <w:r w:rsidRPr="007C1A27">
              <w:rPr>
                <w:rtl/>
              </w:rPr>
              <w:t>משהב"ט</w:t>
            </w:r>
            <w:proofErr w:type="spellEnd"/>
          </w:p>
        </w:tc>
        <w:tc>
          <w:tcPr>
            <w:tcW w:w="1984" w:type="dxa"/>
            <w:shd w:val="clear" w:color="auto" w:fill="DFECEF"/>
          </w:tcPr>
          <w:p w:rsidR="00773D70" w:rsidRDefault="00A8413A" w:rsidP="00773D70">
            <w:pPr>
              <w:pStyle w:val="73R"/>
              <w:rPr>
                <w:rtl/>
              </w:rPr>
            </w:pPr>
            <w:r w:rsidRPr="007C1A27">
              <w:rPr>
                <w:rtl/>
              </w:rPr>
              <w:t xml:space="preserve">אין בידי </w:t>
            </w:r>
            <w:proofErr w:type="spellStart"/>
            <w:r w:rsidRPr="007C1A27">
              <w:rPr>
                <w:rtl/>
              </w:rPr>
              <w:t>משהב"ט</w:t>
            </w:r>
            <w:proofErr w:type="spellEnd"/>
            <w:r w:rsidRPr="007C1A27">
              <w:rPr>
                <w:rtl/>
              </w:rPr>
              <w:t xml:space="preserve"> </w:t>
            </w:r>
            <w:proofErr w:type="spellStart"/>
            <w:r w:rsidRPr="007C1A27">
              <w:rPr>
                <w:rtl/>
              </w:rPr>
              <w:t>תוכנית</w:t>
            </w:r>
            <w:proofErr w:type="spellEnd"/>
            <w:r w:rsidRPr="007C1A27">
              <w:rPr>
                <w:rtl/>
              </w:rPr>
              <w:t xml:space="preserve"> עבודה למיגון </w:t>
            </w:r>
            <w:r w:rsidRPr="007C1A27">
              <w:rPr>
                <w:rtl/>
              </w:rPr>
              <w:t>המתקנים החיוניים בגופים מסוימים, לרבות תקצובה</w:t>
            </w:r>
          </w:p>
        </w:tc>
        <w:tc>
          <w:tcPr>
            <w:tcW w:w="584" w:type="dxa"/>
            <w:shd w:val="clear" w:color="auto" w:fill="DFECEF"/>
          </w:tcPr>
          <w:p w:rsidR="00773D70" w:rsidRDefault="00A8413A" w:rsidP="00773D70">
            <w:pPr>
              <w:pStyle w:val="73R"/>
              <w:rPr>
                <w:rtl/>
              </w:rPr>
            </w:pPr>
            <w:r w:rsidRPr="00973C85">
              <w:rPr>
                <w:noProof/>
                <w:rtl/>
              </w:rPr>
              <mc:AlternateContent>
                <mc:Choice Requires="wps">
                  <w:drawing>
                    <wp:anchor distT="0" distB="0" distL="114300" distR="114300" simplePos="0" relativeHeight="251706368" behindDoc="0" locked="0" layoutInCell="1" allowOverlap="1">
                      <wp:simplePos x="0" y="0"/>
                      <wp:positionH relativeFrom="column">
                        <wp:posOffset>-61986</wp:posOffset>
                      </wp:positionH>
                      <wp:positionV relativeFrom="paragraph">
                        <wp:posOffset>260106</wp:posOffset>
                      </wp:positionV>
                      <wp:extent cx="357505" cy="223520"/>
                      <wp:effectExtent l="12700" t="12700" r="10795" b="17780"/>
                      <wp:wrapNone/>
                      <wp:docPr id="1962280735" name="חץ שמאלה 1962280735" descr="לא תוקן"/>
                      <wp:cNvGraphicFramePr/>
                      <a:graphic xmlns:a="http://schemas.openxmlformats.org/drawingml/2006/main">
                        <a:graphicData uri="http://schemas.microsoft.com/office/word/2010/wordprocessingShape">
                          <wps:wsp>
                            <wps:cNvSpPr/>
                            <wps:spPr>
                              <a:xfrm>
                                <a:off x="0" y="0"/>
                                <a:ext cx="357505" cy="223520"/>
                              </a:xfrm>
                              <a:prstGeom prst="leftArrow">
                                <a:avLst/>
                              </a:prstGeom>
                              <a:solidFill>
                                <a:srgbClr val="FF0100"/>
                              </a:solidFill>
                              <a:ln w="25400">
                                <a:solidFill>
                                  <a:srgbClr val="FF01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962280735" o:spid="_x0000_s1042" type="#_x0000_t66" alt="לא תוקן" style="width:28.15pt;height:17.6pt;margin-top:20.5pt;margin-left:-4.9pt;mso-height-percent:0;mso-height-relative:margin;mso-width-percent:0;mso-width-relative:margin;mso-wrap-distance-bottom:0;mso-wrap-distance-left:9pt;mso-wrap-distance-right:9pt;mso-wrap-distance-top:0;mso-wrap-style:square;position:absolute;visibility:visible;v-text-anchor:middle;z-index:251707392" adj="6752" fillcolor="#ff0100" strokecolor="#ff0100" strokeweight="2pt"/>
                  </w:pict>
                </mc:Fallback>
              </mc:AlternateContent>
            </w:r>
          </w:p>
        </w:tc>
        <w:tc>
          <w:tcPr>
            <w:tcW w:w="758" w:type="dxa"/>
            <w:shd w:val="clear" w:color="auto" w:fill="DFECEF"/>
          </w:tcPr>
          <w:p w:rsidR="00773D70" w:rsidRDefault="00773D70" w:rsidP="00773D70">
            <w:pPr>
              <w:pStyle w:val="73R"/>
              <w:rPr>
                <w:rtl/>
              </w:rPr>
            </w:pPr>
          </w:p>
        </w:tc>
        <w:tc>
          <w:tcPr>
            <w:tcW w:w="733" w:type="dxa"/>
            <w:shd w:val="clear" w:color="auto" w:fill="DFECEF"/>
          </w:tcPr>
          <w:p w:rsidR="00773D70" w:rsidRDefault="00773D70" w:rsidP="00773D70">
            <w:pPr>
              <w:pStyle w:val="73R"/>
              <w:rPr>
                <w:rtl/>
              </w:rPr>
            </w:pPr>
          </w:p>
        </w:tc>
        <w:tc>
          <w:tcPr>
            <w:tcW w:w="685" w:type="dxa"/>
            <w:shd w:val="clear" w:color="auto" w:fill="DFECEF"/>
          </w:tcPr>
          <w:p w:rsidR="00773D70" w:rsidRDefault="00773D70" w:rsidP="00773D70">
            <w:pPr>
              <w:pStyle w:val="73R"/>
              <w:rPr>
                <w:rtl/>
              </w:rPr>
            </w:pPr>
          </w:p>
        </w:tc>
      </w:tr>
      <w:tr w:rsidR="00B46BA7" w:rsidTr="003E5AE8">
        <w:tc>
          <w:tcPr>
            <w:tcW w:w="1474" w:type="dxa"/>
            <w:shd w:val="clear" w:color="auto" w:fill="F0F8F9"/>
          </w:tcPr>
          <w:p w:rsidR="00773D70" w:rsidRPr="005F36DE" w:rsidRDefault="00A8413A" w:rsidP="00773D70">
            <w:pPr>
              <w:pStyle w:val="73R"/>
              <w:rPr>
                <w:b/>
                <w:bCs/>
                <w:rtl/>
              </w:rPr>
            </w:pPr>
            <w:r w:rsidRPr="005F36DE">
              <w:rPr>
                <w:b/>
                <w:bCs/>
                <w:rtl/>
              </w:rPr>
              <w:lastRenderedPageBreak/>
              <w:t>הסדרה נורמטיבית באמצעות "חוק העורף"</w:t>
            </w:r>
          </w:p>
        </w:tc>
        <w:tc>
          <w:tcPr>
            <w:tcW w:w="998" w:type="dxa"/>
            <w:shd w:val="clear" w:color="auto" w:fill="F0F8F9"/>
          </w:tcPr>
          <w:p w:rsidR="00773D70" w:rsidRDefault="00A8413A" w:rsidP="00773D70">
            <w:pPr>
              <w:pStyle w:val="73R"/>
              <w:spacing w:after="240"/>
              <w:rPr>
                <w:rtl/>
              </w:rPr>
            </w:pPr>
            <w:proofErr w:type="spellStart"/>
            <w:r w:rsidRPr="007C1A27">
              <w:rPr>
                <w:rtl/>
              </w:rPr>
              <w:t>משהב"ט</w:t>
            </w:r>
            <w:proofErr w:type="spellEnd"/>
          </w:p>
        </w:tc>
        <w:tc>
          <w:tcPr>
            <w:tcW w:w="1984" w:type="dxa"/>
            <w:shd w:val="clear" w:color="auto" w:fill="F0F8F9"/>
          </w:tcPr>
          <w:p w:rsidR="00773D70" w:rsidRDefault="00A8413A" w:rsidP="00773D70">
            <w:pPr>
              <w:pStyle w:val="73R"/>
              <w:spacing w:after="240"/>
              <w:rPr>
                <w:rtl/>
              </w:rPr>
            </w:pPr>
            <w:r w:rsidRPr="007C1A27">
              <w:rPr>
                <w:rtl/>
              </w:rPr>
              <w:t xml:space="preserve">כבר בפברואר 2011 הפיץ </w:t>
            </w:r>
            <w:proofErr w:type="spellStart"/>
            <w:r w:rsidRPr="007C1A27">
              <w:rPr>
                <w:rtl/>
              </w:rPr>
              <w:t>משהב"ט</w:t>
            </w:r>
            <w:proofErr w:type="spellEnd"/>
            <w:r w:rsidRPr="007C1A27">
              <w:rPr>
                <w:rtl/>
              </w:rPr>
              <w:t xml:space="preserve"> הצעת חוק היערכות העורף לשעת חירום, אך במועד סיום הביקורת הקודמת (אפריל 2019) טרם דנה הממשלה בהצעה וטרם אישרה אותה</w:t>
            </w:r>
          </w:p>
        </w:tc>
        <w:tc>
          <w:tcPr>
            <w:tcW w:w="584" w:type="dxa"/>
            <w:shd w:val="clear" w:color="auto" w:fill="F0F8F9"/>
          </w:tcPr>
          <w:p w:rsidR="00773D70" w:rsidRDefault="00A8413A" w:rsidP="00773D70">
            <w:pPr>
              <w:pStyle w:val="73R"/>
              <w:rPr>
                <w:rtl/>
              </w:rPr>
            </w:pPr>
            <w:r w:rsidRPr="00973C85">
              <w:rPr>
                <w:noProof/>
                <w:rtl/>
              </w:rPr>
              <mc:AlternateContent>
                <mc:Choice Requires="wps">
                  <w:drawing>
                    <wp:anchor distT="0" distB="0" distL="114300" distR="114300" simplePos="0" relativeHeight="251708416" behindDoc="0" locked="0" layoutInCell="1" allowOverlap="1">
                      <wp:simplePos x="0" y="0"/>
                      <wp:positionH relativeFrom="column">
                        <wp:posOffset>-61595</wp:posOffset>
                      </wp:positionH>
                      <wp:positionV relativeFrom="paragraph">
                        <wp:posOffset>388327</wp:posOffset>
                      </wp:positionV>
                      <wp:extent cx="357505" cy="223520"/>
                      <wp:effectExtent l="12700" t="12700" r="10795" b="17780"/>
                      <wp:wrapNone/>
                      <wp:docPr id="719892855" name="חץ שמאלה 719892855" descr="לא תוקן"/>
                      <wp:cNvGraphicFramePr/>
                      <a:graphic xmlns:a="http://schemas.openxmlformats.org/drawingml/2006/main">
                        <a:graphicData uri="http://schemas.microsoft.com/office/word/2010/wordprocessingShape">
                          <wps:wsp>
                            <wps:cNvSpPr/>
                            <wps:spPr>
                              <a:xfrm>
                                <a:off x="0" y="0"/>
                                <a:ext cx="357505" cy="223520"/>
                              </a:xfrm>
                              <a:prstGeom prst="leftArrow">
                                <a:avLst/>
                              </a:prstGeom>
                              <a:solidFill>
                                <a:srgbClr val="FF0100"/>
                              </a:solidFill>
                              <a:ln w="25400">
                                <a:solidFill>
                                  <a:srgbClr val="FF01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719892855" o:spid="_x0000_s1043" type="#_x0000_t66" alt="לא תוקן" style="width:28.15pt;height:17.6pt;margin-top:30.6pt;margin-left:-4.85pt;mso-height-percent:0;mso-height-relative:margin;mso-width-percent:0;mso-width-relative:margin;mso-wrap-distance-bottom:0;mso-wrap-distance-left:9pt;mso-wrap-distance-right:9pt;mso-wrap-distance-top:0;mso-wrap-style:square;position:absolute;visibility:visible;v-text-anchor:middle;z-index:251709440" adj="6752" fillcolor="#ff0100" strokecolor="#ff0100" strokeweight="2pt"/>
                  </w:pict>
                </mc:Fallback>
              </mc:AlternateContent>
            </w:r>
          </w:p>
        </w:tc>
        <w:tc>
          <w:tcPr>
            <w:tcW w:w="758" w:type="dxa"/>
            <w:shd w:val="clear" w:color="auto" w:fill="F0F8F9"/>
          </w:tcPr>
          <w:p w:rsidR="00773D70" w:rsidRDefault="00773D70" w:rsidP="00773D70">
            <w:pPr>
              <w:pStyle w:val="73R"/>
              <w:rPr>
                <w:rtl/>
              </w:rPr>
            </w:pPr>
          </w:p>
        </w:tc>
        <w:tc>
          <w:tcPr>
            <w:tcW w:w="733" w:type="dxa"/>
            <w:shd w:val="clear" w:color="auto" w:fill="F0F8F9"/>
          </w:tcPr>
          <w:p w:rsidR="00773D70" w:rsidRDefault="00773D70" w:rsidP="00773D70">
            <w:pPr>
              <w:pStyle w:val="73R"/>
              <w:rPr>
                <w:rtl/>
              </w:rPr>
            </w:pPr>
          </w:p>
        </w:tc>
        <w:tc>
          <w:tcPr>
            <w:tcW w:w="685" w:type="dxa"/>
            <w:shd w:val="clear" w:color="auto" w:fill="F0F8F9"/>
          </w:tcPr>
          <w:p w:rsidR="00773D70" w:rsidRDefault="00773D70" w:rsidP="00773D70">
            <w:pPr>
              <w:pStyle w:val="73R"/>
              <w:rPr>
                <w:rtl/>
              </w:rPr>
            </w:pPr>
          </w:p>
        </w:tc>
      </w:tr>
      <w:tr w:rsidR="00B46BA7" w:rsidTr="003E5AE8">
        <w:tc>
          <w:tcPr>
            <w:tcW w:w="1474" w:type="dxa"/>
            <w:shd w:val="clear" w:color="auto" w:fill="DFECEF"/>
          </w:tcPr>
          <w:p w:rsidR="00773D70" w:rsidRPr="005F36DE" w:rsidRDefault="00A8413A" w:rsidP="00773D70">
            <w:pPr>
              <w:pStyle w:val="73R"/>
              <w:rPr>
                <w:b/>
                <w:bCs/>
                <w:rtl/>
              </w:rPr>
            </w:pPr>
            <w:r w:rsidRPr="005F36DE">
              <w:rPr>
                <w:b/>
                <w:bCs/>
                <w:rtl/>
              </w:rPr>
              <w:t xml:space="preserve">הסדרה </w:t>
            </w:r>
            <w:r w:rsidRPr="005F36DE">
              <w:rPr>
                <w:b/>
                <w:bCs/>
                <w:rtl/>
              </w:rPr>
              <w:t>נורמטיבית באמצעות החלטת ממשלה</w:t>
            </w:r>
          </w:p>
        </w:tc>
        <w:tc>
          <w:tcPr>
            <w:tcW w:w="998" w:type="dxa"/>
            <w:shd w:val="clear" w:color="auto" w:fill="DFECEF"/>
          </w:tcPr>
          <w:p w:rsidR="00773D70" w:rsidRDefault="00A8413A" w:rsidP="00773D70">
            <w:pPr>
              <w:pStyle w:val="73R"/>
              <w:spacing w:after="240"/>
              <w:rPr>
                <w:rtl/>
              </w:rPr>
            </w:pPr>
            <w:proofErr w:type="spellStart"/>
            <w:r w:rsidRPr="007C1A27">
              <w:rPr>
                <w:rtl/>
              </w:rPr>
              <w:t>משהב"ט</w:t>
            </w:r>
            <w:proofErr w:type="spellEnd"/>
          </w:p>
        </w:tc>
        <w:tc>
          <w:tcPr>
            <w:tcW w:w="1984" w:type="dxa"/>
            <w:shd w:val="clear" w:color="auto" w:fill="DFECEF"/>
          </w:tcPr>
          <w:p w:rsidR="00773D70" w:rsidRDefault="00A8413A" w:rsidP="00773D70">
            <w:pPr>
              <w:pStyle w:val="73R"/>
              <w:spacing w:after="240"/>
              <w:rPr>
                <w:rtl/>
              </w:rPr>
            </w:pPr>
            <w:proofErr w:type="spellStart"/>
            <w:r w:rsidRPr="007C1A27">
              <w:rPr>
                <w:rtl/>
              </w:rPr>
              <w:t>רח"ל</w:t>
            </w:r>
            <w:proofErr w:type="spellEnd"/>
            <w:r w:rsidRPr="007C1A27">
              <w:rPr>
                <w:rtl/>
              </w:rPr>
              <w:t xml:space="preserve"> טרם הגישה לוועדה ולקבינט המדיני-ביטחוני הצעת החלטה הקובעת בין היתר מנגנון להחרגת מתקנים חיוניים מסוימים מהרשימה</w:t>
            </w:r>
            <w:r>
              <w:rPr>
                <w:vertAlign w:val="superscript"/>
                <w:rtl/>
              </w:rPr>
              <w:footnoteReference w:id="7"/>
            </w:r>
            <w:r w:rsidRPr="007C1A27">
              <w:rPr>
                <w:rtl/>
              </w:rPr>
              <w:t xml:space="preserve">; הוועדה הבין-משרדית או </w:t>
            </w:r>
            <w:proofErr w:type="spellStart"/>
            <w:r w:rsidRPr="007C1A27">
              <w:rPr>
                <w:rtl/>
              </w:rPr>
              <w:t>רח"ל</w:t>
            </w:r>
            <w:proofErr w:type="spellEnd"/>
            <w:r w:rsidRPr="007C1A27">
              <w:rPr>
                <w:rtl/>
              </w:rPr>
              <w:t xml:space="preserve"> לא הגישו את הרשימה האחודה לוועדת השרים להכנת העורף לשעת חירום בתקופת </w:t>
            </w:r>
            <w:r w:rsidRPr="007C1A27">
              <w:rPr>
                <w:rtl/>
              </w:rPr>
              <w:t>כהונתה או לקבינט המדיני-ביטחוני ולממשלה לקבלת אישורם</w:t>
            </w:r>
          </w:p>
        </w:tc>
        <w:tc>
          <w:tcPr>
            <w:tcW w:w="584" w:type="dxa"/>
            <w:shd w:val="clear" w:color="auto" w:fill="DFECEF"/>
          </w:tcPr>
          <w:p w:rsidR="00773D70" w:rsidRDefault="00A8413A" w:rsidP="00773D70">
            <w:pPr>
              <w:pStyle w:val="73R"/>
              <w:rPr>
                <w:rtl/>
              </w:rPr>
            </w:pPr>
            <w:r w:rsidRPr="00973C85">
              <w:rPr>
                <w:noProof/>
                <w:rtl/>
              </w:rPr>
              <mc:AlternateContent>
                <mc:Choice Requires="wps">
                  <w:drawing>
                    <wp:anchor distT="0" distB="0" distL="114300" distR="114300" simplePos="0" relativeHeight="251710464" behindDoc="0" locked="0" layoutInCell="1" allowOverlap="1">
                      <wp:simplePos x="0" y="0"/>
                      <wp:positionH relativeFrom="column">
                        <wp:posOffset>-61595</wp:posOffset>
                      </wp:positionH>
                      <wp:positionV relativeFrom="paragraph">
                        <wp:posOffset>795802</wp:posOffset>
                      </wp:positionV>
                      <wp:extent cx="357505" cy="223520"/>
                      <wp:effectExtent l="12700" t="12700" r="10795" b="17780"/>
                      <wp:wrapNone/>
                      <wp:docPr id="703566416" name="חץ שמאלה 703566416" descr="לא תוקן"/>
                      <wp:cNvGraphicFramePr/>
                      <a:graphic xmlns:a="http://schemas.openxmlformats.org/drawingml/2006/main">
                        <a:graphicData uri="http://schemas.microsoft.com/office/word/2010/wordprocessingShape">
                          <wps:wsp>
                            <wps:cNvSpPr/>
                            <wps:spPr>
                              <a:xfrm>
                                <a:off x="0" y="0"/>
                                <a:ext cx="357505" cy="223520"/>
                              </a:xfrm>
                              <a:prstGeom prst="leftArrow">
                                <a:avLst/>
                              </a:prstGeom>
                              <a:solidFill>
                                <a:srgbClr val="FF0100"/>
                              </a:solidFill>
                              <a:ln w="25400">
                                <a:solidFill>
                                  <a:srgbClr val="FF01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703566416" o:spid="_x0000_s1044" type="#_x0000_t66" alt="לא תוקן" style="width:28.15pt;height:17.6pt;margin-top:62.65pt;margin-left:-4.85pt;mso-height-percent:0;mso-height-relative:margin;mso-width-percent:0;mso-width-relative:margin;mso-wrap-distance-bottom:0;mso-wrap-distance-left:9pt;mso-wrap-distance-right:9pt;mso-wrap-distance-top:0;mso-wrap-style:square;position:absolute;visibility:visible;v-text-anchor:middle;z-index:251711488" adj="6752" fillcolor="#ff0100" strokecolor="#ff0100" strokeweight="2pt"/>
                  </w:pict>
                </mc:Fallback>
              </mc:AlternateContent>
            </w:r>
          </w:p>
        </w:tc>
        <w:tc>
          <w:tcPr>
            <w:tcW w:w="758" w:type="dxa"/>
            <w:shd w:val="clear" w:color="auto" w:fill="DFECEF"/>
          </w:tcPr>
          <w:p w:rsidR="00773D70" w:rsidRDefault="00773D70" w:rsidP="00773D70">
            <w:pPr>
              <w:pStyle w:val="73R"/>
              <w:rPr>
                <w:rtl/>
              </w:rPr>
            </w:pPr>
          </w:p>
        </w:tc>
        <w:tc>
          <w:tcPr>
            <w:tcW w:w="733" w:type="dxa"/>
            <w:shd w:val="clear" w:color="auto" w:fill="DFECEF"/>
          </w:tcPr>
          <w:p w:rsidR="00773D70" w:rsidRDefault="00773D70" w:rsidP="00773D70">
            <w:pPr>
              <w:pStyle w:val="73R"/>
              <w:rPr>
                <w:rtl/>
              </w:rPr>
            </w:pPr>
          </w:p>
        </w:tc>
        <w:tc>
          <w:tcPr>
            <w:tcW w:w="685" w:type="dxa"/>
            <w:shd w:val="clear" w:color="auto" w:fill="DFECEF"/>
          </w:tcPr>
          <w:p w:rsidR="00773D70" w:rsidRDefault="00773D70" w:rsidP="00773D70">
            <w:pPr>
              <w:pStyle w:val="73R"/>
              <w:rPr>
                <w:rtl/>
              </w:rPr>
            </w:pPr>
          </w:p>
        </w:tc>
      </w:tr>
    </w:tbl>
    <w:p w:rsidR="00D57BE9" w:rsidRDefault="00A8413A" w:rsidP="004A6E79">
      <w:pPr>
        <w:pStyle w:val="7392"/>
        <w:rPr>
          <w:rtl/>
        </w:rPr>
      </w:pPr>
      <w:r>
        <w:rPr>
          <w:noProof/>
          <w:rtl/>
          <w:lang w:val="he-IL"/>
        </w:rPr>
        <mc:AlternateContent>
          <mc:Choice Requires="wps">
            <w:drawing>
              <wp:anchor distT="0" distB="0" distL="114300" distR="114300" simplePos="0" relativeHeight="251700224" behindDoc="0" locked="0" layoutInCell="1" allowOverlap="1">
                <wp:simplePos x="0" y="0"/>
                <wp:positionH relativeFrom="column">
                  <wp:posOffset>3940712</wp:posOffset>
                </wp:positionH>
                <wp:positionV relativeFrom="paragraph">
                  <wp:posOffset>6777062</wp:posOffset>
                </wp:positionV>
                <wp:extent cx="1301262" cy="1069145"/>
                <wp:effectExtent l="0" t="0" r="6985" b="10795"/>
                <wp:wrapNone/>
                <wp:docPr id="1034994871" name="מלבן 40"/>
                <wp:cNvGraphicFramePr/>
                <a:graphic xmlns:a="http://schemas.openxmlformats.org/drawingml/2006/main">
                  <a:graphicData uri="http://schemas.microsoft.com/office/word/2010/wordprocessingShape">
                    <wps:wsp>
                      <wps:cNvSpPr/>
                      <wps:spPr>
                        <a:xfrm>
                          <a:off x="0" y="0"/>
                          <a:ext cx="1301262" cy="1069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40" o:spid="_x0000_s1045" style="width:102.45pt;height:84.2pt;margin-top:533.65pt;margin-left:310.3pt;mso-width-percent:0;mso-width-relative:margin;mso-wrap-distance-bottom:0;mso-wrap-distance-left:9pt;mso-wrap-distance-right:9pt;mso-wrap-distance-top:0;mso-wrap-style:square;position:absolute;visibility:visible;v-text-anchor:middle;z-index:251701248" fillcolor="white" strokecolor="white" strokeweight="1.25pt"/>
            </w:pict>
          </mc:Fallback>
        </mc:AlternateContent>
      </w:r>
    </w:p>
    <w:sectPr w:rsidR="00D57BE9" w:rsidSect="001B01E1">
      <w:headerReference w:type="even" r:id="rId31"/>
      <w:headerReference w:type="default" r:id="rId32"/>
      <w:type w:val="continuous"/>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372" w:rsidRDefault="00A8413A">
      <w:pPr>
        <w:spacing w:line="240" w:lineRule="auto"/>
      </w:pPr>
      <w:r>
        <w:separator/>
      </w:r>
    </w:p>
    <w:p w:rsidR="00291372" w:rsidRDefault="00291372"/>
    <w:p w:rsidR="00291372" w:rsidRDefault="00291372"/>
    <w:p w:rsidR="00291372" w:rsidRDefault="00291372"/>
  </w:endnote>
  <w:endnote w:type="continuationSeparator" w:id="0">
    <w:p w:rsidR="00291372" w:rsidRDefault="00A8413A">
      <w:pPr>
        <w:spacing w:line="240" w:lineRule="auto"/>
      </w:pPr>
      <w:r>
        <w:continuationSeparator/>
      </w:r>
    </w:p>
    <w:p w:rsidR="00291372" w:rsidRDefault="00291372"/>
    <w:p w:rsidR="00291372" w:rsidRDefault="00291372"/>
    <w:p w:rsidR="00291372" w:rsidRDefault="002913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TypoUpright BT">
    <w:charset w:val="00"/>
    <w:family w:val="script"/>
    <w:pitch w:val="variable"/>
    <w:sig w:usb0="800000AF" w:usb1="1000204A" w:usb2="00000000" w:usb3="00000000" w:csb0="0000001B" w:csb1="00000000"/>
  </w:font>
  <w:font w:name="Tw Cen MT">
    <w:charset w:val="00"/>
    <w:family w:val="swiss"/>
    <w:pitch w:val="variable"/>
    <w:sig w:usb0="00000003" w:usb1="00000000" w:usb2="00000000" w:usb3="00000000" w:csb0="00000003" w:csb1="00000000"/>
  </w:font>
  <w:font w:name="Tw Cen MT Condensed">
    <w:charset w:val="00"/>
    <w:family w:val="swiss"/>
    <w:pitch w:val="variable"/>
    <w:sig w:usb0="00000003" w:usb1="00000000" w:usb2="00000000" w:usb3="00000000" w:csb0="00000003" w:csb1="00000000"/>
  </w:font>
  <w:font w:name="Levenim MT">
    <w:charset w:val="B1"/>
    <w:family w:val="auto"/>
    <w:pitch w:val="variable"/>
    <w:sig w:usb0="00000803" w:usb1="00000000" w:usb2="00000000" w:usb3="00000000" w:csb0="00000021" w:csb1="00000000"/>
  </w:font>
  <w:font w:name="Almoni ML Regular AAA">
    <w:altName w:val="Almoni ML Regular AAA"/>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7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charset w:val="B1"/>
    <w:family w:val="swiss"/>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E79" w:rsidRDefault="004A6E79" w:rsidP="004A6E79">
    <w:pPr>
      <w:pStyle w:val="a5"/>
      <w:spacing w:after="120" w:line="312" w:lineRule="auto"/>
      <w:ind w:left="-510"/>
      <w:jc w:val="left"/>
      <w:rPr>
        <w:rFonts w:ascii="Tahoma" w:hAnsi="Tahoma" w:cs="Tahoma"/>
        <w:sz w:val="18"/>
        <w:szCs w:val="18"/>
        <w:rtl/>
      </w:rPr>
    </w:pPr>
  </w:p>
  <w:p w:rsidR="004A6E79" w:rsidRDefault="00A8413A" w:rsidP="004A6E79">
    <w:pPr>
      <w:pStyle w:val="a5"/>
      <w:tabs>
        <w:tab w:val="clear" w:pos="4153"/>
        <w:tab w:val="clear" w:pos="8306"/>
        <w:tab w:val="left" w:pos="488"/>
        <w:tab w:val="left" w:pos="522"/>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4A6E79" w:rsidRPr="004A6E79" w:rsidRDefault="004A6E79" w:rsidP="004A6E7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A8413A" w:rsidP="00AC37C7">
    <w:pPr>
      <w:pStyle w:val="a5"/>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RDefault="00AC37C7" w:rsidP="00AC37C7">
    <w:pPr>
      <w:pStyle w:val="a5"/>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934" w:rsidRDefault="006329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372" w:rsidRDefault="00A8413A" w:rsidP="00E7235E">
      <w:pPr>
        <w:spacing w:line="240" w:lineRule="auto"/>
      </w:pPr>
      <w:r>
        <w:separator/>
      </w:r>
    </w:p>
  </w:footnote>
  <w:footnote w:type="continuationSeparator" w:id="0">
    <w:p w:rsidR="00291372" w:rsidRDefault="00A8413A" w:rsidP="00C23CC9">
      <w:pPr>
        <w:spacing w:line="240" w:lineRule="auto"/>
      </w:pPr>
      <w:r>
        <w:continuationSeparator/>
      </w:r>
    </w:p>
    <w:p w:rsidR="00291372" w:rsidRDefault="00291372"/>
    <w:p w:rsidR="00291372" w:rsidRDefault="00291372"/>
    <w:p w:rsidR="00291372" w:rsidRDefault="00291372"/>
  </w:footnote>
  <w:footnote w:id="1">
    <w:p w:rsidR="006F017B" w:rsidRPr="006F017B" w:rsidRDefault="00A8413A" w:rsidP="006F017B">
      <w:pPr>
        <w:pStyle w:val="712"/>
        <w:rPr>
          <w:rtl/>
        </w:rPr>
      </w:pPr>
      <w:r w:rsidRPr="006F017B">
        <w:rPr>
          <w:rStyle w:val="affff"/>
          <w:vertAlign w:val="baseline"/>
        </w:rPr>
        <w:footnoteRef/>
      </w:r>
      <w:r w:rsidRPr="006F017B">
        <w:rPr>
          <w:rtl/>
        </w:rPr>
        <w:t xml:space="preserve"> </w:t>
      </w:r>
      <w:r w:rsidRPr="006F017B">
        <w:rPr>
          <w:rtl/>
        </w:rPr>
        <w:tab/>
        <w:t xml:space="preserve">מבקר המדינה, </w:t>
      </w:r>
      <w:r w:rsidRPr="006F017B">
        <w:rPr>
          <w:b/>
          <w:bCs/>
          <w:rtl/>
        </w:rPr>
        <w:t>דוח שנתי 70ג</w:t>
      </w:r>
      <w:r w:rsidRPr="006F017B">
        <w:rPr>
          <w:rtl/>
        </w:rPr>
        <w:t xml:space="preserve"> (2020</w:t>
      </w:r>
      <w:r w:rsidR="00814F28">
        <w:rPr>
          <w:rFonts w:hint="cs"/>
          <w:rtl/>
        </w:rPr>
        <w:t>)</w:t>
      </w:r>
      <w:r w:rsidRPr="006F017B">
        <w:rPr>
          <w:rtl/>
        </w:rPr>
        <w:t>.</w:t>
      </w:r>
    </w:p>
  </w:footnote>
  <w:footnote w:id="2">
    <w:p w:rsidR="006F017B" w:rsidRPr="006F017B" w:rsidRDefault="00A8413A" w:rsidP="006F017B">
      <w:pPr>
        <w:pStyle w:val="712"/>
        <w:rPr>
          <w:rtl/>
        </w:rPr>
      </w:pPr>
      <w:r w:rsidRPr="006F017B">
        <w:rPr>
          <w:rStyle w:val="affff"/>
          <w:vertAlign w:val="baseline"/>
        </w:rPr>
        <w:footnoteRef/>
      </w:r>
      <w:r w:rsidRPr="006F017B">
        <w:rPr>
          <w:rtl/>
        </w:rPr>
        <w:t xml:space="preserve"> </w:t>
      </w:r>
      <w:r w:rsidRPr="006F017B">
        <w:rPr>
          <w:rtl/>
        </w:rPr>
        <w:tab/>
      </w:r>
      <w:r w:rsidRPr="006F017B">
        <w:rPr>
          <w:rtl/>
        </w:rPr>
        <w:t>לפי נתוני אתר צה"ל במרשתת, נכון ל-2.10.24.</w:t>
      </w:r>
    </w:p>
  </w:footnote>
  <w:footnote w:id="3">
    <w:p w:rsidR="006F017B" w:rsidRPr="003E7F7D" w:rsidRDefault="00A8413A" w:rsidP="006F017B">
      <w:pPr>
        <w:pStyle w:val="712"/>
      </w:pPr>
      <w:r w:rsidRPr="006F017B">
        <w:rPr>
          <w:rStyle w:val="affff"/>
          <w:vertAlign w:val="baseline"/>
        </w:rPr>
        <w:footnoteRef/>
      </w:r>
      <w:r w:rsidRPr="006F017B">
        <w:rPr>
          <w:rtl/>
        </w:rPr>
        <w:t xml:space="preserve"> </w:t>
      </w:r>
      <w:r w:rsidRPr="006F017B">
        <w:rPr>
          <w:rtl/>
        </w:rPr>
        <w:tab/>
      </w:r>
      <w:r w:rsidR="00814F28">
        <w:rPr>
          <w:rFonts w:hint="cs"/>
          <w:rtl/>
        </w:rPr>
        <w:t xml:space="preserve">משרד הביטחון </w:t>
      </w:r>
      <w:r w:rsidRPr="006F017B">
        <w:rPr>
          <w:rtl/>
        </w:rPr>
        <w:t xml:space="preserve">מייחס חשיבות לחקיקת החוק לטיפול בעורף במצבי חירום, בין היתר לשם הסדרת האחריות להגנה על המתקנים החיוניים </w:t>
      </w:r>
      <w:r w:rsidRPr="006F017B">
        <w:rPr>
          <w:rFonts w:hint="cs"/>
          <w:rtl/>
        </w:rPr>
        <w:t>בגופים מסוימים</w:t>
      </w:r>
      <w:r w:rsidRPr="006F017B">
        <w:rPr>
          <w:rtl/>
        </w:rPr>
        <w:t xml:space="preserve"> מפני איומים אוויריים, לרבות מיגונם.</w:t>
      </w:r>
    </w:p>
  </w:footnote>
  <w:footnote w:id="4">
    <w:p w:rsidR="006F017B" w:rsidRPr="006F017B" w:rsidRDefault="00A8413A" w:rsidP="006F017B">
      <w:pPr>
        <w:pStyle w:val="712"/>
      </w:pPr>
      <w:r w:rsidRPr="006F017B">
        <w:rPr>
          <w:rStyle w:val="affff"/>
          <w:vertAlign w:val="baseline"/>
        </w:rPr>
        <w:footnoteRef/>
      </w:r>
      <w:r w:rsidRPr="006F017B">
        <w:rPr>
          <w:rtl/>
        </w:rPr>
        <w:t xml:space="preserve"> </w:t>
      </w:r>
      <w:r w:rsidRPr="006F017B">
        <w:rPr>
          <w:rtl/>
        </w:rPr>
        <w:tab/>
      </w:r>
      <w:r w:rsidRPr="006F017B">
        <w:rPr>
          <w:rtl/>
        </w:rPr>
        <w:t>יצוין כי נושאים אלה כבר קיבלו ביטוי בדוחות קודמים של משרד מבקר המדינה, בהם:</w:t>
      </w:r>
      <w:r w:rsidRPr="006F017B">
        <w:t xml:space="preserve"> </w:t>
      </w:r>
      <w:r w:rsidRPr="006F017B">
        <w:rPr>
          <w:b/>
          <w:bCs/>
          <w:rtl/>
        </w:rPr>
        <w:t>דוח שנתי 65ב</w:t>
      </w:r>
      <w:r w:rsidRPr="006F017B">
        <w:rPr>
          <w:rtl/>
        </w:rPr>
        <w:t xml:space="preserve"> (2014), בפרק "ההיערכות למיגון המתקנים הרגישים במדינת ישראל כנגד </w:t>
      </w:r>
      <w:r w:rsidRPr="006F017B">
        <w:rPr>
          <w:rFonts w:hint="cs"/>
          <w:rtl/>
        </w:rPr>
        <w:t>ה</w:t>
      </w:r>
      <w:r w:rsidRPr="006F017B">
        <w:rPr>
          <w:rtl/>
        </w:rPr>
        <w:t xml:space="preserve">איום </w:t>
      </w:r>
      <w:r w:rsidRPr="006F017B">
        <w:rPr>
          <w:rFonts w:hint="cs"/>
          <w:rtl/>
        </w:rPr>
        <w:t>עליהם</w:t>
      </w:r>
      <w:r w:rsidRPr="006F017B">
        <w:rPr>
          <w:rtl/>
        </w:rPr>
        <w:t>".</w:t>
      </w:r>
    </w:p>
  </w:footnote>
  <w:footnote w:id="5">
    <w:p w:rsidR="007425AD" w:rsidRPr="007425AD" w:rsidRDefault="00A8413A" w:rsidP="007425AD">
      <w:pPr>
        <w:pStyle w:val="712"/>
      </w:pPr>
      <w:r w:rsidRPr="007425AD">
        <w:rPr>
          <w:rStyle w:val="affff"/>
          <w:vertAlign w:val="baseline"/>
        </w:rPr>
        <w:footnoteRef/>
      </w:r>
      <w:r w:rsidRPr="007425AD">
        <w:rPr>
          <w:rStyle w:val="affff"/>
          <w:vertAlign w:val="baseline"/>
          <w:rtl/>
        </w:rPr>
        <w:t xml:space="preserve"> </w:t>
      </w:r>
      <w:r w:rsidRPr="007425AD">
        <w:rPr>
          <w:rtl/>
        </w:rPr>
        <w:tab/>
      </w:r>
      <w:r w:rsidRPr="007425AD">
        <w:rPr>
          <w:rFonts w:hint="cs"/>
          <w:rtl/>
        </w:rPr>
        <w:t>שם הצעת החוק במועד סיום הביקורת הוא - מוכנות המרחב האזרחי למצבי חירום במשק.</w:t>
      </w:r>
    </w:p>
  </w:footnote>
  <w:footnote w:id="6">
    <w:p w:rsidR="007425AD" w:rsidRPr="00160546" w:rsidRDefault="00A8413A" w:rsidP="007425AD">
      <w:pPr>
        <w:pStyle w:val="712"/>
        <w:rPr>
          <w:rtl/>
        </w:rPr>
      </w:pPr>
      <w:r w:rsidRPr="007425AD">
        <w:rPr>
          <w:rStyle w:val="affff"/>
          <w:vertAlign w:val="baseline"/>
        </w:rPr>
        <w:footnoteRef/>
      </w:r>
      <w:r w:rsidRPr="007425AD">
        <w:rPr>
          <w:rtl/>
        </w:rPr>
        <w:t xml:space="preserve"> </w:t>
      </w:r>
      <w:r w:rsidRPr="007425AD">
        <w:rPr>
          <w:rtl/>
        </w:rPr>
        <w:tab/>
      </w:r>
      <w:r w:rsidRPr="007425AD">
        <w:rPr>
          <w:rtl/>
        </w:rPr>
        <w:t xml:space="preserve">ועדה בין-משרדית בראשות מנהל </w:t>
      </w:r>
      <w:proofErr w:type="spellStart"/>
      <w:r w:rsidRPr="007425AD">
        <w:rPr>
          <w:rtl/>
        </w:rPr>
        <w:t>רח"ל</w:t>
      </w:r>
      <w:proofErr w:type="spellEnd"/>
      <w:r w:rsidRPr="007425AD">
        <w:rPr>
          <w:rtl/>
        </w:rPr>
        <w:t xml:space="preserve"> לצורך קביעת הקריטריונים לסוגי המתקנים, הערכת הסיכונים וסדרי הק</w:t>
      </w:r>
      <w:r w:rsidRPr="007425AD">
        <w:rPr>
          <w:rtl/>
        </w:rPr>
        <w:t>דימויות ברמה הלאומית.</w:t>
      </w:r>
    </w:p>
  </w:footnote>
  <w:footnote w:id="7">
    <w:p w:rsidR="00773D70" w:rsidRPr="005F36DE" w:rsidRDefault="00A8413A" w:rsidP="005F36DE">
      <w:pPr>
        <w:pStyle w:val="712"/>
        <w:rPr>
          <w:rtl/>
        </w:rPr>
      </w:pPr>
      <w:r w:rsidRPr="005F36DE">
        <w:rPr>
          <w:rStyle w:val="affff"/>
          <w:vertAlign w:val="baseline"/>
        </w:rPr>
        <w:footnoteRef/>
      </w:r>
      <w:r w:rsidRPr="005F36DE">
        <w:rPr>
          <w:rtl/>
        </w:rPr>
        <w:t xml:space="preserve"> </w:t>
      </w:r>
      <w:r w:rsidRPr="005F36DE">
        <w:rPr>
          <w:rtl/>
        </w:rPr>
        <w:tab/>
      </w:r>
      <w:r w:rsidRPr="005F36DE">
        <w:rPr>
          <w:rtl/>
        </w:rPr>
        <w:t>רשימה של מתקנים ומתחמי תשתיות אזרחיים רגישים המחייבים הגנה בין היתר באמצעות מיגון פיזי</w:t>
      </w:r>
      <w:r w:rsidRPr="005F36DE">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F73EE0" w:rsidRDefault="00F73EE0" w:rsidP="00F2565F">
    <w:pPr>
      <w:pStyle w:val="a4"/>
      <w:tabs>
        <w:tab w:val="clear" w:pos="4153"/>
        <w:tab w:val="clear" w:pos="8306"/>
        <w:tab w:val="left" w:pos="493"/>
        <w:tab w:val="center" w:pos="4111"/>
        <w:tab w:val="right" w:pos="7478"/>
        <w:tab w:val="right" w:pos="8222"/>
      </w:tabs>
      <w:jc w:val="right"/>
      <w:rPr>
        <w:rFonts w:ascii="Tahoma" w:hAnsi="Tahoma" w:cs="Tahoma"/>
        <w:color w:val="002060"/>
        <w:sz w:val="18"/>
        <w:szCs w:val="18"/>
      </w:rPr>
    </w:pPr>
  </w:p>
  <w:p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F73EE0" w:rsidRDefault="00A8413A" w:rsidP="00A33696">
    <w:pPr>
      <w:pStyle w:val="a4"/>
      <w:tabs>
        <w:tab w:val="clear" w:pos="4153"/>
        <w:tab w:val="clear" w:pos="8306"/>
        <w:tab w:val="left" w:pos="493"/>
        <w:tab w:val="left" w:pos="5150"/>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RDefault="00A8413A" w:rsidP="006637B9">
                          <w:pPr>
                            <w:jc w:val="left"/>
                          </w:pPr>
                          <w:r>
                            <w:rPr>
                              <w:rFonts w:ascii="Tahoma" w:hAnsi="Tahoma" w:cs="Tahoma" w:hint="cs"/>
                              <w:color w:val="002060"/>
                              <w:sz w:val="18"/>
                              <w:szCs w:val="18"/>
                              <w:rtl/>
                            </w:rPr>
                            <w:t xml:space="preserve">         </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EF15E71">
                    <w:pPr>
                      <w:jc w:val="left"/>
                    </w:pPr>
                    <w:r>
                      <w:rPr>
                        <w:rFonts w:ascii="Tahoma" w:hAnsi="Tahoma" w:cs="Tahoma" w:hint="cs"/>
                        <w:color w:val="002060"/>
                        <w:sz w:val="18"/>
                        <w:szCs w:val="18"/>
                        <w:rtl/>
                      </w:rPr>
                      <w:t xml:space="preserve">         </w:t>
                    </w:r>
                    <w:r>
                      <w:rPr>
                        <w:rFonts w:hint="cs"/>
                        <w:rtl/>
                      </w:rPr>
                      <w:t xml:space="preserve">         </w:t>
                    </w:r>
                  </w:p>
                </w:txbxContent>
              </v:textbox>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A8413A"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F73EE0" w:rsidRPr="009B7D1B" w:rsidRDefault="00A8413A" w:rsidP="00586851">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147605">
                            <w:rPr>
                              <w:rFonts w:ascii="Tahoma" w:hAnsi="Tahoma" w:cs="Tahoma" w:hint="cs"/>
                              <w:b/>
                              <w:bCs/>
                              <w:rtl/>
                            </w:rPr>
                            <w:t>שם של הדוח</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9B7D1B" w:rsidP="00586851" w14:paraId="77809697" w14:textId="7C05A88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00147605">
                      <w:rPr>
                        <w:rFonts w:ascii="Tahoma" w:hAnsi="Tahoma" w:cs="Tahoma" w:hint="cs"/>
                        <w:b/>
                        <w:bCs/>
                        <w:rtl/>
                      </w:rPr>
                      <w:t>שם של הדוח</w:t>
                    </w:r>
                  </w:p>
                </w:txbxContent>
              </v:textbox>
              <w10:wrap type="square"/>
            </v:shape>
          </w:pict>
        </mc:Fallback>
      </mc:AlternateContent>
    </w:r>
  </w:p>
  <w:p w:rsidR="00F73EE0" w:rsidRDefault="00F73EE0" w:rsidP="001526AC">
    <w:pPr>
      <w:pStyle w:val="a4"/>
      <w:tabs>
        <w:tab w:val="clear" w:pos="4153"/>
        <w:tab w:val="clear" w:pos="8306"/>
        <w:tab w:val="left" w:pos="493"/>
        <w:tab w:val="center" w:pos="4111"/>
        <w:tab w:val="right" w:pos="7478"/>
        <w:tab w:val="right" w:pos="8222"/>
      </w:tabs>
      <w:jc w:val="left"/>
      <w:rPr>
        <w:rtl/>
      </w:rPr>
    </w:pPr>
  </w:p>
  <w:p w:rsidR="00F73EE0" w:rsidRPr="001526AC" w:rsidRDefault="00A8413A"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8240" behindDoc="0" locked="0" layoutInCell="1" allowOverlap="1">
              <wp:simplePos x="0" y="0"/>
              <wp:positionH relativeFrom="column">
                <wp:posOffset>274320</wp:posOffset>
              </wp:positionH>
              <wp:positionV relativeFrom="paragraph">
                <wp:posOffset>351791</wp:posOffset>
              </wp:positionV>
              <wp:extent cx="4459740" cy="231866"/>
              <wp:effectExtent l="0" t="0" r="10795" b="9525"/>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31866"/>
                      </a:xfrm>
                      <a:prstGeom prst="rect">
                        <a:avLst/>
                      </a:prstGeom>
                      <a:solidFill>
                        <a:srgbClr val="FFFFFF"/>
                      </a:solidFill>
                      <a:ln w="9525">
                        <a:solidFill>
                          <a:schemeClr val="bg1"/>
                        </a:solidFill>
                        <a:miter lim="800000"/>
                        <a:headEnd/>
                        <a:tailEnd/>
                      </a:ln>
                    </wps:spPr>
                    <wps:txbx>
                      <w:txbxContent>
                        <w:p w:rsidR="00F73EE0" w:rsidRPr="00136A3E" w:rsidRDefault="00A8413A" w:rsidP="00B244B0">
                          <w:pPr>
                            <w:jc w:val="right"/>
                            <w:rPr>
                              <w:color w:val="0D0D0D" w:themeColor="text1" w:themeTint="F2"/>
                              <w:sz w:val="16"/>
                              <w:szCs w:val="16"/>
                            </w:rPr>
                          </w:pPr>
                          <w:r w:rsidRPr="00AE7EA4">
                            <w:rPr>
                              <w:rFonts w:ascii="Tahoma" w:hAnsi="Tahoma" w:cs="Tahoma"/>
                              <w:color w:val="0D0D0D"/>
                              <w:sz w:val="16"/>
                              <w:szCs w:val="16"/>
                              <w:rtl/>
                            </w:rPr>
                            <w:t xml:space="preserve">דוח מבקר המדינה | אייר </w:t>
                          </w:r>
                          <w:proofErr w:type="spellStart"/>
                          <w:r w:rsidRPr="00AE7EA4">
                            <w:rPr>
                              <w:rFonts w:ascii="Tahoma" w:hAnsi="Tahoma" w:cs="Tahoma"/>
                              <w:color w:val="0D0D0D"/>
                              <w:sz w:val="16"/>
                              <w:szCs w:val="16"/>
                              <w:rtl/>
                            </w:rPr>
                            <w:t>התשפ״ד</w:t>
                          </w:r>
                          <w:proofErr w:type="spellEnd"/>
                          <w:r w:rsidRPr="00AE7EA4">
                            <w:rPr>
                              <w:rFonts w:ascii="Tahoma" w:hAnsi="Tahoma" w:cs="Tahoma"/>
                              <w:color w:val="0D0D0D"/>
                              <w:sz w:val="16"/>
                              <w:szCs w:val="16"/>
                              <w:rtl/>
                            </w:rPr>
                            <w:t xml:space="preserve"> | מאי 2024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3" type="#_x0000_t202" alt="&quot;&quot;" style="width:351.15pt;height:18.25pt;margin-top:27.7pt;margin-left:21.6pt;mso-height-percent:0;mso-height-relative:margin;mso-width-percent:0;mso-width-relative:margin;mso-wrap-distance-bottom:3.6pt;mso-wrap-distance-left:9pt;mso-wrap-distance-right:9pt;mso-wrap-distance-top:3.6pt;mso-wrap-style:square;position:absolute;visibility:visible;v-text-anchor:top;z-index:251659264" strokecolor="white">
              <v:textbox>
                <w:txbxContent>
                  <w:p w:rsidR="00F73EE0" w:rsidRPr="00136A3E" w:rsidP="00B244B0" w14:paraId="1CF273F4" w14:textId="4CBC2C54">
                    <w:pPr>
                      <w:jc w:val="right"/>
                      <w:rPr>
                        <w:color w:val="0D0D0D" w:themeColor="text1" w:themeTint="F2"/>
                        <w:sz w:val="16"/>
                        <w:szCs w:val="16"/>
                      </w:rPr>
                    </w:pPr>
                    <w:r w:rsidRPr="00AE7EA4">
                      <w:rPr>
                        <w:rFonts w:ascii="Tahoma" w:hAnsi="Tahoma" w:cs="Tahoma"/>
                        <w:color w:val="0D0D0D"/>
                        <w:sz w:val="16"/>
                        <w:szCs w:val="16"/>
                        <w:rtl/>
                      </w:rPr>
                      <w:t xml:space="preserve">דוח מבקר המדינה | אייר </w:t>
                    </w:r>
                    <w:r w:rsidRPr="00AE7EA4">
                      <w:rPr>
                        <w:rFonts w:ascii="Tahoma" w:hAnsi="Tahoma" w:cs="Tahoma"/>
                        <w:color w:val="0D0D0D"/>
                        <w:sz w:val="16"/>
                        <w:szCs w:val="16"/>
                        <w:rtl/>
                      </w:rPr>
                      <w:t>התשפ״ד</w:t>
                    </w:r>
                    <w:r w:rsidRPr="00AE7EA4">
                      <w:rPr>
                        <w:rFonts w:ascii="Tahoma" w:hAnsi="Tahoma" w:cs="Tahoma"/>
                        <w:color w:val="0D0D0D"/>
                        <w:sz w:val="16"/>
                        <w:szCs w:val="16"/>
                        <w:rtl/>
                      </w:rPr>
                      <w:t xml:space="preserve"> | מאי 2024</w:t>
                    </w: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9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58E" w:rsidRDefault="006D658E">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A8413A">
    <w:pPr>
      <w:pStyle w:val="a4"/>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RDefault="00F73EE0" w:rsidP="00FD02CC">
    <w:pPr>
      <w:pStyle w:val="a4"/>
      <w:ind w:firstLine="720"/>
      <w:rPr>
        <w:rtl/>
      </w:rPr>
    </w:pPr>
  </w:p>
  <w:p w:rsidR="00F73EE0" w:rsidRDefault="00F73EE0">
    <w:pPr>
      <w:pStyle w:val="a4"/>
      <w:rPr>
        <w:rtl/>
      </w:rPr>
    </w:pPr>
  </w:p>
  <w:p w:rsidR="00F73EE0" w:rsidRDefault="00A8413A">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RDefault="00A8413A" w:rsidP="00F559D6">
                          <w:pPr>
                            <w:pStyle w:val="1"/>
                            <w:spacing w:line="269" w:lineRule="auto"/>
                            <w:jc w:val="left"/>
                            <w:rPr>
                              <w:rFonts w:ascii="Tahoma" w:eastAsiaTheme="minorHAnsi" w:hAnsi="Tahoma" w:cs="Tahoma"/>
                              <w:bCs w:val="0"/>
                              <w:color w:val="0D0D0D" w:themeColor="text1" w:themeTint="F2"/>
                              <w:sz w:val="16"/>
                              <w:szCs w:val="16"/>
                              <w:u w:val="none"/>
                            </w:rPr>
                          </w:pPr>
                          <w:r>
                            <w:rPr>
                              <w:rFonts w:ascii="Tahoma" w:eastAsiaTheme="minorHAnsi" w:hAnsi="Tahoma" w:cs="Tahoma" w:hint="cs"/>
                              <w:bCs w:val="0"/>
                              <w:color w:val="0D0D0D" w:themeColor="text1" w:themeTint="F2"/>
                              <w:sz w:val="16"/>
                              <w:szCs w:val="16"/>
                              <w:u w:val="none"/>
                              <w:rtl/>
                            </w:rPr>
                            <w:t xml:space="preserve">טקסט </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54BD9C1B">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 xml:space="preserve">טקסט </w:t>
                    </w:r>
                  </w:p>
                </w:txbxContent>
              </v:textbox>
              <w10:wrap type="square"/>
            </v:shape>
          </w:pict>
        </mc:Fallback>
      </mc:AlternateContent>
    </w:r>
  </w:p>
  <w:p w:rsidR="00F73EE0" w:rsidRDefault="00A8413A" w:rsidP="009620E7">
    <w:pPr>
      <w:pStyle w:val="a4"/>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8"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721" w:rsidRDefault="00A8413A" w:rsidP="001526AC">
    <w:pPr>
      <w:pStyle w:val="a4"/>
      <w:tabs>
        <w:tab w:val="clear" w:pos="4153"/>
        <w:tab w:val="clear" w:pos="8306"/>
        <w:tab w:val="left" w:pos="493"/>
        <w:tab w:val="center" w:pos="4111"/>
        <w:tab w:val="right" w:pos="7478"/>
        <w:tab w:val="right" w:pos="8222"/>
      </w:tabs>
      <w:jc w:val="left"/>
      <w:rPr>
        <w:rtl/>
      </w:rPr>
    </w:pPr>
    <w:r>
      <w:rPr>
        <w:noProof/>
      </w:rPr>
      <mc:AlternateContent>
        <mc:Choice Requires="wps">
          <w:drawing>
            <wp:anchor distT="0" distB="0" distL="114300" distR="114300" simplePos="0" relativeHeight="251681792" behindDoc="0" locked="0" layoutInCell="1" allowOverlap="1">
              <wp:simplePos x="0" y="0"/>
              <wp:positionH relativeFrom="column">
                <wp:posOffset>-716280</wp:posOffset>
              </wp:positionH>
              <wp:positionV relativeFrom="paragraph">
                <wp:posOffset>-727075</wp:posOffset>
              </wp:positionV>
              <wp:extent cx="304800" cy="8194040"/>
              <wp:effectExtent l="0" t="0" r="12700" b="10160"/>
              <wp:wrapSquare wrapText="bothSides"/>
              <wp:docPr id="60"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8194040"/>
                      </a:xfrm>
                      <a:prstGeom prst="rect">
                        <a:avLst/>
                      </a:prstGeom>
                      <a:solidFill>
                        <a:srgbClr val="00305F"/>
                      </a:solidFill>
                      <a:ln>
                        <a:solidFill>
                          <a:srgbClr val="00305F"/>
                        </a:solidFill>
                      </a:ln>
                    </wps:spPr>
                    <wps:txbx>
                      <w:txbxContent>
                        <w:p w:rsidR="00E56721" w:rsidRPr="009B7D1B" w:rsidRDefault="00A8413A" w:rsidP="008A7100">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00B228AD" w:rsidRPr="00565F1B">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alt="&quot;&quot;" style="width:24pt;height:645.2pt;margin-top:-57.25pt;margin-left:-56.4pt;mso-height-percent:0;mso-height-relative:margin;mso-width-percent:0;mso-width-relative:margin;mso-wrap-distance-bottom:0;mso-wrap-distance-left:9pt;mso-wrap-distance-right:9pt;mso-wrap-distance-top:0;mso-wrap-style:square;position:absolute;visibility:visible;v-text-anchor:top;z-index:251682816" fillcolor="#00305f" strokecolor="#00305f">
              <v:textbox style="layout-flow:vertical;mso-layout-flow-alt:bottom-to-top" inset="0,0,0,0">
                <w:txbxContent>
                  <w:p w:rsidR="00E56721" w:rsidRPr="009B7D1B" w:rsidP="008A7100" w14:paraId="3B4CCAD6" w14:textId="1449CDD6">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Pr="00565F1B" w:rsidR="00B228AD">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v:textbox>
              <w10:wrap type="square"/>
            </v:shape>
          </w:pict>
        </mc:Fallback>
      </mc:AlternateContent>
    </w:r>
    <w:r>
      <w:rPr>
        <w:noProof/>
        <w:rtl/>
        <w:lang w:val="he-IL"/>
      </w:rPr>
      <mc:AlternateContent>
        <mc:Choice Requires="wps">
          <w:drawing>
            <wp:anchor distT="0" distB="0" distL="114300" distR="114300" simplePos="0" relativeHeight="251684864"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RDefault="00E5672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0592" filled="f" strokecolor="#a5a5a5" strokeweight="0.25pt">
              <v:stroke dashstyle="longDash"/>
              <v:textbox>
                <w:txbxContent>
                  <w:p w:rsidR="00E56721" w:rsidRPr="00FD02CC" w:rsidP="006E67D8" w14:paraId="64DE32B9"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p>
  <w:p w:rsidR="00E56721" w:rsidRDefault="00E56721" w:rsidP="001526AC">
    <w:pPr>
      <w:pStyle w:val="a4"/>
      <w:tabs>
        <w:tab w:val="clear" w:pos="4153"/>
        <w:tab w:val="clear" w:pos="8306"/>
        <w:tab w:val="left" w:pos="493"/>
        <w:tab w:val="center" w:pos="4111"/>
        <w:tab w:val="right" w:pos="7478"/>
        <w:tab w:val="right" w:pos="8222"/>
      </w:tabs>
      <w:jc w:val="left"/>
      <w:rPr>
        <w:rtl/>
      </w:rPr>
    </w:pPr>
  </w:p>
  <w:p w:rsidR="00E56721" w:rsidRPr="001526AC" w:rsidRDefault="00A8413A"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77696"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E56721" w:rsidRPr="00C55DC9" w:rsidRDefault="00A8413A" w:rsidP="00B244B0">
                          <w:pPr>
                            <w:jc w:val="right"/>
                            <w:rPr>
                              <w:color w:val="0D0D0D" w:themeColor="text1" w:themeTint="F2"/>
                              <w:sz w:val="16"/>
                              <w:szCs w:val="16"/>
                            </w:rPr>
                          </w:pPr>
                          <w:r w:rsidRPr="00DD7848">
                            <w:rPr>
                              <w:rFonts w:ascii="Tahoma" w:hAnsi="Tahoma" w:cs="Tahoma"/>
                              <w:color w:val="0D0D0D"/>
                              <w:sz w:val="16"/>
                              <w:szCs w:val="16"/>
                              <w:rtl/>
                            </w:rPr>
                            <w:t xml:space="preserve">דוח מבקר המדינה | כסלו </w:t>
                          </w:r>
                          <w:proofErr w:type="spellStart"/>
                          <w:r w:rsidRPr="00DD7848">
                            <w:rPr>
                              <w:rFonts w:ascii="Tahoma" w:hAnsi="Tahoma" w:cs="Tahoma"/>
                              <w:color w:val="0D0D0D"/>
                              <w:sz w:val="16"/>
                              <w:szCs w:val="16"/>
                              <w:rtl/>
                            </w:rPr>
                            <w:t>התשפ"ו</w:t>
                          </w:r>
                          <w:proofErr w:type="spellEnd"/>
                          <w:r w:rsidRPr="00DD7848">
                            <w:rPr>
                              <w:rFonts w:ascii="Tahoma" w:hAnsi="Tahoma" w:cs="Tahoma"/>
                              <w:color w:val="0D0D0D"/>
                              <w:sz w:val="16"/>
                              <w:szCs w:val="16"/>
                              <w:rtl/>
                            </w:rPr>
                            <w:t xml:space="preserve"> | דצמבר 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0" type="#_x0000_t202" alt="&quot;&quot;"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78720" strokecolor="white">
              <v:textbox>
                <w:txbxContent>
                  <w:p w:rsidR="00E56721" w:rsidRPr="00C55DC9" w:rsidP="00B244B0" w14:paraId="0C0E463E" w14:textId="3E789370">
                    <w:pPr>
                      <w:jc w:val="right"/>
                      <w:rPr>
                        <w:color w:val="0D0D0D" w:themeColor="text1" w:themeTint="F2"/>
                        <w:sz w:val="16"/>
                        <w:szCs w:val="16"/>
                      </w:rPr>
                    </w:pPr>
                    <w:r w:rsidRPr="00DD7848">
                      <w:rPr>
                        <w:rFonts w:ascii="Tahoma" w:hAnsi="Tahoma" w:cs="Tahoma"/>
                        <w:color w:val="0D0D0D"/>
                        <w:sz w:val="16"/>
                        <w:szCs w:val="16"/>
                        <w:rtl/>
                      </w:rPr>
                      <w:t>דוח מבקר המדינה | כסלו התשפ"ו | דצמבר 2025</w:t>
                    </w:r>
                  </w:p>
                </w:txbxContent>
              </v:textbox>
            </v:shape>
          </w:pict>
        </mc:Fallback>
      </mc:AlternateContent>
    </w:r>
    <w:r>
      <w:rPr>
        <w:rFonts w:ascii="Tahoma" w:hAnsi="Tahoma" w:cs="Tahoma"/>
        <w:noProof/>
        <w:sz w:val="22"/>
        <w:szCs w:val="22"/>
        <w:rtl/>
        <w:lang w:val="he-IL"/>
      </w:rPr>
      <w:drawing>
        <wp:anchor distT="0" distB="0" distL="114300" distR="114300" simplePos="0" relativeHeight="251683840"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9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1" style="flip:x;mso-height-percent:0;mso-height-relative:margin;mso-width-percent:0;mso-width-relative:margin;mso-wrap-distance-bottom:0;mso-wrap-distance-left:9pt;mso-wrap-distance-right:9pt;mso-wrap-distance-top:0;mso-wrap-style:square;position:absolute;visibility:visible;z-index:251680768" from="-4.4pt,50.4pt" to="524.85pt,50.4pt" strokecolor="#0d0d0d" strokeweight="0.25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1E1" w:rsidRDefault="00A8413A">
    <w:pPr>
      <w:pStyle w:val="a4"/>
      <w:rPr>
        <w:rtl/>
      </w:rPr>
    </w:pPr>
    <w:r>
      <w:rPr>
        <w:noProof/>
        <w:rtl/>
        <w:lang w:val="he-IL"/>
      </w:rPr>
      <mc:AlternateContent>
        <mc:Choice Requires="wps">
          <w:drawing>
            <wp:anchor distT="0" distB="0" distL="114300" distR="114300" simplePos="0" relativeHeight="251691008"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2035157434"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RDefault="001B01E1"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2"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4448" filled="f" strokecolor="#a5a5a5" strokeweight="0.25pt">
              <v:stroke dashstyle="longDash"/>
              <v:textbox>
                <w:txbxContent>
                  <w:p w:rsidR="001B01E1" w:rsidRPr="00FD02CC" w:rsidP="006E67D8" w14:paraId="40E2B229"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1B01E1" w:rsidRDefault="001B01E1" w:rsidP="00FD02CC">
    <w:pPr>
      <w:pStyle w:val="a4"/>
      <w:ind w:firstLine="720"/>
      <w:rPr>
        <w:rtl/>
      </w:rPr>
    </w:pPr>
  </w:p>
  <w:p w:rsidR="001B01E1" w:rsidRDefault="001B01E1">
    <w:pPr>
      <w:pStyle w:val="a4"/>
      <w:rPr>
        <w:rtl/>
      </w:rPr>
    </w:pPr>
  </w:p>
  <w:p w:rsidR="001B01E1" w:rsidRDefault="00A8413A">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688960"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15262687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1B01E1" w:rsidRPr="003D62C4" w:rsidRDefault="00A8413A" w:rsidP="00F559D6">
                          <w:pPr>
                            <w:pStyle w:val="1"/>
                            <w:spacing w:line="269" w:lineRule="auto"/>
                            <w:jc w:val="left"/>
                            <w:rPr>
                              <w:rFonts w:ascii="Tahoma" w:eastAsiaTheme="minorHAnsi" w:hAnsi="Tahoma" w:cs="Tahoma"/>
                              <w:bCs w:val="0"/>
                              <w:color w:val="0D0D0D" w:themeColor="text1" w:themeTint="F2"/>
                              <w:sz w:val="16"/>
                              <w:szCs w:val="16"/>
                              <w:u w:val="none"/>
                            </w:rPr>
                          </w:pPr>
                          <w:r w:rsidRPr="006F017B">
                            <w:rPr>
                              <w:rFonts w:ascii="Tahoma" w:eastAsiaTheme="minorHAnsi" w:hAnsi="Tahoma" w:cs="Tahoma"/>
                              <w:bCs w:val="0"/>
                              <w:color w:val="0D0D0D" w:themeColor="text1" w:themeTint="F2"/>
                              <w:sz w:val="16"/>
                              <w:szCs w:val="16"/>
                              <w:u w:val="none"/>
                              <w:rtl/>
                            </w:rPr>
                            <w:t>ההיערכות להגנה על מתקנים חיוניים מפני טילים, רקטות ואיומים אוויריים נוספים - ביקורת מעקב</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63" type="#_x0000_t202" style="width:357.2pt;height:22.1pt;margin-top:16.15pt;margin-left:-8.4pt;mso-width-percent:0;mso-width-relative:margin;mso-wrap-distance-bottom:0;mso-wrap-distance-left:9pt;mso-wrap-distance-right:9pt;mso-wrap-distance-top:0;mso-wrap-style:square;position:absolute;visibility:visible;v-text-anchor:top;z-index:251689984" stroked="f">
              <v:textbox style="mso-fit-shape-to-text:t">
                <w:txbxContent>
                  <w:p w:rsidR="001B01E1" w:rsidRPr="003D62C4" w:rsidP="00F559D6" w14:paraId="53D9ADAE" w14:textId="6FF8D15A">
                    <w:pPr>
                      <w:pStyle w:val="Heading1"/>
                      <w:spacing w:line="269" w:lineRule="auto"/>
                      <w:jc w:val="left"/>
                      <w:rPr>
                        <w:rFonts w:ascii="Tahoma" w:hAnsi="Tahoma" w:eastAsiaTheme="minorHAnsi" w:cs="Tahoma"/>
                        <w:bCs w:val="0"/>
                        <w:color w:val="0D0D0D" w:themeColor="text1" w:themeTint="F2"/>
                        <w:sz w:val="16"/>
                        <w:szCs w:val="16"/>
                        <w:u w:val="none"/>
                      </w:rPr>
                    </w:pPr>
                    <w:r w:rsidRPr="006F017B">
                      <w:rPr>
                        <w:rFonts w:ascii="Tahoma" w:hAnsi="Tahoma" w:eastAsiaTheme="minorHAnsi" w:cs="Tahoma"/>
                        <w:bCs w:val="0"/>
                        <w:color w:val="0D0D0D" w:themeColor="text1" w:themeTint="F2"/>
                        <w:sz w:val="16"/>
                        <w:szCs w:val="16"/>
                        <w:u w:val="none"/>
                        <w:rtl/>
                      </w:rPr>
                      <w:t>ההיערכות להגנה על מתקנים חיוניים מפני טילים, רקטות ואיומים אוויריים נוספים - ביקורת מעקב</w:t>
                    </w:r>
                  </w:p>
                </w:txbxContent>
              </v:textbox>
              <w10:wrap type="square"/>
            </v:shape>
          </w:pict>
        </mc:Fallback>
      </mc:AlternateContent>
    </w:r>
  </w:p>
  <w:p w:rsidR="001B01E1" w:rsidRDefault="00A8413A" w:rsidP="009620E7">
    <w:pPr>
      <w:pStyle w:val="a4"/>
      <w:rPr>
        <w:rtl/>
      </w:rPr>
    </w:pPr>
    <w:r>
      <w:rPr>
        <w:rFonts w:ascii="Tahoma" w:hAnsi="Tahoma" w:cs="Tahoma"/>
        <w:noProof/>
        <w:color w:val="002060"/>
        <w:sz w:val="18"/>
        <w:szCs w:val="18"/>
      </w:rPr>
      <w:drawing>
        <wp:anchor distT="0" distB="0" distL="114300" distR="114300" simplePos="0" relativeHeight="251693056"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19225149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1490"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1899652636"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4" style="flip:x;mso-height-percent:0;mso-height-relative:margin;mso-width-percent:0;mso-width-relative:margin;mso-wrap-distance-bottom:0;mso-wrap-distance-left:9pt;mso-wrap-distance-right:9pt;mso-wrap-distance-top:0;mso-wrap-style:square;position:absolute;visibility:visible;z-index:251687936" from="-109.7pt,27.8pt" to="367.9pt,27.8pt" strokecolor="#0d0d0d" strokeweight="0.25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1E1" w:rsidRDefault="00A8413A" w:rsidP="001526AC">
    <w:pPr>
      <w:pStyle w:val="a4"/>
      <w:tabs>
        <w:tab w:val="clear" w:pos="4153"/>
        <w:tab w:val="clear" w:pos="8306"/>
        <w:tab w:val="left" w:pos="493"/>
        <w:tab w:val="center" w:pos="4111"/>
        <w:tab w:val="right" w:pos="7478"/>
        <w:tab w:val="right" w:pos="8222"/>
      </w:tabs>
      <w:jc w:val="left"/>
      <w:rPr>
        <w:rtl/>
      </w:rPr>
    </w:pPr>
    <w:r>
      <w:rPr>
        <w:noProof/>
      </w:rPr>
      <mc:AlternateContent>
        <mc:Choice Requires="wps">
          <w:drawing>
            <wp:anchor distT="0" distB="0" distL="114300" distR="114300" simplePos="0" relativeHeight="251698176" behindDoc="0" locked="0" layoutInCell="1" allowOverlap="1">
              <wp:simplePos x="0" y="0"/>
              <wp:positionH relativeFrom="column">
                <wp:posOffset>-716280</wp:posOffset>
              </wp:positionH>
              <wp:positionV relativeFrom="paragraph">
                <wp:posOffset>-727075</wp:posOffset>
              </wp:positionV>
              <wp:extent cx="304800" cy="8496300"/>
              <wp:effectExtent l="0" t="0" r="12700" b="12700"/>
              <wp:wrapSquare wrapText="bothSides"/>
              <wp:docPr id="1339138723"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8496300"/>
                      </a:xfrm>
                      <a:prstGeom prst="rect">
                        <a:avLst/>
                      </a:prstGeom>
                      <a:solidFill>
                        <a:srgbClr val="00305F"/>
                      </a:solidFill>
                      <a:ln>
                        <a:solidFill>
                          <a:srgbClr val="00305F"/>
                        </a:solidFill>
                      </a:ln>
                    </wps:spPr>
                    <wps:txbx>
                      <w:txbxContent>
                        <w:p w:rsidR="001B01E1" w:rsidRPr="006F017B" w:rsidRDefault="00A8413A" w:rsidP="006F017B">
                          <w:pPr>
                            <w:pStyle w:val="Bodytext70"/>
                            <w:shd w:val="clear" w:color="auto" w:fill="003060"/>
                            <w:rPr>
                              <w:rFonts w:ascii="Tahoma" w:hAnsi="Tahoma" w:cs="Tahoma"/>
                              <w:b/>
                              <w:bCs/>
                              <w:sz w:val="20"/>
                              <w:szCs w:val="20"/>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6F017B" w:rsidRPr="006F017B">
                            <w:rPr>
                              <w:rFonts w:ascii="Tahoma" w:hAnsi="Tahoma" w:cs="Tahoma"/>
                              <w:b/>
                              <w:bCs/>
                              <w:sz w:val="20"/>
                              <w:szCs w:val="20"/>
                              <w:rtl/>
                            </w:rPr>
                            <w:t>ההיערכות להגנה על מתקנים חיוניים מפני טילים, רקטות ואיומים אוויריים נוספים - ביקורת מעקב</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alt="&quot;&quot;" style="width:24pt;height:669pt;margin-top:-57.25pt;margin-left:-56.4pt;mso-height-percent:0;mso-height-relative:margin;mso-width-percent:0;mso-width-relative:margin;mso-wrap-distance-bottom:0;mso-wrap-distance-left:9pt;mso-wrap-distance-right:9pt;mso-wrap-distance-top:0;mso-wrap-style:square;position:absolute;visibility:visible;v-text-anchor:top;z-index:251699200" fillcolor="#00305f" strokecolor="#00305f">
              <v:textbox style="layout-flow:vertical;mso-layout-flow-alt:bottom-to-top" inset="0,0,0,0">
                <w:txbxContent>
                  <w:p w:rsidR="001B01E1" w:rsidRPr="006F017B" w:rsidP="006F017B" w14:paraId="77A211CB" w14:textId="3652CEEF">
                    <w:pPr>
                      <w:pStyle w:val="Bodytext70"/>
                      <w:shd w:val="clear" w:color="auto" w:fill="003060"/>
                      <w:rPr>
                        <w:rFonts w:ascii="Tahoma" w:hAnsi="Tahoma" w:cs="Tahoma"/>
                        <w:b/>
                        <w:bCs/>
                        <w:sz w:val="20"/>
                        <w:szCs w:val="20"/>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6F017B" w:rsidR="006F017B">
                      <w:rPr>
                        <w:rFonts w:ascii="Tahoma" w:hAnsi="Tahoma" w:cs="Tahoma"/>
                        <w:b/>
                        <w:bCs/>
                        <w:sz w:val="20"/>
                        <w:szCs w:val="20"/>
                        <w:rtl/>
                      </w:rPr>
                      <w:t>ההיערכות להגנה על מתקנים חיוניים מפני טילים, רקטות ואיומים אוויריים נוספים - ביקורת מעקב</w:t>
                    </w:r>
                  </w:p>
                </w:txbxContent>
              </v:textbox>
              <w10:wrap type="square"/>
            </v:shape>
          </w:pict>
        </mc:Fallback>
      </mc:AlternateContent>
    </w:r>
    <w:r>
      <w:rPr>
        <w:noProof/>
        <w:rtl/>
        <w:lang w:val="he-IL"/>
      </w:rPr>
      <mc:AlternateContent>
        <mc:Choice Requires="wps">
          <w:drawing>
            <wp:anchor distT="0" distB="0" distL="114300" distR="114300" simplePos="0" relativeHeight="251701248"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4456251"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RDefault="001B01E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6"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14208" filled="f" strokecolor="#a5a5a5" strokeweight="0.25pt">
              <v:stroke dashstyle="longDash"/>
              <v:textbox>
                <w:txbxContent>
                  <w:p w:rsidR="001B01E1" w:rsidRPr="00FD02CC" w:rsidP="006E67D8" w14:paraId="0A7A3FFC"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p>
  <w:p w:rsidR="001B01E1" w:rsidRDefault="001B01E1" w:rsidP="001526AC">
    <w:pPr>
      <w:pStyle w:val="a4"/>
      <w:tabs>
        <w:tab w:val="clear" w:pos="4153"/>
        <w:tab w:val="clear" w:pos="8306"/>
        <w:tab w:val="left" w:pos="493"/>
        <w:tab w:val="center" w:pos="4111"/>
        <w:tab w:val="right" w:pos="7478"/>
        <w:tab w:val="right" w:pos="8222"/>
      </w:tabs>
      <w:jc w:val="left"/>
      <w:rPr>
        <w:rtl/>
      </w:rPr>
    </w:pPr>
  </w:p>
  <w:p w:rsidR="001B01E1" w:rsidRPr="001526AC" w:rsidRDefault="00A8413A"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94080" behindDoc="0" locked="0" layoutInCell="1" allowOverlap="1">
              <wp:simplePos x="0" y="0"/>
              <wp:positionH relativeFrom="column">
                <wp:posOffset>271780</wp:posOffset>
              </wp:positionH>
              <wp:positionV relativeFrom="paragraph">
                <wp:posOffset>371043</wp:posOffset>
              </wp:positionV>
              <wp:extent cx="4459740" cy="230302"/>
              <wp:effectExtent l="0" t="0" r="10795" b="11430"/>
              <wp:wrapNone/>
              <wp:docPr id="87213894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30302"/>
                      </a:xfrm>
                      <a:prstGeom prst="rect">
                        <a:avLst/>
                      </a:prstGeom>
                      <a:solidFill>
                        <a:srgbClr val="FFFFFF"/>
                      </a:solidFill>
                      <a:ln w="9525">
                        <a:solidFill>
                          <a:schemeClr val="bg1"/>
                        </a:solidFill>
                        <a:miter lim="800000"/>
                        <a:headEnd/>
                        <a:tailEnd/>
                      </a:ln>
                    </wps:spPr>
                    <wps:txbx>
                      <w:txbxContent>
                        <w:p w:rsidR="001B01E1" w:rsidRPr="00326298" w:rsidRDefault="00A8413A" w:rsidP="00B244B0">
                          <w:pPr>
                            <w:jc w:val="right"/>
                            <w:rPr>
                              <w:color w:val="0D0D0D" w:themeColor="text1" w:themeTint="F2"/>
                              <w:sz w:val="16"/>
                              <w:szCs w:val="16"/>
                            </w:rPr>
                          </w:pPr>
                          <w:r w:rsidRPr="00DD7848">
                            <w:rPr>
                              <w:rFonts w:ascii="Tahoma" w:hAnsi="Tahoma" w:cs="Tahoma"/>
                              <w:color w:val="0D0D0D"/>
                              <w:sz w:val="16"/>
                              <w:szCs w:val="16"/>
                              <w:rtl/>
                            </w:rPr>
                            <w:t xml:space="preserve">דוח מבקר המדינה | כסלו </w:t>
                          </w:r>
                          <w:proofErr w:type="spellStart"/>
                          <w:r w:rsidRPr="00DD7848">
                            <w:rPr>
                              <w:rFonts w:ascii="Tahoma" w:hAnsi="Tahoma" w:cs="Tahoma"/>
                              <w:color w:val="0D0D0D"/>
                              <w:sz w:val="16"/>
                              <w:szCs w:val="16"/>
                              <w:rtl/>
                            </w:rPr>
                            <w:t>התשפ"ו</w:t>
                          </w:r>
                          <w:proofErr w:type="spellEnd"/>
                          <w:r w:rsidRPr="00DD7848">
                            <w:rPr>
                              <w:rFonts w:ascii="Tahoma" w:hAnsi="Tahoma" w:cs="Tahoma"/>
                              <w:color w:val="0D0D0D"/>
                              <w:sz w:val="16"/>
                              <w:szCs w:val="16"/>
                              <w:rtl/>
                            </w:rPr>
                            <w:t xml:space="preserve"> | דצמבר 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7" type="#_x0000_t202" alt="&quot;&quot;" style="width:351.15pt;height:18.15pt;margin-top:29.2pt;margin-left:21.4pt;mso-height-percent:0;mso-height-relative:margin;mso-width-percent:0;mso-width-relative:margin;mso-wrap-distance-bottom:3.6pt;mso-wrap-distance-left:9pt;mso-wrap-distance-right:9pt;mso-wrap-distance-top:3.6pt;mso-wrap-style:square;position:absolute;visibility:visible;v-text-anchor:top;z-index:251695104" strokecolor="white">
              <v:textbox>
                <w:txbxContent>
                  <w:p w:rsidR="001B01E1" w:rsidRPr="00326298" w:rsidP="00B244B0" w14:paraId="2FB0F382" w14:textId="3273B095">
                    <w:pPr>
                      <w:jc w:val="right"/>
                      <w:rPr>
                        <w:color w:val="0D0D0D" w:themeColor="text1" w:themeTint="F2"/>
                        <w:sz w:val="16"/>
                        <w:szCs w:val="16"/>
                      </w:rPr>
                    </w:pPr>
                    <w:r w:rsidRPr="00DD7848">
                      <w:rPr>
                        <w:rFonts w:ascii="Tahoma" w:hAnsi="Tahoma" w:cs="Tahoma"/>
                        <w:color w:val="0D0D0D"/>
                        <w:sz w:val="16"/>
                        <w:szCs w:val="16"/>
                        <w:rtl/>
                      </w:rPr>
                      <w:t>דוח מבקר המדינה | כסלו התשפ"ו | דצמבר 2025</w:t>
                    </w:r>
                  </w:p>
                </w:txbxContent>
              </v:textbox>
            </v:shape>
          </w:pict>
        </mc:Fallback>
      </mc:AlternateContent>
    </w:r>
    <w:r>
      <w:rPr>
        <w:rFonts w:ascii="Tahoma" w:hAnsi="Tahoma" w:cs="Tahoma"/>
        <w:noProof/>
        <w:sz w:val="22"/>
        <w:szCs w:val="22"/>
        <w:rtl/>
        <w:lang w:val="he-IL"/>
      </w:rPr>
      <w:drawing>
        <wp:anchor distT="0" distB="0" distL="114300" distR="114300" simplePos="0" relativeHeight="25170022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879415136"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415136" name="Picture 9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612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1250807795"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8" style="flip:x;mso-height-percent:0;mso-height-relative:margin;mso-width-percent:0;mso-width-relative:margin;mso-wrap-distance-bottom:0;mso-wrap-distance-left:9pt;mso-wrap-distance-right:9pt;mso-wrap-distance-top:0;mso-wrap-style:square;position:absolute;visibility:visible;z-index:251697152"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54509"/>
    <w:multiLevelType w:val="multilevel"/>
    <w:tmpl w:val="3030E6FC"/>
    <w:lvl w:ilvl="0">
      <w:start w:val="1"/>
      <w:numFmt w:val="decimal"/>
      <w:pStyle w:val="73"/>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 w15:restartNumberingAfterBreak="0">
    <w:nsid w:val="0DDA1A01"/>
    <w:multiLevelType w:val="hybridMultilevel"/>
    <w:tmpl w:val="CD76C6BE"/>
    <w:lvl w:ilvl="0" w:tplc="6E148004">
      <w:start w:val="1"/>
      <w:numFmt w:val="bullet"/>
      <w:pStyle w:val="73BULLETS"/>
      <w:lvlText w:val=""/>
      <w:lvlJc w:val="left"/>
      <w:pPr>
        <w:ind w:left="720" w:hanging="360"/>
      </w:pPr>
      <w:rPr>
        <w:rFonts w:ascii="Symbol" w:hAnsi="Symbol" w:hint="default"/>
      </w:rPr>
    </w:lvl>
    <w:lvl w:ilvl="1" w:tplc="96D293FC" w:tentative="1">
      <w:start w:val="1"/>
      <w:numFmt w:val="bullet"/>
      <w:lvlText w:val="o"/>
      <w:lvlJc w:val="left"/>
      <w:pPr>
        <w:ind w:left="1440" w:hanging="360"/>
      </w:pPr>
      <w:rPr>
        <w:rFonts w:ascii="Courier New" w:hAnsi="Courier New" w:cs="Courier New" w:hint="default"/>
      </w:rPr>
    </w:lvl>
    <w:lvl w:ilvl="2" w:tplc="A4049560" w:tentative="1">
      <w:start w:val="1"/>
      <w:numFmt w:val="bullet"/>
      <w:lvlText w:val=""/>
      <w:lvlJc w:val="left"/>
      <w:pPr>
        <w:ind w:left="2160" w:hanging="360"/>
      </w:pPr>
      <w:rPr>
        <w:rFonts w:ascii="Wingdings" w:hAnsi="Wingdings" w:hint="default"/>
      </w:rPr>
    </w:lvl>
    <w:lvl w:ilvl="3" w:tplc="0F1643D0" w:tentative="1">
      <w:start w:val="1"/>
      <w:numFmt w:val="bullet"/>
      <w:lvlText w:val=""/>
      <w:lvlJc w:val="left"/>
      <w:pPr>
        <w:ind w:left="2880" w:hanging="360"/>
      </w:pPr>
      <w:rPr>
        <w:rFonts w:ascii="Symbol" w:hAnsi="Symbol" w:hint="default"/>
      </w:rPr>
    </w:lvl>
    <w:lvl w:ilvl="4" w:tplc="DD06D1E8" w:tentative="1">
      <w:start w:val="1"/>
      <w:numFmt w:val="bullet"/>
      <w:lvlText w:val="o"/>
      <w:lvlJc w:val="left"/>
      <w:pPr>
        <w:ind w:left="3600" w:hanging="360"/>
      </w:pPr>
      <w:rPr>
        <w:rFonts w:ascii="Courier New" w:hAnsi="Courier New" w:cs="Courier New" w:hint="default"/>
      </w:rPr>
    </w:lvl>
    <w:lvl w:ilvl="5" w:tplc="6E8EB3A0" w:tentative="1">
      <w:start w:val="1"/>
      <w:numFmt w:val="bullet"/>
      <w:lvlText w:val=""/>
      <w:lvlJc w:val="left"/>
      <w:pPr>
        <w:ind w:left="4320" w:hanging="360"/>
      </w:pPr>
      <w:rPr>
        <w:rFonts w:ascii="Wingdings" w:hAnsi="Wingdings" w:hint="default"/>
      </w:rPr>
    </w:lvl>
    <w:lvl w:ilvl="6" w:tplc="84368B64" w:tentative="1">
      <w:start w:val="1"/>
      <w:numFmt w:val="bullet"/>
      <w:lvlText w:val=""/>
      <w:lvlJc w:val="left"/>
      <w:pPr>
        <w:ind w:left="5040" w:hanging="360"/>
      </w:pPr>
      <w:rPr>
        <w:rFonts w:ascii="Symbol" w:hAnsi="Symbol" w:hint="default"/>
      </w:rPr>
    </w:lvl>
    <w:lvl w:ilvl="7" w:tplc="EAC8A892" w:tentative="1">
      <w:start w:val="1"/>
      <w:numFmt w:val="bullet"/>
      <w:lvlText w:val="o"/>
      <w:lvlJc w:val="left"/>
      <w:pPr>
        <w:ind w:left="5760" w:hanging="360"/>
      </w:pPr>
      <w:rPr>
        <w:rFonts w:ascii="Courier New" w:hAnsi="Courier New" w:cs="Courier New" w:hint="default"/>
      </w:rPr>
    </w:lvl>
    <w:lvl w:ilvl="8" w:tplc="631A79C2" w:tentative="1">
      <w:start w:val="1"/>
      <w:numFmt w:val="bullet"/>
      <w:lvlText w:val=""/>
      <w:lvlJc w:val="left"/>
      <w:pPr>
        <w:ind w:left="6480" w:hanging="360"/>
      </w:pPr>
      <w:rPr>
        <w:rFonts w:ascii="Wingdings" w:hAnsi="Wingdings" w:hint="default"/>
      </w:rPr>
    </w:lvl>
  </w:abstractNum>
  <w:abstractNum w:abstractNumId="2"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3"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3C960FE7"/>
    <w:multiLevelType w:val="hybridMultilevel"/>
    <w:tmpl w:val="9E20A0C8"/>
    <w:lvl w:ilvl="0" w:tplc="339A0F7E">
      <w:start w:val="1"/>
      <w:numFmt w:val="decimal"/>
      <w:lvlText w:val="%1."/>
      <w:lvlJc w:val="left"/>
      <w:pPr>
        <w:ind w:left="794" w:hanging="397"/>
      </w:pPr>
      <w:rPr>
        <w:rFonts w:hint="default"/>
        <w:b w:val="0"/>
        <w:bCs/>
      </w:rPr>
    </w:lvl>
    <w:lvl w:ilvl="1" w:tplc="DA187012" w:tentative="1">
      <w:start w:val="1"/>
      <w:numFmt w:val="lowerLetter"/>
      <w:lvlText w:val="%2."/>
      <w:lvlJc w:val="left"/>
      <w:pPr>
        <w:ind w:left="1695" w:hanging="360"/>
      </w:pPr>
    </w:lvl>
    <w:lvl w:ilvl="2" w:tplc="C9F0AB8E" w:tentative="1">
      <w:start w:val="1"/>
      <w:numFmt w:val="lowerRoman"/>
      <w:lvlText w:val="%3."/>
      <w:lvlJc w:val="right"/>
      <w:pPr>
        <w:ind w:left="2415" w:hanging="180"/>
      </w:pPr>
    </w:lvl>
    <w:lvl w:ilvl="3" w:tplc="17C6558E" w:tentative="1">
      <w:start w:val="1"/>
      <w:numFmt w:val="decimal"/>
      <w:lvlText w:val="%4."/>
      <w:lvlJc w:val="left"/>
      <w:pPr>
        <w:ind w:left="3135" w:hanging="360"/>
      </w:pPr>
    </w:lvl>
    <w:lvl w:ilvl="4" w:tplc="856C0088" w:tentative="1">
      <w:start w:val="1"/>
      <w:numFmt w:val="lowerLetter"/>
      <w:lvlText w:val="%5."/>
      <w:lvlJc w:val="left"/>
      <w:pPr>
        <w:ind w:left="3855" w:hanging="360"/>
      </w:pPr>
    </w:lvl>
    <w:lvl w:ilvl="5" w:tplc="CDE44C00" w:tentative="1">
      <w:start w:val="1"/>
      <w:numFmt w:val="lowerRoman"/>
      <w:lvlText w:val="%6."/>
      <w:lvlJc w:val="right"/>
      <w:pPr>
        <w:ind w:left="4575" w:hanging="180"/>
      </w:pPr>
    </w:lvl>
    <w:lvl w:ilvl="6" w:tplc="F0464BAE" w:tentative="1">
      <w:start w:val="1"/>
      <w:numFmt w:val="decimal"/>
      <w:lvlText w:val="%7."/>
      <w:lvlJc w:val="left"/>
      <w:pPr>
        <w:ind w:left="5295" w:hanging="360"/>
      </w:pPr>
    </w:lvl>
    <w:lvl w:ilvl="7" w:tplc="E65C0A76" w:tentative="1">
      <w:start w:val="1"/>
      <w:numFmt w:val="lowerLetter"/>
      <w:lvlText w:val="%8."/>
      <w:lvlJc w:val="left"/>
      <w:pPr>
        <w:ind w:left="6015" w:hanging="360"/>
      </w:pPr>
    </w:lvl>
    <w:lvl w:ilvl="8" w:tplc="C2165F2A" w:tentative="1">
      <w:start w:val="1"/>
      <w:numFmt w:val="lowerRoman"/>
      <w:lvlText w:val="%9."/>
      <w:lvlJc w:val="right"/>
      <w:pPr>
        <w:ind w:left="6735" w:hanging="180"/>
      </w:pPr>
    </w:lvl>
  </w:abstractNum>
  <w:abstractNum w:abstractNumId="5" w15:restartNumberingAfterBreak="0">
    <w:nsid w:val="459C2999"/>
    <w:multiLevelType w:val="multilevel"/>
    <w:tmpl w:val="065C52B0"/>
    <w:lvl w:ilvl="0">
      <w:start w:val="1"/>
      <w:numFmt w:val="hebrew1"/>
      <w:pStyle w:val="730"/>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6"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7" w15:restartNumberingAfterBreak="0">
    <w:nsid w:val="5D7F29F7"/>
    <w:multiLevelType w:val="hybridMultilevel"/>
    <w:tmpl w:val="ABFC5A12"/>
    <w:lvl w:ilvl="0" w:tplc="95349A4C">
      <w:start w:val="1"/>
      <w:numFmt w:val="hebrew1"/>
      <w:pStyle w:val="7"/>
      <w:lvlText w:val="%1."/>
      <w:lvlJc w:val="left"/>
      <w:pPr>
        <w:ind w:left="794" w:hanging="397"/>
      </w:pPr>
      <w:rPr>
        <w:rFonts w:hint="default"/>
      </w:rPr>
    </w:lvl>
    <w:lvl w:ilvl="1" w:tplc="C9C04CD2" w:tentative="1">
      <w:start w:val="1"/>
      <w:numFmt w:val="lowerLetter"/>
      <w:lvlText w:val="%2."/>
      <w:lvlJc w:val="left"/>
      <w:pPr>
        <w:ind w:left="1440" w:hanging="360"/>
      </w:pPr>
    </w:lvl>
    <w:lvl w:ilvl="2" w:tplc="AC34C68E" w:tentative="1">
      <w:start w:val="1"/>
      <w:numFmt w:val="lowerRoman"/>
      <w:lvlText w:val="%3."/>
      <w:lvlJc w:val="right"/>
      <w:pPr>
        <w:ind w:left="2160" w:hanging="180"/>
      </w:pPr>
    </w:lvl>
    <w:lvl w:ilvl="3" w:tplc="F1ACFCCC" w:tentative="1">
      <w:start w:val="1"/>
      <w:numFmt w:val="decimal"/>
      <w:lvlText w:val="%4."/>
      <w:lvlJc w:val="left"/>
      <w:pPr>
        <w:ind w:left="2880" w:hanging="360"/>
      </w:pPr>
    </w:lvl>
    <w:lvl w:ilvl="4" w:tplc="B060CEF4" w:tentative="1">
      <w:start w:val="1"/>
      <w:numFmt w:val="lowerLetter"/>
      <w:lvlText w:val="%5."/>
      <w:lvlJc w:val="left"/>
      <w:pPr>
        <w:ind w:left="3600" w:hanging="360"/>
      </w:pPr>
    </w:lvl>
    <w:lvl w:ilvl="5" w:tplc="E752C692" w:tentative="1">
      <w:start w:val="1"/>
      <w:numFmt w:val="lowerRoman"/>
      <w:lvlText w:val="%6."/>
      <w:lvlJc w:val="right"/>
      <w:pPr>
        <w:ind w:left="4320" w:hanging="180"/>
      </w:pPr>
    </w:lvl>
    <w:lvl w:ilvl="6" w:tplc="445E1DD8" w:tentative="1">
      <w:start w:val="1"/>
      <w:numFmt w:val="decimal"/>
      <w:lvlText w:val="%7."/>
      <w:lvlJc w:val="left"/>
      <w:pPr>
        <w:ind w:left="5040" w:hanging="360"/>
      </w:pPr>
    </w:lvl>
    <w:lvl w:ilvl="7" w:tplc="5492F5AE" w:tentative="1">
      <w:start w:val="1"/>
      <w:numFmt w:val="lowerLetter"/>
      <w:lvlText w:val="%8."/>
      <w:lvlJc w:val="left"/>
      <w:pPr>
        <w:ind w:left="5760" w:hanging="360"/>
      </w:pPr>
    </w:lvl>
    <w:lvl w:ilvl="8" w:tplc="C2AE0DC2" w:tentative="1">
      <w:start w:val="1"/>
      <w:numFmt w:val="lowerRoman"/>
      <w:lvlText w:val="%9."/>
      <w:lvlJc w:val="right"/>
      <w:pPr>
        <w:ind w:left="6480" w:hanging="180"/>
      </w:pPr>
    </w:lvl>
  </w:abstractNum>
  <w:abstractNum w:abstractNumId="8" w15:restartNumberingAfterBreak="0">
    <w:nsid w:val="5F4F2032"/>
    <w:multiLevelType w:val="hybridMultilevel"/>
    <w:tmpl w:val="F4AAD3BE"/>
    <w:lvl w:ilvl="0" w:tplc="B1A0E0A4">
      <w:start w:val="1"/>
      <w:numFmt w:val="bullet"/>
      <w:lvlText w:val=""/>
      <w:lvlJc w:val="left"/>
      <w:pPr>
        <w:ind w:left="1191" w:hanging="397"/>
      </w:pPr>
      <w:rPr>
        <w:rFonts w:ascii="Symbol" w:hAnsi="Symbol" w:cs="Symbol" w:hint="default"/>
        <w:b/>
        <w:i w:val="0"/>
        <w:caps w:val="0"/>
        <w:strike w:val="0"/>
        <w:dstrike w:val="0"/>
        <w:vanish w:val="0"/>
        <w:color w:val="FF0000"/>
        <w:sz w:val="24"/>
        <w:szCs w:val="24"/>
        <w:vertAlign w:val="baseline"/>
      </w:rPr>
    </w:lvl>
    <w:lvl w:ilvl="1" w:tplc="8434314C" w:tentative="1">
      <w:start w:val="1"/>
      <w:numFmt w:val="bullet"/>
      <w:lvlText w:val="o"/>
      <w:lvlJc w:val="left"/>
      <w:pPr>
        <w:ind w:left="1786" w:hanging="360"/>
      </w:pPr>
      <w:rPr>
        <w:rFonts w:ascii="Courier New" w:hAnsi="Courier New" w:cs="Courier New" w:hint="default"/>
      </w:rPr>
    </w:lvl>
    <w:lvl w:ilvl="2" w:tplc="7BBC6C14" w:tentative="1">
      <w:start w:val="1"/>
      <w:numFmt w:val="bullet"/>
      <w:lvlText w:val=""/>
      <w:lvlJc w:val="left"/>
      <w:pPr>
        <w:ind w:left="2506" w:hanging="360"/>
      </w:pPr>
      <w:rPr>
        <w:rFonts w:ascii="Wingdings" w:hAnsi="Wingdings" w:hint="default"/>
      </w:rPr>
    </w:lvl>
    <w:lvl w:ilvl="3" w:tplc="9B242734" w:tentative="1">
      <w:start w:val="1"/>
      <w:numFmt w:val="bullet"/>
      <w:lvlText w:val=""/>
      <w:lvlJc w:val="left"/>
      <w:pPr>
        <w:ind w:left="3226" w:hanging="360"/>
      </w:pPr>
      <w:rPr>
        <w:rFonts w:ascii="Symbol" w:hAnsi="Symbol" w:hint="default"/>
      </w:rPr>
    </w:lvl>
    <w:lvl w:ilvl="4" w:tplc="6314829C" w:tentative="1">
      <w:start w:val="1"/>
      <w:numFmt w:val="bullet"/>
      <w:lvlText w:val="o"/>
      <w:lvlJc w:val="left"/>
      <w:pPr>
        <w:ind w:left="3946" w:hanging="360"/>
      </w:pPr>
      <w:rPr>
        <w:rFonts w:ascii="Courier New" w:hAnsi="Courier New" w:cs="Courier New" w:hint="default"/>
      </w:rPr>
    </w:lvl>
    <w:lvl w:ilvl="5" w:tplc="0E84244A" w:tentative="1">
      <w:start w:val="1"/>
      <w:numFmt w:val="bullet"/>
      <w:lvlText w:val=""/>
      <w:lvlJc w:val="left"/>
      <w:pPr>
        <w:ind w:left="4666" w:hanging="360"/>
      </w:pPr>
      <w:rPr>
        <w:rFonts w:ascii="Wingdings" w:hAnsi="Wingdings" w:hint="default"/>
      </w:rPr>
    </w:lvl>
    <w:lvl w:ilvl="6" w:tplc="8D9ACF0E" w:tentative="1">
      <w:start w:val="1"/>
      <w:numFmt w:val="bullet"/>
      <w:lvlText w:val=""/>
      <w:lvlJc w:val="left"/>
      <w:pPr>
        <w:ind w:left="5386" w:hanging="360"/>
      </w:pPr>
      <w:rPr>
        <w:rFonts w:ascii="Symbol" w:hAnsi="Symbol" w:hint="default"/>
      </w:rPr>
    </w:lvl>
    <w:lvl w:ilvl="7" w:tplc="EB2E0354" w:tentative="1">
      <w:start w:val="1"/>
      <w:numFmt w:val="bullet"/>
      <w:lvlText w:val="o"/>
      <w:lvlJc w:val="left"/>
      <w:pPr>
        <w:ind w:left="6106" w:hanging="360"/>
      </w:pPr>
      <w:rPr>
        <w:rFonts w:ascii="Courier New" w:hAnsi="Courier New" w:cs="Courier New" w:hint="default"/>
      </w:rPr>
    </w:lvl>
    <w:lvl w:ilvl="8" w:tplc="F64695C6" w:tentative="1">
      <w:start w:val="1"/>
      <w:numFmt w:val="bullet"/>
      <w:lvlText w:val=""/>
      <w:lvlJc w:val="left"/>
      <w:pPr>
        <w:ind w:left="6826" w:hanging="360"/>
      </w:pPr>
      <w:rPr>
        <w:rFonts w:ascii="Wingdings" w:hAnsi="Wingdings" w:hint="default"/>
      </w:rPr>
    </w:lvl>
  </w:abstractNum>
  <w:abstractNum w:abstractNumId="9" w15:restartNumberingAfterBreak="0">
    <w:nsid w:val="5F743717"/>
    <w:multiLevelType w:val="multilevel"/>
    <w:tmpl w:val="54B40DD4"/>
    <w:lvl w:ilvl="0">
      <w:start w:val="1"/>
      <w:numFmt w:val="decimal"/>
      <w:pStyle w:val="a"/>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10" w15:restartNumberingAfterBreak="0">
    <w:nsid w:val="618A3438"/>
    <w:multiLevelType w:val="hybridMultilevel"/>
    <w:tmpl w:val="CEDED46A"/>
    <w:lvl w:ilvl="0" w:tplc="B3623BE8">
      <w:start w:val="1"/>
      <w:numFmt w:val="decimal"/>
      <w:lvlText w:val="%1."/>
      <w:lvlJc w:val="left"/>
      <w:pPr>
        <w:ind w:left="794" w:hanging="397"/>
      </w:pPr>
      <w:rPr>
        <w:rFonts w:hint="default"/>
      </w:rPr>
    </w:lvl>
    <w:lvl w:ilvl="1" w:tplc="BC62867C" w:tentative="1">
      <w:start w:val="1"/>
      <w:numFmt w:val="lowerLetter"/>
      <w:lvlText w:val="%2."/>
      <w:lvlJc w:val="left"/>
      <w:pPr>
        <w:ind w:left="1695" w:hanging="360"/>
      </w:pPr>
    </w:lvl>
    <w:lvl w:ilvl="2" w:tplc="BAD86A5E" w:tentative="1">
      <w:start w:val="1"/>
      <w:numFmt w:val="lowerRoman"/>
      <w:lvlText w:val="%3."/>
      <w:lvlJc w:val="right"/>
      <w:pPr>
        <w:ind w:left="2415" w:hanging="180"/>
      </w:pPr>
    </w:lvl>
    <w:lvl w:ilvl="3" w:tplc="20303434" w:tentative="1">
      <w:start w:val="1"/>
      <w:numFmt w:val="decimal"/>
      <w:lvlText w:val="%4."/>
      <w:lvlJc w:val="left"/>
      <w:pPr>
        <w:ind w:left="3135" w:hanging="360"/>
      </w:pPr>
    </w:lvl>
    <w:lvl w:ilvl="4" w:tplc="31423DEA" w:tentative="1">
      <w:start w:val="1"/>
      <w:numFmt w:val="lowerLetter"/>
      <w:lvlText w:val="%5."/>
      <w:lvlJc w:val="left"/>
      <w:pPr>
        <w:ind w:left="3855" w:hanging="360"/>
      </w:pPr>
    </w:lvl>
    <w:lvl w:ilvl="5" w:tplc="B2B433C6" w:tentative="1">
      <w:start w:val="1"/>
      <w:numFmt w:val="lowerRoman"/>
      <w:lvlText w:val="%6."/>
      <w:lvlJc w:val="right"/>
      <w:pPr>
        <w:ind w:left="4575" w:hanging="180"/>
      </w:pPr>
    </w:lvl>
    <w:lvl w:ilvl="6" w:tplc="81CCDB34" w:tentative="1">
      <w:start w:val="1"/>
      <w:numFmt w:val="decimal"/>
      <w:lvlText w:val="%7."/>
      <w:lvlJc w:val="left"/>
      <w:pPr>
        <w:ind w:left="5295" w:hanging="360"/>
      </w:pPr>
    </w:lvl>
    <w:lvl w:ilvl="7" w:tplc="D29434FC" w:tentative="1">
      <w:start w:val="1"/>
      <w:numFmt w:val="lowerLetter"/>
      <w:lvlText w:val="%8."/>
      <w:lvlJc w:val="left"/>
      <w:pPr>
        <w:ind w:left="6015" w:hanging="360"/>
      </w:pPr>
    </w:lvl>
    <w:lvl w:ilvl="8" w:tplc="07242D1E" w:tentative="1">
      <w:start w:val="1"/>
      <w:numFmt w:val="lowerRoman"/>
      <w:lvlText w:val="%9."/>
      <w:lvlJc w:val="right"/>
      <w:pPr>
        <w:ind w:left="6735" w:hanging="180"/>
      </w:pPr>
    </w:lvl>
  </w:abstractNum>
  <w:abstractNum w:abstractNumId="11" w15:restartNumberingAfterBreak="0">
    <w:nsid w:val="6BB54DDB"/>
    <w:multiLevelType w:val="hybridMultilevel"/>
    <w:tmpl w:val="4E988EEC"/>
    <w:lvl w:ilvl="0" w:tplc="6CE63674">
      <w:start w:val="1"/>
      <w:numFmt w:val="bullet"/>
      <w:lvlText w:val=""/>
      <w:lvlJc w:val="left"/>
      <w:pPr>
        <w:ind w:left="794" w:hanging="397"/>
      </w:pPr>
      <w:rPr>
        <w:rFonts w:ascii="Symbol" w:hAnsi="Symbol" w:cs="Symbol" w:hint="default"/>
        <w:b/>
        <w:i w:val="0"/>
        <w:caps w:val="0"/>
        <w:strike w:val="0"/>
        <w:dstrike w:val="0"/>
        <w:vanish w:val="0"/>
        <w:color w:val="FF0000"/>
        <w:sz w:val="24"/>
        <w:szCs w:val="24"/>
        <w:vertAlign w:val="baseline"/>
      </w:rPr>
    </w:lvl>
    <w:lvl w:ilvl="1" w:tplc="78387CD4" w:tentative="1">
      <w:start w:val="1"/>
      <w:numFmt w:val="bullet"/>
      <w:lvlText w:val="o"/>
      <w:lvlJc w:val="left"/>
      <w:pPr>
        <w:ind w:left="1860" w:hanging="360"/>
      </w:pPr>
      <w:rPr>
        <w:rFonts w:ascii="Courier New" w:hAnsi="Courier New" w:cs="Courier New" w:hint="default"/>
      </w:rPr>
    </w:lvl>
    <w:lvl w:ilvl="2" w:tplc="73366978" w:tentative="1">
      <w:start w:val="1"/>
      <w:numFmt w:val="bullet"/>
      <w:lvlText w:val=""/>
      <w:lvlJc w:val="left"/>
      <w:pPr>
        <w:ind w:left="2580" w:hanging="360"/>
      </w:pPr>
      <w:rPr>
        <w:rFonts w:ascii="Wingdings" w:hAnsi="Wingdings" w:hint="default"/>
      </w:rPr>
    </w:lvl>
    <w:lvl w:ilvl="3" w:tplc="A9F0E062" w:tentative="1">
      <w:start w:val="1"/>
      <w:numFmt w:val="bullet"/>
      <w:lvlText w:val=""/>
      <w:lvlJc w:val="left"/>
      <w:pPr>
        <w:ind w:left="3300" w:hanging="360"/>
      </w:pPr>
      <w:rPr>
        <w:rFonts w:ascii="Symbol" w:hAnsi="Symbol" w:hint="default"/>
      </w:rPr>
    </w:lvl>
    <w:lvl w:ilvl="4" w:tplc="AF42EB88" w:tentative="1">
      <w:start w:val="1"/>
      <w:numFmt w:val="bullet"/>
      <w:lvlText w:val="o"/>
      <w:lvlJc w:val="left"/>
      <w:pPr>
        <w:ind w:left="4020" w:hanging="360"/>
      </w:pPr>
      <w:rPr>
        <w:rFonts w:ascii="Courier New" w:hAnsi="Courier New" w:cs="Courier New" w:hint="default"/>
      </w:rPr>
    </w:lvl>
    <w:lvl w:ilvl="5" w:tplc="45F2AF04" w:tentative="1">
      <w:start w:val="1"/>
      <w:numFmt w:val="bullet"/>
      <w:lvlText w:val=""/>
      <w:lvlJc w:val="left"/>
      <w:pPr>
        <w:ind w:left="4740" w:hanging="360"/>
      </w:pPr>
      <w:rPr>
        <w:rFonts w:ascii="Wingdings" w:hAnsi="Wingdings" w:hint="default"/>
      </w:rPr>
    </w:lvl>
    <w:lvl w:ilvl="6" w:tplc="9CACEF16" w:tentative="1">
      <w:start w:val="1"/>
      <w:numFmt w:val="bullet"/>
      <w:lvlText w:val=""/>
      <w:lvlJc w:val="left"/>
      <w:pPr>
        <w:ind w:left="5460" w:hanging="360"/>
      </w:pPr>
      <w:rPr>
        <w:rFonts w:ascii="Symbol" w:hAnsi="Symbol" w:hint="default"/>
      </w:rPr>
    </w:lvl>
    <w:lvl w:ilvl="7" w:tplc="9FB6A324" w:tentative="1">
      <w:start w:val="1"/>
      <w:numFmt w:val="bullet"/>
      <w:lvlText w:val="o"/>
      <w:lvlJc w:val="left"/>
      <w:pPr>
        <w:ind w:left="6180" w:hanging="360"/>
      </w:pPr>
      <w:rPr>
        <w:rFonts w:ascii="Courier New" w:hAnsi="Courier New" w:cs="Courier New" w:hint="default"/>
      </w:rPr>
    </w:lvl>
    <w:lvl w:ilvl="8" w:tplc="0C64A73A" w:tentative="1">
      <w:start w:val="1"/>
      <w:numFmt w:val="bullet"/>
      <w:lvlText w:val=""/>
      <w:lvlJc w:val="left"/>
      <w:pPr>
        <w:ind w:left="6900" w:hanging="360"/>
      </w:pPr>
      <w:rPr>
        <w:rFonts w:ascii="Wingdings" w:hAnsi="Wingdings" w:hint="default"/>
      </w:rPr>
    </w:lvl>
  </w:abstractNum>
  <w:abstractNum w:abstractNumId="12" w15:restartNumberingAfterBreak="0">
    <w:nsid w:val="7D365B29"/>
    <w:multiLevelType w:val="multilevel"/>
    <w:tmpl w:val="E3AA6D54"/>
    <w:lvl w:ilvl="0">
      <w:start w:val="1"/>
      <w:numFmt w:val="hebrew1"/>
      <w:pStyle w:val="731"/>
      <w:lvlText w:val="%1."/>
      <w:lvlJc w:val="left"/>
      <w:pPr>
        <w:ind w:left="663" w:hanging="340"/>
      </w:pPr>
      <w:rPr>
        <w:rFonts w:ascii="Tahoma" w:eastAsiaTheme="minorHAnsi" w:hAnsi="Tahoma"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6"/>
  </w:num>
  <w:num w:numId="2">
    <w:abstractNumId w:val="2"/>
  </w:num>
  <w:num w:numId="3">
    <w:abstractNumId w:val="3"/>
  </w:num>
  <w:num w:numId="4">
    <w:abstractNumId w:val="12"/>
  </w:num>
  <w:num w:numId="5">
    <w:abstractNumId w:val="0"/>
  </w:num>
  <w:num w:numId="6">
    <w:abstractNumId w:val="5"/>
  </w:num>
  <w:num w:numId="7">
    <w:abstractNumId w:val="9"/>
  </w:num>
  <w:num w:numId="8">
    <w:abstractNumId w:val="1"/>
  </w:num>
  <w:num w:numId="9">
    <w:abstractNumId w:val="7"/>
  </w:num>
  <w:num w:numId="10">
    <w:abstractNumId w:val="10"/>
  </w:num>
  <w:num w:numId="11">
    <w:abstractNumId w:val="8"/>
  </w:num>
  <w:num w:numId="12">
    <w:abstractNumId w:val="11"/>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gutterAtTop/>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284"/>
  <w:autoHyphenation/>
  <w:evenAndOddHeaders/>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tnwarning" w:val="1"/>
    <w:docVar w:name="sivug" w:val="1"/>
    <w:docVar w:name="space" w:val="1.3"/>
  </w:docVars>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3E84"/>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2D5"/>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02"/>
    <w:rsid w:val="000824F8"/>
    <w:rsid w:val="0008345D"/>
    <w:rsid w:val="00083692"/>
    <w:rsid w:val="000837F2"/>
    <w:rsid w:val="00083FD0"/>
    <w:rsid w:val="00084E3A"/>
    <w:rsid w:val="00085086"/>
    <w:rsid w:val="00085786"/>
    <w:rsid w:val="00085A22"/>
    <w:rsid w:val="00085B99"/>
    <w:rsid w:val="0008625B"/>
    <w:rsid w:val="00086738"/>
    <w:rsid w:val="00086BCD"/>
    <w:rsid w:val="00087176"/>
    <w:rsid w:val="00087686"/>
    <w:rsid w:val="00087F13"/>
    <w:rsid w:val="000901C8"/>
    <w:rsid w:val="0009042C"/>
    <w:rsid w:val="00090633"/>
    <w:rsid w:val="000907D0"/>
    <w:rsid w:val="00091397"/>
    <w:rsid w:val="00091811"/>
    <w:rsid w:val="00091A72"/>
    <w:rsid w:val="00092EAB"/>
    <w:rsid w:val="0009349C"/>
    <w:rsid w:val="00093B10"/>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8DB"/>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0516"/>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0ADA"/>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0546"/>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674"/>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14A"/>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01E1"/>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B79C8"/>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B32"/>
    <w:rsid w:val="001D2F2A"/>
    <w:rsid w:val="001D3679"/>
    <w:rsid w:val="001D3CC2"/>
    <w:rsid w:val="001D4406"/>
    <w:rsid w:val="001D461F"/>
    <w:rsid w:val="001D46D3"/>
    <w:rsid w:val="001D6714"/>
    <w:rsid w:val="001D6C5E"/>
    <w:rsid w:val="001D713E"/>
    <w:rsid w:val="001D77E6"/>
    <w:rsid w:val="001E028F"/>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15F3"/>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236"/>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2C5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2F0"/>
    <w:rsid w:val="00243E20"/>
    <w:rsid w:val="00244096"/>
    <w:rsid w:val="0024417D"/>
    <w:rsid w:val="00244754"/>
    <w:rsid w:val="00244A94"/>
    <w:rsid w:val="00244C55"/>
    <w:rsid w:val="00245470"/>
    <w:rsid w:val="00246CD7"/>
    <w:rsid w:val="00247618"/>
    <w:rsid w:val="00247C83"/>
    <w:rsid w:val="00250370"/>
    <w:rsid w:val="0025068A"/>
    <w:rsid w:val="00250751"/>
    <w:rsid w:val="002507E8"/>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67EEA"/>
    <w:rsid w:val="0027101D"/>
    <w:rsid w:val="0027121E"/>
    <w:rsid w:val="0027188F"/>
    <w:rsid w:val="002739B2"/>
    <w:rsid w:val="00273FDF"/>
    <w:rsid w:val="0027424D"/>
    <w:rsid w:val="00275141"/>
    <w:rsid w:val="0027528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372"/>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BBC"/>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684"/>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524"/>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E46"/>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298"/>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2505"/>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6BF4"/>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5AD"/>
    <w:rsid w:val="00394BB1"/>
    <w:rsid w:val="00395536"/>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68B"/>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AE8"/>
    <w:rsid w:val="003E5FCA"/>
    <w:rsid w:val="003E66A4"/>
    <w:rsid w:val="003E672B"/>
    <w:rsid w:val="003E6F99"/>
    <w:rsid w:val="003E77E9"/>
    <w:rsid w:val="003E798E"/>
    <w:rsid w:val="003E7E55"/>
    <w:rsid w:val="003E7F7D"/>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248"/>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EEB"/>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023"/>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640"/>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941"/>
    <w:rsid w:val="00432A56"/>
    <w:rsid w:val="00433D69"/>
    <w:rsid w:val="00433DC5"/>
    <w:rsid w:val="00434C19"/>
    <w:rsid w:val="00435E93"/>
    <w:rsid w:val="0043603B"/>
    <w:rsid w:val="00436048"/>
    <w:rsid w:val="00436479"/>
    <w:rsid w:val="0043662F"/>
    <w:rsid w:val="0043667B"/>
    <w:rsid w:val="00436B23"/>
    <w:rsid w:val="00436B37"/>
    <w:rsid w:val="00436EC1"/>
    <w:rsid w:val="004370B3"/>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2DC"/>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2914"/>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E79"/>
    <w:rsid w:val="004A6FE6"/>
    <w:rsid w:val="004A7203"/>
    <w:rsid w:val="004A7751"/>
    <w:rsid w:val="004A77C4"/>
    <w:rsid w:val="004A7ABE"/>
    <w:rsid w:val="004B0303"/>
    <w:rsid w:val="004B039B"/>
    <w:rsid w:val="004B09A3"/>
    <w:rsid w:val="004B117A"/>
    <w:rsid w:val="004B18AE"/>
    <w:rsid w:val="004B1C97"/>
    <w:rsid w:val="004B21B0"/>
    <w:rsid w:val="004B22B3"/>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3DCC"/>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3B3"/>
    <w:rsid w:val="00517613"/>
    <w:rsid w:val="00517AA9"/>
    <w:rsid w:val="00517E6B"/>
    <w:rsid w:val="0052031E"/>
    <w:rsid w:val="005204F9"/>
    <w:rsid w:val="00520550"/>
    <w:rsid w:val="00520A36"/>
    <w:rsid w:val="00520B9E"/>
    <w:rsid w:val="00520C3B"/>
    <w:rsid w:val="00520C4B"/>
    <w:rsid w:val="0052156D"/>
    <w:rsid w:val="00521A4E"/>
    <w:rsid w:val="00522232"/>
    <w:rsid w:val="00522475"/>
    <w:rsid w:val="005227A0"/>
    <w:rsid w:val="0052289F"/>
    <w:rsid w:val="00522FC1"/>
    <w:rsid w:val="005232B5"/>
    <w:rsid w:val="005239EA"/>
    <w:rsid w:val="00523C70"/>
    <w:rsid w:val="00524289"/>
    <w:rsid w:val="00524400"/>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D07"/>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598"/>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3C5"/>
    <w:rsid w:val="00570460"/>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650"/>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CE"/>
    <w:rsid w:val="005C43F3"/>
    <w:rsid w:val="005C552D"/>
    <w:rsid w:val="005C55B2"/>
    <w:rsid w:val="005C5648"/>
    <w:rsid w:val="005C57A7"/>
    <w:rsid w:val="005C608E"/>
    <w:rsid w:val="005C62D9"/>
    <w:rsid w:val="005C6B05"/>
    <w:rsid w:val="005C6E27"/>
    <w:rsid w:val="005C7994"/>
    <w:rsid w:val="005C7ABF"/>
    <w:rsid w:val="005C7CF3"/>
    <w:rsid w:val="005D00DB"/>
    <w:rsid w:val="005D07D2"/>
    <w:rsid w:val="005D0A5B"/>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B80"/>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6DE"/>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33E"/>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34"/>
    <w:rsid w:val="006329CF"/>
    <w:rsid w:val="00632A7A"/>
    <w:rsid w:val="00632C05"/>
    <w:rsid w:val="006330FA"/>
    <w:rsid w:val="00633595"/>
    <w:rsid w:val="00634521"/>
    <w:rsid w:val="0063468C"/>
    <w:rsid w:val="00634DAD"/>
    <w:rsid w:val="0063546E"/>
    <w:rsid w:val="0063556C"/>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028"/>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B8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1305"/>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BBC"/>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2D5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6DA"/>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17B"/>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9D3"/>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53B"/>
    <w:rsid w:val="00702A1E"/>
    <w:rsid w:val="00702A70"/>
    <w:rsid w:val="00702E9B"/>
    <w:rsid w:val="0070320C"/>
    <w:rsid w:val="007033B5"/>
    <w:rsid w:val="00704670"/>
    <w:rsid w:val="00704B68"/>
    <w:rsid w:val="00704C87"/>
    <w:rsid w:val="00704E3E"/>
    <w:rsid w:val="007057C2"/>
    <w:rsid w:val="00705DA7"/>
    <w:rsid w:val="00706096"/>
    <w:rsid w:val="00706400"/>
    <w:rsid w:val="00706474"/>
    <w:rsid w:val="007068AF"/>
    <w:rsid w:val="007069D0"/>
    <w:rsid w:val="0070704B"/>
    <w:rsid w:val="00710AF8"/>
    <w:rsid w:val="00710BF9"/>
    <w:rsid w:val="00710F65"/>
    <w:rsid w:val="00712339"/>
    <w:rsid w:val="007123F2"/>
    <w:rsid w:val="00712ACD"/>
    <w:rsid w:val="0071327A"/>
    <w:rsid w:val="00713714"/>
    <w:rsid w:val="0071397B"/>
    <w:rsid w:val="007139D1"/>
    <w:rsid w:val="00713E05"/>
    <w:rsid w:val="007149A0"/>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86"/>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31E"/>
    <w:rsid w:val="00736434"/>
    <w:rsid w:val="00736983"/>
    <w:rsid w:val="007374FB"/>
    <w:rsid w:val="00737520"/>
    <w:rsid w:val="0074067F"/>
    <w:rsid w:val="007406F6"/>
    <w:rsid w:val="00740C3E"/>
    <w:rsid w:val="00740E0F"/>
    <w:rsid w:val="007425AD"/>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1F"/>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D70"/>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1EA"/>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A27"/>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3529"/>
    <w:rsid w:val="007D4382"/>
    <w:rsid w:val="007D46C8"/>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04E"/>
    <w:rsid w:val="007E2772"/>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30F"/>
    <w:rsid w:val="007F64B4"/>
    <w:rsid w:val="007F7FF2"/>
    <w:rsid w:val="00800889"/>
    <w:rsid w:val="00800A64"/>
    <w:rsid w:val="00800C46"/>
    <w:rsid w:val="0080175F"/>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4F28"/>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644"/>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24C"/>
    <w:rsid w:val="008547B9"/>
    <w:rsid w:val="00855D0F"/>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D23"/>
    <w:rsid w:val="008A6E78"/>
    <w:rsid w:val="008A7100"/>
    <w:rsid w:val="008A71D4"/>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A98"/>
    <w:rsid w:val="008D7D2D"/>
    <w:rsid w:val="008E006F"/>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A70"/>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15E"/>
    <w:rsid w:val="00911371"/>
    <w:rsid w:val="009117BF"/>
    <w:rsid w:val="009120C5"/>
    <w:rsid w:val="00912796"/>
    <w:rsid w:val="0091293D"/>
    <w:rsid w:val="00912CB8"/>
    <w:rsid w:val="00912D42"/>
    <w:rsid w:val="0091353C"/>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A7B"/>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05D"/>
    <w:rsid w:val="009712AE"/>
    <w:rsid w:val="009715BE"/>
    <w:rsid w:val="0097174E"/>
    <w:rsid w:val="00971BE0"/>
    <w:rsid w:val="00971EFA"/>
    <w:rsid w:val="0097253D"/>
    <w:rsid w:val="009725A2"/>
    <w:rsid w:val="00972CE5"/>
    <w:rsid w:val="00973313"/>
    <w:rsid w:val="00973381"/>
    <w:rsid w:val="00973C85"/>
    <w:rsid w:val="00973E62"/>
    <w:rsid w:val="00974130"/>
    <w:rsid w:val="00974399"/>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1CB6"/>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074E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3A7D"/>
    <w:rsid w:val="00A2405B"/>
    <w:rsid w:val="00A241BB"/>
    <w:rsid w:val="00A25467"/>
    <w:rsid w:val="00A2551C"/>
    <w:rsid w:val="00A25A79"/>
    <w:rsid w:val="00A25C16"/>
    <w:rsid w:val="00A2617B"/>
    <w:rsid w:val="00A264EE"/>
    <w:rsid w:val="00A27672"/>
    <w:rsid w:val="00A27DBB"/>
    <w:rsid w:val="00A27EBC"/>
    <w:rsid w:val="00A27EF7"/>
    <w:rsid w:val="00A30028"/>
    <w:rsid w:val="00A301EF"/>
    <w:rsid w:val="00A3040F"/>
    <w:rsid w:val="00A30DF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13A"/>
    <w:rsid w:val="00A8428C"/>
    <w:rsid w:val="00A84364"/>
    <w:rsid w:val="00A84CD0"/>
    <w:rsid w:val="00A858E9"/>
    <w:rsid w:val="00A85E5B"/>
    <w:rsid w:val="00A85E73"/>
    <w:rsid w:val="00A85EC0"/>
    <w:rsid w:val="00A86ED1"/>
    <w:rsid w:val="00A86F9B"/>
    <w:rsid w:val="00A87A64"/>
    <w:rsid w:val="00A87DAB"/>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78"/>
    <w:rsid w:val="00AB2FCB"/>
    <w:rsid w:val="00AB4DCD"/>
    <w:rsid w:val="00AB4F3E"/>
    <w:rsid w:val="00AB4F87"/>
    <w:rsid w:val="00AB5377"/>
    <w:rsid w:val="00AB5B77"/>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6E76"/>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E7EA4"/>
    <w:rsid w:val="00AF0329"/>
    <w:rsid w:val="00AF0774"/>
    <w:rsid w:val="00AF11B5"/>
    <w:rsid w:val="00AF1F48"/>
    <w:rsid w:val="00AF2007"/>
    <w:rsid w:val="00AF2612"/>
    <w:rsid w:val="00AF2F60"/>
    <w:rsid w:val="00AF3889"/>
    <w:rsid w:val="00AF39DC"/>
    <w:rsid w:val="00AF3B73"/>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1A6E"/>
    <w:rsid w:val="00B123B7"/>
    <w:rsid w:val="00B13CB1"/>
    <w:rsid w:val="00B14BEA"/>
    <w:rsid w:val="00B167CE"/>
    <w:rsid w:val="00B16B62"/>
    <w:rsid w:val="00B16DD7"/>
    <w:rsid w:val="00B17902"/>
    <w:rsid w:val="00B17A2E"/>
    <w:rsid w:val="00B17C66"/>
    <w:rsid w:val="00B20292"/>
    <w:rsid w:val="00B206B1"/>
    <w:rsid w:val="00B22004"/>
    <w:rsid w:val="00B228AD"/>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BA7"/>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3F"/>
    <w:rsid w:val="00B66A94"/>
    <w:rsid w:val="00B66F81"/>
    <w:rsid w:val="00B67145"/>
    <w:rsid w:val="00B677F1"/>
    <w:rsid w:val="00B67914"/>
    <w:rsid w:val="00B707AF"/>
    <w:rsid w:val="00B70882"/>
    <w:rsid w:val="00B709B8"/>
    <w:rsid w:val="00B70A6A"/>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6E7B"/>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2AE"/>
    <w:rsid w:val="00BC3D44"/>
    <w:rsid w:val="00BC4213"/>
    <w:rsid w:val="00BC4C7F"/>
    <w:rsid w:val="00BC4FF8"/>
    <w:rsid w:val="00BC5C80"/>
    <w:rsid w:val="00BC5D5B"/>
    <w:rsid w:val="00BC5F08"/>
    <w:rsid w:val="00BC6161"/>
    <w:rsid w:val="00BC65A4"/>
    <w:rsid w:val="00BC65B2"/>
    <w:rsid w:val="00BC717C"/>
    <w:rsid w:val="00BC726E"/>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295"/>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6AEC"/>
    <w:rsid w:val="00BE7A1E"/>
    <w:rsid w:val="00BF0159"/>
    <w:rsid w:val="00BF03E8"/>
    <w:rsid w:val="00BF0BB5"/>
    <w:rsid w:val="00BF0D84"/>
    <w:rsid w:val="00BF1423"/>
    <w:rsid w:val="00BF18FE"/>
    <w:rsid w:val="00BF1C55"/>
    <w:rsid w:val="00BF1F5C"/>
    <w:rsid w:val="00BF224A"/>
    <w:rsid w:val="00BF272F"/>
    <w:rsid w:val="00BF28A4"/>
    <w:rsid w:val="00BF37C5"/>
    <w:rsid w:val="00BF3AAA"/>
    <w:rsid w:val="00BF3C20"/>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5D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481"/>
    <w:rsid w:val="00C31631"/>
    <w:rsid w:val="00C316BC"/>
    <w:rsid w:val="00C31E72"/>
    <w:rsid w:val="00C32004"/>
    <w:rsid w:val="00C323BD"/>
    <w:rsid w:val="00C32DB9"/>
    <w:rsid w:val="00C33180"/>
    <w:rsid w:val="00C33462"/>
    <w:rsid w:val="00C33AE2"/>
    <w:rsid w:val="00C34138"/>
    <w:rsid w:val="00C34324"/>
    <w:rsid w:val="00C344E9"/>
    <w:rsid w:val="00C3492B"/>
    <w:rsid w:val="00C34969"/>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1F30"/>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EB1"/>
    <w:rsid w:val="00CA4F20"/>
    <w:rsid w:val="00CA5080"/>
    <w:rsid w:val="00CA5908"/>
    <w:rsid w:val="00CA5A5A"/>
    <w:rsid w:val="00CA5D21"/>
    <w:rsid w:val="00CA5F84"/>
    <w:rsid w:val="00CA6512"/>
    <w:rsid w:val="00CA734A"/>
    <w:rsid w:val="00CA7432"/>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64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320"/>
    <w:rsid w:val="00CD5CFC"/>
    <w:rsid w:val="00CD63B2"/>
    <w:rsid w:val="00CD6C4D"/>
    <w:rsid w:val="00CD7357"/>
    <w:rsid w:val="00CD7B08"/>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3E91"/>
    <w:rsid w:val="00CF425F"/>
    <w:rsid w:val="00CF4635"/>
    <w:rsid w:val="00CF46ED"/>
    <w:rsid w:val="00CF4FEF"/>
    <w:rsid w:val="00CF5173"/>
    <w:rsid w:val="00CF51E8"/>
    <w:rsid w:val="00CF5203"/>
    <w:rsid w:val="00CF5BA3"/>
    <w:rsid w:val="00CF637A"/>
    <w:rsid w:val="00CF6518"/>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7BF"/>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7E6"/>
    <w:rsid w:val="00D55A96"/>
    <w:rsid w:val="00D56796"/>
    <w:rsid w:val="00D56D40"/>
    <w:rsid w:val="00D56D85"/>
    <w:rsid w:val="00D57BE9"/>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06EC"/>
    <w:rsid w:val="00D721EC"/>
    <w:rsid w:val="00D726CE"/>
    <w:rsid w:val="00D73677"/>
    <w:rsid w:val="00D73746"/>
    <w:rsid w:val="00D73943"/>
    <w:rsid w:val="00D7466F"/>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A3"/>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6F4"/>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A42"/>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3C2"/>
    <w:rsid w:val="00DD7687"/>
    <w:rsid w:val="00DD7848"/>
    <w:rsid w:val="00DD7B55"/>
    <w:rsid w:val="00DE0569"/>
    <w:rsid w:val="00DE0797"/>
    <w:rsid w:val="00DE08C3"/>
    <w:rsid w:val="00DE094A"/>
    <w:rsid w:val="00DE17FA"/>
    <w:rsid w:val="00DE1971"/>
    <w:rsid w:val="00DE1ACD"/>
    <w:rsid w:val="00DE1DAB"/>
    <w:rsid w:val="00DE1F29"/>
    <w:rsid w:val="00DE20A2"/>
    <w:rsid w:val="00DE261E"/>
    <w:rsid w:val="00DE269D"/>
    <w:rsid w:val="00DE2C35"/>
    <w:rsid w:val="00DE30DA"/>
    <w:rsid w:val="00DE3288"/>
    <w:rsid w:val="00DE4BC3"/>
    <w:rsid w:val="00DE4BE6"/>
    <w:rsid w:val="00DE4E52"/>
    <w:rsid w:val="00DE52B7"/>
    <w:rsid w:val="00DE59EE"/>
    <w:rsid w:val="00DE6027"/>
    <w:rsid w:val="00DE6636"/>
    <w:rsid w:val="00DE6C5F"/>
    <w:rsid w:val="00DE6E8C"/>
    <w:rsid w:val="00DE70EA"/>
    <w:rsid w:val="00DF0175"/>
    <w:rsid w:val="00DF0B89"/>
    <w:rsid w:val="00DF0CFA"/>
    <w:rsid w:val="00DF131B"/>
    <w:rsid w:val="00DF152E"/>
    <w:rsid w:val="00DF164A"/>
    <w:rsid w:val="00DF27E4"/>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64A"/>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143"/>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87D57"/>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44D"/>
    <w:rsid w:val="00EA3D63"/>
    <w:rsid w:val="00EA4DF2"/>
    <w:rsid w:val="00EA4F3D"/>
    <w:rsid w:val="00EA5342"/>
    <w:rsid w:val="00EA55C1"/>
    <w:rsid w:val="00EA568C"/>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C40"/>
    <w:rsid w:val="00EB5DB5"/>
    <w:rsid w:val="00EB600D"/>
    <w:rsid w:val="00EB672B"/>
    <w:rsid w:val="00EB6A2C"/>
    <w:rsid w:val="00EB6B83"/>
    <w:rsid w:val="00EB6DA9"/>
    <w:rsid w:val="00EB7804"/>
    <w:rsid w:val="00EC0343"/>
    <w:rsid w:val="00EC08AD"/>
    <w:rsid w:val="00EC0B55"/>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2CB6"/>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6A67"/>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B05"/>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0C15"/>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5FC"/>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2D84"/>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A0B"/>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E2619"/>
    <w:pPr>
      <w:bidi/>
      <w:spacing w:after="0" w:line="312" w:lineRule="auto"/>
    </w:pPr>
  </w:style>
  <w:style w:type="paragraph" w:styleId="1">
    <w:name w:val="heading 1"/>
    <w:basedOn w:val="a0"/>
    <w:next w:val="a0"/>
    <w:link w:val="11"/>
    <w:uiPriority w:val="1"/>
    <w:qFormat/>
    <w:rsid w:val="00F41DE0"/>
    <w:pPr>
      <w:keepNext/>
      <w:keepLines/>
      <w:jc w:val="center"/>
      <w:outlineLvl w:val="0"/>
    </w:pPr>
    <w:rPr>
      <w:rFonts w:eastAsiaTheme="majorEastAsia"/>
      <w:bCs/>
      <w:szCs w:val="36"/>
      <w:u w:val="single"/>
    </w:rPr>
  </w:style>
  <w:style w:type="paragraph" w:styleId="2">
    <w:name w:val="heading 2"/>
    <w:basedOn w:val="a0"/>
    <w:next w:val="a0"/>
    <w:link w:val="22"/>
    <w:uiPriority w:val="1"/>
    <w:qFormat/>
    <w:rsid w:val="00F41DE0"/>
    <w:pPr>
      <w:keepNext/>
      <w:keepLines/>
      <w:spacing w:before="480"/>
      <w:jc w:val="center"/>
      <w:outlineLvl w:val="1"/>
    </w:pPr>
    <w:rPr>
      <w:rFonts w:eastAsiaTheme="majorEastAsia"/>
      <w:bCs/>
      <w:szCs w:val="32"/>
    </w:rPr>
  </w:style>
  <w:style w:type="paragraph" w:styleId="3">
    <w:name w:val="heading 3"/>
    <w:basedOn w:val="a0"/>
    <w:next w:val="a0"/>
    <w:link w:val="32"/>
    <w:uiPriority w:val="1"/>
    <w:qFormat/>
    <w:rsid w:val="00F41DE0"/>
    <w:pPr>
      <w:keepNext/>
      <w:keepLines/>
      <w:spacing w:before="240"/>
      <w:outlineLvl w:val="2"/>
    </w:pPr>
    <w:rPr>
      <w:rFonts w:eastAsiaTheme="majorEastAsia"/>
      <w:bCs/>
      <w:szCs w:val="28"/>
      <w:u w:val="single"/>
    </w:rPr>
  </w:style>
  <w:style w:type="paragraph" w:styleId="4">
    <w:name w:val="heading 4"/>
    <w:basedOn w:val="a0"/>
    <w:next w:val="a0"/>
    <w:link w:val="41"/>
    <w:uiPriority w:val="1"/>
    <w:qFormat/>
    <w:rsid w:val="00F41DE0"/>
    <w:pPr>
      <w:keepNext/>
      <w:keepLines/>
      <w:spacing w:before="240"/>
      <w:outlineLvl w:val="3"/>
    </w:pPr>
    <w:rPr>
      <w:rFonts w:eastAsiaTheme="majorEastAsia"/>
      <w:bCs/>
      <w:szCs w:val="26"/>
    </w:rPr>
  </w:style>
  <w:style w:type="paragraph" w:styleId="5">
    <w:name w:val="heading 5"/>
    <w:basedOn w:val="a0"/>
    <w:next w:val="a0"/>
    <w:link w:val="51"/>
    <w:uiPriority w:val="1"/>
    <w:qFormat/>
    <w:rsid w:val="00F41DE0"/>
    <w:pPr>
      <w:keepNext/>
      <w:keepLines/>
      <w:outlineLvl w:val="4"/>
    </w:pPr>
    <w:rPr>
      <w:rFonts w:eastAsiaTheme="majorEastAsia"/>
      <w:bCs/>
      <w:spacing w:val="40"/>
    </w:rPr>
  </w:style>
  <w:style w:type="paragraph" w:styleId="6">
    <w:name w:val="heading 6"/>
    <w:basedOn w:val="a0"/>
    <w:next w:val="a0"/>
    <w:link w:val="61"/>
    <w:uiPriority w:val="1"/>
    <w:qFormat/>
    <w:rsid w:val="00F41DE0"/>
    <w:pPr>
      <w:keepNext/>
      <w:keepLines/>
      <w:outlineLvl w:val="5"/>
    </w:pPr>
    <w:rPr>
      <w:rFonts w:eastAsiaTheme="majorEastAsia"/>
      <w:spacing w:val="40"/>
    </w:rPr>
  </w:style>
  <w:style w:type="paragraph" w:styleId="70">
    <w:name w:val="heading 7"/>
    <w:basedOn w:val="a0"/>
    <w:next w:val="a0"/>
    <w:link w:val="71"/>
    <w:uiPriority w:val="1"/>
    <w:qFormat/>
    <w:rsid w:val="00F41DE0"/>
    <w:pPr>
      <w:keepNext/>
      <w:keepLines/>
      <w:outlineLvl w:val="6"/>
    </w:pPr>
    <w:rPr>
      <w:rFonts w:eastAsiaTheme="majorEastAsia"/>
      <w:bCs/>
      <w:spacing w:val="40"/>
    </w:rPr>
  </w:style>
  <w:style w:type="paragraph" w:styleId="8">
    <w:name w:val="heading 8"/>
    <w:basedOn w:val="a0"/>
    <w:next w:val="a0"/>
    <w:link w:val="81"/>
    <w:uiPriority w:val="1"/>
    <w:qFormat/>
    <w:rsid w:val="00F41DE0"/>
    <w:pPr>
      <w:keepNext/>
      <w:keepLines/>
      <w:outlineLvl w:val="7"/>
    </w:pPr>
    <w:rPr>
      <w:rFonts w:eastAsiaTheme="majorEastAsia"/>
      <w:spacing w:val="40"/>
    </w:rPr>
  </w:style>
  <w:style w:type="paragraph" w:styleId="9">
    <w:name w:val="heading 9"/>
    <w:basedOn w:val="a0"/>
    <w:next w:val="a0"/>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כותרת 1 תו1"/>
    <w:basedOn w:val="a1"/>
    <w:link w:val="1"/>
    <w:uiPriority w:val="1"/>
    <w:rsid w:val="00F41DE0"/>
    <w:rPr>
      <w:rFonts w:eastAsiaTheme="majorEastAsia"/>
      <w:bCs/>
      <w:szCs w:val="36"/>
      <w:u w:val="single"/>
    </w:rPr>
  </w:style>
  <w:style w:type="character" w:customStyle="1" w:styleId="22">
    <w:name w:val="כותרת 2 תו2"/>
    <w:basedOn w:val="a1"/>
    <w:link w:val="2"/>
    <w:uiPriority w:val="1"/>
    <w:rsid w:val="00F41DE0"/>
    <w:rPr>
      <w:rFonts w:eastAsiaTheme="majorEastAsia"/>
      <w:bCs/>
      <w:szCs w:val="32"/>
    </w:rPr>
  </w:style>
  <w:style w:type="character" w:customStyle="1" w:styleId="32">
    <w:name w:val="כותרת 3 תו2"/>
    <w:basedOn w:val="a1"/>
    <w:link w:val="3"/>
    <w:uiPriority w:val="1"/>
    <w:rsid w:val="00F41DE0"/>
    <w:rPr>
      <w:rFonts w:eastAsiaTheme="majorEastAsia"/>
      <w:bCs/>
      <w:szCs w:val="28"/>
      <w:u w:val="single"/>
    </w:rPr>
  </w:style>
  <w:style w:type="character" w:customStyle="1" w:styleId="41">
    <w:name w:val="כותרת 4 תו1"/>
    <w:basedOn w:val="a1"/>
    <w:link w:val="4"/>
    <w:uiPriority w:val="1"/>
    <w:rsid w:val="00F41DE0"/>
    <w:rPr>
      <w:rFonts w:eastAsiaTheme="majorEastAsia"/>
      <w:bCs/>
      <w:szCs w:val="26"/>
    </w:rPr>
  </w:style>
  <w:style w:type="character" w:customStyle="1" w:styleId="51">
    <w:name w:val="כותרת 5 תו1"/>
    <w:basedOn w:val="a1"/>
    <w:link w:val="5"/>
    <w:uiPriority w:val="1"/>
    <w:rsid w:val="00F41DE0"/>
    <w:rPr>
      <w:rFonts w:eastAsiaTheme="majorEastAsia"/>
      <w:bCs/>
      <w:spacing w:val="40"/>
    </w:rPr>
  </w:style>
  <w:style w:type="character" w:customStyle="1" w:styleId="61">
    <w:name w:val="כותרת 6 תו1"/>
    <w:basedOn w:val="a1"/>
    <w:link w:val="6"/>
    <w:uiPriority w:val="1"/>
    <w:rsid w:val="00F41DE0"/>
    <w:rPr>
      <w:rFonts w:eastAsiaTheme="majorEastAsia"/>
      <w:spacing w:val="40"/>
    </w:rPr>
  </w:style>
  <w:style w:type="character" w:customStyle="1" w:styleId="71">
    <w:name w:val="כותרת 7 תו1"/>
    <w:basedOn w:val="a1"/>
    <w:link w:val="70"/>
    <w:uiPriority w:val="1"/>
    <w:rsid w:val="00F41DE0"/>
    <w:rPr>
      <w:rFonts w:eastAsiaTheme="majorEastAsia"/>
      <w:bCs/>
      <w:spacing w:val="40"/>
    </w:rPr>
  </w:style>
  <w:style w:type="character" w:customStyle="1" w:styleId="81">
    <w:name w:val="כותרת 8 תו1"/>
    <w:basedOn w:val="a1"/>
    <w:link w:val="8"/>
    <w:uiPriority w:val="1"/>
    <w:rsid w:val="00F41DE0"/>
    <w:rPr>
      <w:rFonts w:eastAsiaTheme="majorEastAsia"/>
      <w:spacing w:val="40"/>
    </w:rPr>
  </w:style>
  <w:style w:type="paragraph" w:styleId="a4">
    <w:name w:val="header"/>
    <w:basedOn w:val="a0"/>
    <w:link w:val="10"/>
    <w:uiPriority w:val="99"/>
    <w:unhideWhenUsed/>
    <w:rsid w:val="000501A4"/>
    <w:pPr>
      <w:tabs>
        <w:tab w:val="center" w:pos="4153"/>
        <w:tab w:val="right" w:pos="8306"/>
      </w:tabs>
      <w:spacing w:line="240" w:lineRule="auto"/>
    </w:pPr>
  </w:style>
  <w:style w:type="character" w:customStyle="1" w:styleId="10">
    <w:name w:val="כותרת עליונה תו1"/>
    <w:basedOn w:val="a1"/>
    <w:link w:val="a4"/>
    <w:uiPriority w:val="99"/>
    <w:rsid w:val="000501A4"/>
  </w:style>
  <w:style w:type="paragraph" w:styleId="a5">
    <w:name w:val="footer"/>
    <w:aliases w:val="כותרת תחתונה תו תו תו,כותרת תחתונה תו תו תו תו תו"/>
    <w:basedOn w:val="a0"/>
    <w:link w:val="20"/>
    <w:uiPriority w:val="99"/>
    <w:unhideWhenUsed/>
    <w:qFormat/>
    <w:rsid w:val="000501A4"/>
    <w:pPr>
      <w:tabs>
        <w:tab w:val="center" w:pos="4153"/>
        <w:tab w:val="right" w:pos="8306"/>
      </w:tabs>
      <w:spacing w:line="240" w:lineRule="auto"/>
    </w:pPr>
  </w:style>
  <w:style w:type="character" w:customStyle="1" w:styleId="20">
    <w:name w:val="כותרת תחתונה תו2"/>
    <w:aliases w:val="כותרת תחתונה תו תו תו תו,כותרת תחתונה תו תו תו תו תו תו"/>
    <w:basedOn w:val="a1"/>
    <w:link w:val="a5"/>
    <w:uiPriority w:val="99"/>
    <w:rsid w:val="000501A4"/>
  </w:style>
  <w:style w:type="paragraph" w:styleId="a6">
    <w:name w:val="Date"/>
    <w:basedOn w:val="a0"/>
    <w:next w:val="a0"/>
    <w:link w:val="21"/>
    <w:uiPriority w:val="99"/>
    <w:unhideWhenUsed/>
    <w:rsid w:val="000501A4"/>
    <w:pPr>
      <w:spacing w:before="120" w:line="240" w:lineRule="auto"/>
    </w:pPr>
  </w:style>
  <w:style w:type="character" w:customStyle="1" w:styleId="21">
    <w:name w:val="תאריך תו2"/>
    <w:basedOn w:val="a1"/>
    <w:link w:val="a6"/>
    <w:uiPriority w:val="99"/>
    <w:rsid w:val="000501A4"/>
  </w:style>
  <w:style w:type="paragraph" w:styleId="a7">
    <w:name w:val="footnote text"/>
    <w:aliases w:val=" Char,FOOTNOTES,Footnote Text - Sharp,Footnote Text - Sharp Char,Footnote Text - Sharp Char Char,Footnote Text Char Char Char Char Char,Footnote reference,Sharp - Footnote Text,Sharp - Footnote Text1 Char,fn,footnote text,single space"/>
    <w:basedOn w:val="a0"/>
    <w:link w:val="30"/>
    <w:uiPriority w:val="99"/>
    <w:qFormat/>
    <w:rsid w:val="00574579"/>
    <w:pPr>
      <w:spacing w:line="240" w:lineRule="auto"/>
      <w:ind w:left="720" w:hanging="720"/>
    </w:pPr>
    <w:rPr>
      <w:szCs w:val="20"/>
    </w:rPr>
  </w:style>
  <w:style w:type="character" w:customStyle="1" w:styleId="30">
    <w:name w:val="טקסט הערת שוליים תו3"/>
    <w:aliases w:val=" Char תו1,FOOTNOTES תו1,Footnote Text - Sharp תו1,Footnote Text - Sharp Char תו1,Footnote Text - Sharp Char Char תו1,Footnote Text Char Char Char Char Char תו1,Footnote reference תו1,Sharp - Footnote Text תו1,fn תו1,footnote text תו"/>
    <w:basedOn w:val="a1"/>
    <w:link w:val="a7"/>
    <w:uiPriority w:val="99"/>
    <w:rsid w:val="00574579"/>
    <w:rPr>
      <w:szCs w:val="20"/>
    </w:rPr>
  </w:style>
  <w:style w:type="table" w:styleId="a8">
    <w:name w:val="Table Grid"/>
    <w:basedOn w:val="a2"/>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Grid Table 2 Accent 1"/>
    <w:basedOn w:val="a2"/>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9">
    <w:name w:val="Balloon Text"/>
    <w:basedOn w:val="a0"/>
    <w:link w:val="12"/>
    <w:uiPriority w:val="99"/>
    <w:unhideWhenUsed/>
    <w:rsid w:val="00AF6305"/>
    <w:pPr>
      <w:spacing w:line="240" w:lineRule="auto"/>
    </w:pPr>
    <w:rPr>
      <w:rFonts w:ascii="Tahoma" w:hAnsi="Tahoma" w:cs="Tahoma"/>
      <w:sz w:val="18"/>
      <w:szCs w:val="18"/>
    </w:rPr>
  </w:style>
  <w:style w:type="character" w:customStyle="1" w:styleId="12">
    <w:name w:val="טקסט בלונים תו1"/>
    <w:basedOn w:val="a1"/>
    <w:link w:val="a9"/>
    <w:uiPriority w:val="99"/>
    <w:rsid w:val="00AF6305"/>
    <w:rPr>
      <w:rFonts w:ascii="Tahoma" w:hAnsi="Tahoma" w:cs="Tahoma"/>
      <w:sz w:val="18"/>
      <w:szCs w:val="18"/>
    </w:rPr>
  </w:style>
  <w:style w:type="paragraph" w:styleId="aa">
    <w:name w:val="annotation text"/>
    <w:basedOn w:val="a0"/>
    <w:link w:val="13"/>
    <w:uiPriority w:val="99"/>
    <w:unhideWhenUsed/>
    <w:rsid w:val="005F492A"/>
    <w:pPr>
      <w:spacing w:line="240" w:lineRule="auto"/>
    </w:pPr>
    <w:rPr>
      <w:szCs w:val="20"/>
    </w:rPr>
  </w:style>
  <w:style w:type="character" w:customStyle="1" w:styleId="13">
    <w:name w:val="טקסט הערה תו1"/>
    <w:basedOn w:val="a1"/>
    <w:link w:val="aa"/>
    <w:uiPriority w:val="99"/>
    <w:rsid w:val="005F492A"/>
    <w:rPr>
      <w:szCs w:val="20"/>
    </w:rPr>
  </w:style>
  <w:style w:type="paragraph" w:styleId="ab">
    <w:name w:val="annotation subject"/>
    <w:basedOn w:val="aa"/>
    <w:next w:val="aa"/>
    <w:link w:val="23"/>
    <w:uiPriority w:val="99"/>
    <w:unhideWhenUsed/>
    <w:rsid w:val="005F492A"/>
    <w:rPr>
      <w:b/>
      <w:bCs/>
    </w:rPr>
  </w:style>
  <w:style w:type="character" w:customStyle="1" w:styleId="23">
    <w:name w:val="נושא הערה תו2"/>
    <w:basedOn w:val="13"/>
    <w:link w:val="ab"/>
    <w:uiPriority w:val="99"/>
    <w:rsid w:val="005F492A"/>
    <w:rPr>
      <w:b/>
      <w:bCs/>
      <w:szCs w:val="20"/>
    </w:rPr>
  </w:style>
  <w:style w:type="paragraph" w:styleId="ac">
    <w:name w:val="List Paragraph"/>
    <w:aliases w:val="LP1,פיסקת bullets,Bullet List,FooterText,List Paragraph_0,List Paragraph_1,List Paragraph_2,Paragraphe de liste1,lp1,numbered,List Paragraph1,style 2"/>
    <w:basedOn w:val="a0"/>
    <w:link w:val="ad"/>
    <w:uiPriority w:val="34"/>
    <w:qFormat/>
    <w:rsid w:val="003F6D65"/>
    <w:pPr>
      <w:ind w:left="720"/>
      <w:contextualSpacing/>
    </w:pPr>
  </w:style>
  <w:style w:type="paragraph" w:customStyle="1" w:styleId="7310">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2">
    <w:name w:val="73א פעולות ביקורת"/>
    <w:basedOn w:val="210"/>
    <w:qFormat/>
    <w:rsid w:val="0091353C"/>
    <w:pPr>
      <w:keepNext/>
      <w:keepLines/>
      <w:pBdr>
        <w:top w:val="double" w:sz="12" w:space="5" w:color="auto"/>
      </w:pBdr>
      <w:spacing w:before="480" w:after="360"/>
      <w:outlineLvl w:val="9"/>
    </w:pPr>
    <w:rPr>
      <w:b/>
      <w:noProof/>
      <w:sz w:val="31"/>
      <w:szCs w:val="31"/>
      <w:lang w:val="he-IL"/>
    </w:rPr>
  </w:style>
  <w:style w:type="character" w:styleId="Hyperlink">
    <w:name w:val="Hyperlink"/>
    <w:basedOn w:val="a1"/>
    <w:uiPriority w:val="99"/>
    <w:unhideWhenUsed/>
    <w:rsid w:val="005A4042"/>
    <w:rPr>
      <w:color w:val="6B9F25" w:themeColor="hyperlink"/>
      <w:u w:val="single"/>
    </w:rPr>
  </w:style>
  <w:style w:type="paragraph" w:customStyle="1" w:styleId="p00">
    <w:name w:val="p00"/>
    <w:basedOn w:val="a0"/>
    <w:rsid w:val="00C24503"/>
    <w:pPr>
      <w:bidi w:val="0"/>
      <w:spacing w:before="100" w:beforeAutospacing="1" w:after="100" w:afterAutospacing="1" w:line="240" w:lineRule="auto"/>
      <w:jc w:val="left"/>
    </w:pPr>
    <w:rPr>
      <w:rFonts w:eastAsia="Times New Roman" w:cs="Times New Roman"/>
      <w:sz w:val="24"/>
    </w:rPr>
  </w:style>
  <w:style w:type="paragraph" w:styleId="ae">
    <w:name w:val="Revision"/>
    <w:hidden/>
    <w:uiPriority w:val="99"/>
    <w:semiHidden/>
    <w:rsid w:val="00AF6A68"/>
    <w:pPr>
      <w:spacing w:after="0" w:line="240" w:lineRule="auto"/>
      <w:jc w:val="left"/>
    </w:pPr>
  </w:style>
  <w:style w:type="character" w:customStyle="1" w:styleId="default">
    <w:name w:val="default"/>
    <w:basedOn w:val="a1"/>
    <w:rsid w:val="00C24503"/>
  </w:style>
  <w:style w:type="paragraph" w:customStyle="1" w:styleId="NAME">
    <w:name w:val="NAME"/>
    <w:basedOn w:val="a0"/>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3">
    <w:name w:val="כותרת 7 תו3"/>
    <w:basedOn w:val="a1"/>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4">
    <w:name w:val="73א קוביה רצה תו"/>
    <w:basedOn w:val="a1"/>
    <w:link w:val="735"/>
    <w:rsid w:val="004B039B"/>
    <w:rPr>
      <w:rFonts w:ascii="Tahoma" w:eastAsia="Times New Roman" w:hAnsi="Tahoma" w:cs="Tahoma"/>
      <w:color w:val="0D0D0D" w:themeColor="text1" w:themeTint="F2"/>
      <w:sz w:val="18"/>
      <w:szCs w:val="18"/>
      <w:shd w:val="solid" w:color="CEEAF5" w:fill="auto"/>
      <w:lang w:eastAsia="he-IL"/>
    </w:rPr>
  </w:style>
  <w:style w:type="table" w:customStyle="1" w:styleId="14">
    <w:name w:val="רשת טבלה1"/>
    <w:basedOn w:val="a2"/>
    <w:next w:val="a8"/>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4-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a2"/>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af">
    <w:name w:val="Strong"/>
    <w:basedOn w:val="a1"/>
    <w:uiPriority w:val="22"/>
    <w:qFormat/>
    <w:rsid w:val="00444597"/>
    <w:rPr>
      <w:b/>
      <w:bCs/>
    </w:rPr>
  </w:style>
  <w:style w:type="paragraph" w:customStyle="1" w:styleId="rtejustify">
    <w:name w:val="rtejustify"/>
    <w:basedOn w:val="a0"/>
    <w:rsid w:val="00444597"/>
    <w:pPr>
      <w:bidi w:val="0"/>
      <w:spacing w:before="100" w:beforeAutospacing="1" w:after="100" w:afterAutospacing="1" w:line="240" w:lineRule="auto"/>
      <w:jc w:val="left"/>
    </w:pPr>
    <w:rPr>
      <w:rFonts w:eastAsia="Times New Roman" w:cs="Times New Roman"/>
      <w:sz w:val="24"/>
    </w:rPr>
  </w:style>
  <w:style w:type="table" w:styleId="4-1">
    <w:name w:val="Grid Table 4 Accent 1"/>
    <w:basedOn w:val="a2"/>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f0">
    <w:name w:val="caption"/>
    <w:basedOn w:val="a0"/>
    <w:next w:val="a0"/>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a1"/>
    <w:link w:val="Bodytext20"/>
    <w:rsid w:val="00444597"/>
    <w:rPr>
      <w:rFonts w:eastAsia="Times New Roman" w:cs="Times New Roman"/>
      <w:sz w:val="22"/>
      <w:szCs w:val="22"/>
      <w:shd w:val="clear" w:color="auto" w:fill="FFFFFF"/>
    </w:rPr>
  </w:style>
  <w:style w:type="paragraph" w:customStyle="1" w:styleId="Bodytext20">
    <w:name w:val="Body text (2)"/>
    <w:basedOn w:val="a0"/>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a1"/>
    <w:link w:val="Bodytext70"/>
    <w:rsid w:val="00444597"/>
    <w:rPr>
      <w:rFonts w:eastAsia="Times New Roman" w:cs="Times New Roman"/>
      <w:sz w:val="22"/>
      <w:szCs w:val="22"/>
      <w:shd w:val="clear" w:color="auto" w:fill="FFFFFF"/>
    </w:rPr>
  </w:style>
  <w:style w:type="paragraph" w:customStyle="1" w:styleId="Bodytext70">
    <w:name w:val="Body text (7)"/>
    <w:basedOn w:val="a0"/>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a1"/>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a1"/>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a0"/>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af1">
    <w:name w:val="Body Text Indent"/>
    <w:basedOn w:val="a0"/>
    <w:link w:val="af2"/>
    <w:uiPriority w:val="99"/>
    <w:unhideWhenUsed/>
    <w:rsid w:val="0006189A"/>
    <w:pPr>
      <w:spacing w:after="120"/>
      <w:ind w:left="340"/>
    </w:pPr>
    <w:rPr>
      <w:rFonts w:ascii="Tahoma" w:hAnsi="Tahoma" w:cs="Tahoma"/>
      <w:sz w:val="16"/>
      <w:szCs w:val="20"/>
    </w:rPr>
  </w:style>
  <w:style w:type="character" w:customStyle="1" w:styleId="af2">
    <w:name w:val="כניסה בגוף טקסט תו"/>
    <w:basedOn w:val="a1"/>
    <w:link w:val="af1"/>
    <w:uiPriority w:val="99"/>
    <w:rsid w:val="0006189A"/>
    <w:rPr>
      <w:rFonts w:ascii="Tahoma" w:hAnsi="Tahoma" w:cs="Tahoma"/>
      <w:sz w:val="16"/>
      <w:szCs w:val="20"/>
    </w:rPr>
  </w:style>
  <w:style w:type="paragraph" w:customStyle="1" w:styleId="121">
    <w:name w:val="כותרת 1_21"/>
    <w:basedOn w:val="a0"/>
    <w:link w:val="121Char"/>
    <w:qFormat/>
    <w:rsid w:val="00454096"/>
    <w:pPr>
      <w:spacing w:before="1440"/>
      <w:jc w:val="center"/>
      <w:outlineLvl w:val="0"/>
    </w:pPr>
    <w:rPr>
      <w:rFonts w:ascii="Tahoma" w:eastAsiaTheme="minorEastAsia" w:hAnsi="Tahoma" w:cs="Tahoma"/>
      <w:color w:val="2A2AA6"/>
      <w:sz w:val="42"/>
      <w:szCs w:val="42"/>
    </w:rPr>
  </w:style>
  <w:style w:type="character" w:customStyle="1" w:styleId="alink">
    <w:name w:val="a_link"/>
    <w:basedOn w:val="a1"/>
    <w:rsid w:val="00417266"/>
    <w:rPr>
      <w:color w:val="0000FF"/>
    </w:rPr>
  </w:style>
  <w:style w:type="paragraph" w:customStyle="1" w:styleId="af3">
    <w:name w:val="תואר"/>
    <w:basedOn w:val="a0"/>
    <w:link w:val="af4"/>
    <w:qFormat/>
    <w:rsid w:val="00417266"/>
    <w:pPr>
      <w:spacing w:line="240" w:lineRule="auto"/>
      <w:jc w:val="center"/>
    </w:pPr>
    <w:rPr>
      <w:rFonts w:eastAsia="Times New Roman" w:cs="Times New Roman"/>
      <w:b/>
      <w:bCs/>
      <w:sz w:val="32"/>
      <w:szCs w:val="32"/>
      <w:lang w:eastAsia="he-IL"/>
    </w:rPr>
  </w:style>
  <w:style w:type="character" w:customStyle="1" w:styleId="af4">
    <w:name w:val="תואר תו"/>
    <w:link w:val="af3"/>
    <w:locked/>
    <w:rsid w:val="00417266"/>
    <w:rPr>
      <w:rFonts w:eastAsia="Times New Roman" w:cs="Times New Roman"/>
      <w:b/>
      <w:bCs/>
      <w:sz w:val="32"/>
      <w:szCs w:val="32"/>
      <w:lang w:eastAsia="he-IL"/>
    </w:rPr>
  </w:style>
  <w:style w:type="character" w:customStyle="1" w:styleId="24">
    <w:name w:val="טקסט הערת שוליים תו2"/>
    <w:uiPriority w:val="99"/>
    <w:rsid w:val="00417266"/>
    <w:rPr>
      <w:rFonts w:cs="David"/>
    </w:rPr>
  </w:style>
  <w:style w:type="paragraph" w:styleId="af5">
    <w:name w:val="TOC Heading"/>
    <w:basedOn w:val="1"/>
    <w:next w:val="a0"/>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a1"/>
    <w:rsid w:val="00417266"/>
  </w:style>
  <w:style w:type="character" w:customStyle="1" w:styleId="15">
    <w:name w:val="נושא הערה תו1"/>
    <w:basedOn w:val="13"/>
    <w:uiPriority w:val="99"/>
    <w:semiHidden/>
    <w:rsid w:val="00417266"/>
    <w:rPr>
      <w:b/>
      <w:bCs/>
      <w:szCs w:val="20"/>
    </w:rPr>
  </w:style>
  <w:style w:type="character" w:styleId="FollowedHyperlink">
    <w:name w:val="FollowedHyperlink"/>
    <w:basedOn w:val="a1"/>
    <w:uiPriority w:val="99"/>
    <w:semiHidden/>
    <w:unhideWhenUsed/>
    <w:rsid w:val="00417266"/>
    <w:rPr>
      <w:color w:val="B26B02" w:themeColor="followedHyperlink"/>
      <w:u w:val="single"/>
    </w:rPr>
  </w:style>
  <w:style w:type="paragraph" w:styleId="af6">
    <w:name w:val="table of figures"/>
    <w:basedOn w:val="a0"/>
    <w:next w:val="a0"/>
    <w:uiPriority w:val="99"/>
    <w:semiHidden/>
    <w:unhideWhenUsed/>
    <w:rsid w:val="00417266"/>
  </w:style>
  <w:style w:type="character" w:styleId="af7">
    <w:name w:val="Placeholder Text"/>
    <w:basedOn w:val="a1"/>
    <w:uiPriority w:val="99"/>
    <w:semiHidden/>
    <w:rsid w:val="00417266"/>
    <w:rPr>
      <w:color w:val="808080"/>
    </w:rPr>
  </w:style>
  <w:style w:type="paragraph" w:customStyle="1" w:styleId="733155">
    <w:name w:val="73א כותרת 3_15.5"/>
    <w:basedOn w:val="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a0"/>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6">
    <w:name w:val="73א הערות שוליים"/>
    <w:basedOn w:val="a7"/>
    <w:link w:val="737"/>
    <w:qFormat/>
    <w:rsid w:val="00DE1F29"/>
    <w:pPr>
      <w:keepLines/>
      <w:spacing w:after="60" w:line="220" w:lineRule="exact"/>
      <w:ind w:left="397" w:hanging="397"/>
    </w:pPr>
    <w:rPr>
      <w:rFonts w:ascii="Tahoma" w:hAnsi="Tahoma" w:cs="Tahoma"/>
      <w:color w:val="0D0D0D" w:themeColor="text1" w:themeTint="F2"/>
      <w:sz w:val="14"/>
      <w:szCs w:val="14"/>
    </w:rPr>
  </w:style>
  <w:style w:type="paragraph" w:customStyle="1" w:styleId="738">
    <w:name w:val="73א לוחות/תרשימים/תמונות/אינפוגרפיקה/מפות"/>
    <w:basedOn w:val="a0"/>
    <w:qFormat/>
    <w:rsid w:val="004B039B"/>
    <w:pPr>
      <w:keepNext/>
      <w:keepLines/>
      <w:widowControl w:val="0"/>
      <w:spacing w:before="240" w:after="240" w:line="260" w:lineRule="exact"/>
      <w:jc w:val="center"/>
      <w:outlineLvl w:val="6"/>
    </w:pPr>
    <w:rPr>
      <w:rFonts w:ascii="Tahoma" w:eastAsiaTheme="minorEastAsia" w:hAnsi="Tahoma" w:cs="Tahoma"/>
      <w:b/>
      <w:bCs/>
      <w:color w:val="0D0D0D" w:themeColor="text1" w:themeTint="F2"/>
      <w:szCs w:val="20"/>
    </w:rPr>
  </w:style>
  <w:style w:type="paragraph" w:customStyle="1" w:styleId="218">
    <w:name w:val="כותרת 2_18"/>
    <w:basedOn w:val="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d">
    <w:name w:val="פיסקת רשימה תו"/>
    <w:aliases w:val="LP1 תו,פיסקת bullets תו,Bullet List תו,FooterText תו,List Paragraph_0 תו,List Paragraph_1 תו,List Paragraph_2 תו,Paragraphe de liste1 תו,lp1 תו,numbered תו,List Paragraph1 תו,style 2 תו"/>
    <w:link w:val="ac"/>
    <w:uiPriority w:val="34"/>
    <w:rsid w:val="00DD7B55"/>
  </w:style>
  <w:style w:type="paragraph" w:customStyle="1" w:styleId="739">
    <w:name w:val="73א הזחה ראשונה מספר"/>
    <w:basedOn w:val="ac"/>
    <w:link w:val="73a"/>
    <w:qFormat/>
    <w:rsid w:val="0091353C"/>
    <w:pPr>
      <w:spacing w:after="180" w:line="260" w:lineRule="exact"/>
      <w:ind w:left="709" w:hanging="454"/>
      <w:contextualSpacing w:val="0"/>
    </w:pPr>
    <w:rPr>
      <w:rFonts w:ascii="Tahoma" w:hAnsi="Tahoma" w:cs="Tahoma"/>
      <w:color w:val="0D0D0D" w:themeColor="text1" w:themeTint="F2"/>
      <w:sz w:val="18"/>
      <w:szCs w:val="18"/>
    </w:rPr>
  </w:style>
  <w:style w:type="paragraph" w:customStyle="1" w:styleId="73b">
    <w:name w:val="73א הזחה שנייה ריק"/>
    <w:basedOn w:val="af1"/>
    <w:link w:val="73c"/>
    <w:qFormat/>
    <w:rsid w:val="0074714A"/>
    <w:pPr>
      <w:spacing w:after="180" w:line="260" w:lineRule="exact"/>
      <w:ind w:left="794"/>
    </w:pPr>
    <w:rPr>
      <w:color w:val="0D0D0D" w:themeColor="text1" w:themeTint="F2"/>
      <w:sz w:val="18"/>
      <w:szCs w:val="18"/>
    </w:rPr>
  </w:style>
  <w:style w:type="paragraph" w:customStyle="1" w:styleId="73d">
    <w:name w:val="73א הזחה שנייה אותיות"/>
    <w:basedOn w:val="ac"/>
    <w:qFormat/>
    <w:rsid w:val="00591F15"/>
    <w:pPr>
      <w:spacing w:after="180" w:line="260" w:lineRule="exact"/>
      <w:ind w:left="0"/>
    </w:pPr>
    <w:rPr>
      <w:rFonts w:ascii="Tahoma" w:hAnsi="Tahoma" w:cs="Tahoma"/>
      <w:color w:val="0D0D0D" w:themeColor="text1" w:themeTint="F2"/>
      <w:sz w:val="18"/>
      <w:szCs w:val="18"/>
    </w:rPr>
  </w:style>
  <w:style w:type="paragraph" w:customStyle="1" w:styleId="73e">
    <w:name w:val="73א מקרא+הערות לתרשים/לוח/תמונה"/>
    <w:basedOn w:val="736"/>
    <w:link w:val="73f"/>
    <w:qFormat/>
    <w:rsid w:val="00DE1F29"/>
    <w:pPr>
      <w:keepLines w:val="0"/>
      <w:spacing w:before="120" w:after="240" w:line="260" w:lineRule="exact"/>
      <w:ind w:left="0" w:firstLine="0"/>
    </w:pPr>
    <w:rPr>
      <w:sz w:val="16"/>
      <w:szCs w:val="16"/>
    </w:rPr>
  </w:style>
  <w:style w:type="paragraph" w:customStyle="1" w:styleId="73f0">
    <w:name w:val="73א קוביה כחולה הזחה שנייה"/>
    <w:basedOn w:val="a0"/>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f1">
    <w:name w:val="73א קוביה כחולה בתוך הזחה ראשונה"/>
    <w:basedOn w:val="73f0"/>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f2">
    <w:name w:val="73א הזחה שנייה ללא מספר"/>
    <w:basedOn w:val="73b"/>
    <w:link w:val="73f3"/>
    <w:qFormat/>
    <w:rsid w:val="00543F8A"/>
  </w:style>
  <w:style w:type="character" w:customStyle="1" w:styleId="73c">
    <w:name w:val="73א הזחה שנייה ריק תו"/>
    <w:basedOn w:val="af2"/>
    <w:link w:val="73b"/>
    <w:rsid w:val="0074714A"/>
    <w:rPr>
      <w:rFonts w:ascii="Tahoma" w:hAnsi="Tahoma" w:cs="Tahoma"/>
      <w:color w:val="0D0D0D" w:themeColor="text1" w:themeTint="F2"/>
      <w:sz w:val="18"/>
      <w:szCs w:val="18"/>
    </w:rPr>
  </w:style>
  <w:style w:type="character" w:customStyle="1" w:styleId="73f3">
    <w:name w:val="73א הזחה שנייה ללא מספר תו"/>
    <w:basedOn w:val="73c"/>
    <w:link w:val="73f2"/>
    <w:rsid w:val="00543F8A"/>
    <w:rPr>
      <w:rFonts w:ascii="Tahoma" w:hAnsi="Tahoma" w:cs="Tahoma"/>
      <w:color w:val="0D0D0D" w:themeColor="text1" w:themeTint="F2"/>
      <w:sz w:val="18"/>
      <w:szCs w:val="18"/>
    </w:rPr>
  </w:style>
  <w:style w:type="paragraph" w:customStyle="1" w:styleId="73f4">
    <w:name w:val="73א מספור הערות שוליים"/>
    <w:basedOn w:val="736"/>
    <w:qFormat/>
    <w:rsid w:val="003B639B"/>
  </w:style>
  <w:style w:type="paragraph" w:customStyle="1" w:styleId="73R">
    <w:name w:val="73א טבלה טקסט R"/>
    <w:basedOn w:val="a0"/>
    <w:qFormat/>
    <w:rsid w:val="002F5524"/>
    <w:pPr>
      <w:keepLines/>
      <w:spacing w:before="120" w:after="120" w:line="180" w:lineRule="exact"/>
      <w:jc w:val="left"/>
    </w:pPr>
    <w:rPr>
      <w:rFonts w:ascii="Tahoma" w:eastAsiaTheme="minorEastAsia" w:hAnsi="Tahoma" w:cs="Tahoma"/>
      <w:sz w:val="16"/>
      <w:szCs w:val="16"/>
    </w:rPr>
  </w:style>
  <w:style w:type="paragraph" w:customStyle="1" w:styleId="73B0">
    <w:name w:val="73א טבלה טקסט B"/>
    <w:basedOn w:val="a0"/>
    <w:qFormat/>
    <w:rsid w:val="00520550"/>
    <w:pPr>
      <w:spacing w:before="120" w:after="120" w:line="180" w:lineRule="exact"/>
      <w:jc w:val="left"/>
    </w:pPr>
    <w:rPr>
      <w:rFonts w:ascii="Tahoma" w:eastAsiaTheme="minorEastAsia" w:hAnsi="Tahoma" w:cs="Tahoma"/>
      <w:b/>
      <w:bCs/>
      <w:sz w:val="16"/>
      <w:szCs w:val="16"/>
    </w:rPr>
  </w:style>
  <w:style w:type="paragraph" w:customStyle="1" w:styleId="73HEADER">
    <w:name w:val="73א טבלה HEADER"/>
    <w:basedOn w:val="a0"/>
    <w:qFormat/>
    <w:rsid w:val="00520550"/>
    <w:pPr>
      <w:spacing w:before="120" w:after="120" w:line="180" w:lineRule="exact"/>
      <w:jc w:val="left"/>
    </w:pPr>
    <w:rPr>
      <w:rFonts w:ascii="Tahoma" w:eastAsiaTheme="minorEastAsia" w:hAnsi="Tahoma" w:cs="Tahoma"/>
      <w:b/>
      <w:color w:val="0D0D0D" w:themeColor="text1" w:themeTint="F2"/>
      <w:sz w:val="16"/>
      <w:szCs w:val="16"/>
    </w:rPr>
  </w:style>
  <w:style w:type="paragraph" w:customStyle="1" w:styleId="af8">
    <w:name w:val="כניסה שלישית"/>
    <w:basedOn w:val="ac"/>
    <w:qFormat/>
    <w:rsid w:val="008E5512"/>
    <w:pPr>
      <w:spacing w:after="120"/>
      <w:ind w:left="0"/>
    </w:pPr>
    <w:rPr>
      <w:rFonts w:ascii="Tahoma" w:hAnsi="Tahoma" w:cs="Tahoma"/>
      <w:szCs w:val="20"/>
    </w:rPr>
  </w:style>
  <w:style w:type="paragraph" w:customStyle="1" w:styleId="73f5">
    <w:name w:val="73א הזחה שלישית"/>
    <w:basedOn w:val="73f2"/>
    <w:qFormat/>
    <w:rsid w:val="00591F15"/>
    <w:pPr>
      <w:ind w:left="1191"/>
    </w:pPr>
  </w:style>
  <w:style w:type="paragraph" w:customStyle="1" w:styleId="73f6">
    <w:name w:val="73א קוביה כחולה הזחה שלישית"/>
    <w:basedOn w:val="73f0"/>
    <w:qFormat/>
    <w:rsid w:val="00FF6AD9"/>
    <w:pPr>
      <w:framePr w:wrap="around" w:vAnchor="text" w:hAnchor="text" w:y="1"/>
      <w:shd w:val="solid" w:color="CEEAF6" w:fill="CEEAF6"/>
      <w:spacing w:after="120"/>
      <w:ind w:left="1474"/>
    </w:pPr>
  </w:style>
  <w:style w:type="paragraph" w:customStyle="1" w:styleId="16">
    <w:name w:val="קוביה הזחה 1"/>
    <w:basedOn w:val="73f0"/>
    <w:qFormat/>
    <w:rsid w:val="005C2859"/>
    <w:pPr>
      <w:ind w:left="680"/>
    </w:pPr>
  </w:style>
  <w:style w:type="paragraph" w:customStyle="1" w:styleId="73f7">
    <w:name w:val="73א הזחה ראשונה ללא מספר"/>
    <w:basedOn w:val="73f2"/>
    <w:qFormat/>
    <w:rsid w:val="003570AC"/>
    <w:pPr>
      <w:ind w:left="397"/>
    </w:pPr>
  </w:style>
  <w:style w:type="paragraph" w:customStyle="1" w:styleId="735">
    <w:name w:val="73א קוביה רצה"/>
    <w:basedOn w:val="73f1"/>
    <w:link w:val="734"/>
    <w:qFormat/>
    <w:rsid w:val="004B039B"/>
    <w:pPr>
      <w:ind w:left="227"/>
    </w:pPr>
  </w:style>
  <w:style w:type="paragraph" w:customStyle="1" w:styleId="73414">
    <w:name w:val="73א כותרת 4_14"/>
    <w:basedOn w:val="4"/>
    <w:qFormat/>
    <w:rsid w:val="0078358A"/>
    <w:pPr>
      <w:spacing w:after="180" w:line="240" w:lineRule="atLeast"/>
      <w:jc w:val="left"/>
    </w:pPr>
    <w:rPr>
      <w:rFonts w:ascii="Tahoma" w:hAnsi="Tahoma" w:cs="Tahoma"/>
      <w:b/>
      <w:color w:val="00305F"/>
      <w:sz w:val="28"/>
      <w:szCs w:val="28"/>
    </w:rPr>
  </w:style>
  <w:style w:type="paragraph" w:customStyle="1" w:styleId="73f8">
    <w:name w:val="73א הזחה בתוך קוביה"/>
    <w:basedOn w:val="735"/>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f9">
    <w:name w:val="73א מספרים בתוך קוביה"/>
    <w:basedOn w:val="73f8"/>
    <w:rsid w:val="00520550"/>
  </w:style>
  <w:style w:type="paragraph" w:customStyle="1" w:styleId="7311">
    <w:name w:val="73א אותיות בתוך קוביה 1"/>
    <w:basedOn w:val="73f9"/>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a0"/>
    <w:uiPriority w:val="99"/>
    <w:rsid w:val="006D5CCE"/>
    <w:pPr>
      <w:bidi w:val="0"/>
      <w:spacing w:before="100" w:beforeAutospacing="1" w:after="100" w:afterAutospacing="1" w:line="240" w:lineRule="auto"/>
      <w:jc w:val="left"/>
    </w:pPr>
    <w:rPr>
      <w:rFonts w:cs="Times New Roman"/>
      <w:sz w:val="24"/>
    </w:rPr>
  </w:style>
  <w:style w:type="paragraph" w:styleId="af9">
    <w:name w:val="Plain Text"/>
    <w:basedOn w:val="a0"/>
    <w:link w:val="afa"/>
    <w:uiPriority w:val="99"/>
    <w:unhideWhenUsed/>
    <w:rsid w:val="006D5CCE"/>
    <w:pPr>
      <w:spacing w:line="240" w:lineRule="auto"/>
      <w:jc w:val="left"/>
    </w:pPr>
    <w:rPr>
      <w:rFonts w:ascii="Calibri" w:hAnsi="Calibri" w:cstheme="minorBidi"/>
      <w:sz w:val="22"/>
      <w:szCs w:val="21"/>
    </w:rPr>
  </w:style>
  <w:style w:type="character" w:customStyle="1" w:styleId="afa">
    <w:name w:val="טקסט רגיל תו"/>
    <w:basedOn w:val="a1"/>
    <w:link w:val="af9"/>
    <w:uiPriority w:val="99"/>
    <w:rsid w:val="006D5CCE"/>
    <w:rPr>
      <w:rFonts w:ascii="Calibri" w:hAnsi="Calibri" w:cstheme="minorBidi"/>
      <w:sz w:val="22"/>
      <w:szCs w:val="21"/>
    </w:rPr>
  </w:style>
  <w:style w:type="table" w:customStyle="1" w:styleId="25">
    <w:name w:val="רשת טבלה2"/>
    <w:basedOn w:val="a2"/>
    <w:next w:val="a8"/>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endnote text"/>
    <w:basedOn w:val="a0"/>
    <w:link w:val="afc"/>
    <w:uiPriority w:val="99"/>
    <w:semiHidden/>
    <w:unhideWhenUsed/>
    <w:rsid w:val="006D5CCE"/>
    <w:pPr>
      <w:spacing w:line="240" w:lineRule="auto"/>
    </w:pPr>
    <w:rPr>
      <w:szCs w:val="20"/>
    </w:rPr>
  </w:style>
  <w:style w:type="character" w:customStyle="1" w:styleId="afc">
    <w:name w:val="טקסט הערת סיום תו"/>
    <w:basedOn w:val="a1"/>
    <w:link w:val="afb"/>
    <w:uiPriority w:val="99"/>
    <w:semiHidden/>
    <w:rsid w:val="006D5CCE"/>
    <w:rPr>
      <w:szCs w:val="20"/>
    </w:rPr>
  </w:style>
  <w:style w:type="paragraph" w:customStyle="1" w:styleId="110">
    <w:name w:val="כותרת 11"/>
    <w:basedOn w:val="a0"/>
    <w:next w:val="a0"/>
    <w:link w:val="17"/>
    <w:uiPriority w:val="1"/>
    <w:qFormat/>
    <w:rsid w:val="002516DF"/>
    <w:pPr>
      <w:keepNext/>
      <w:keepLines/>
      <w:jc w:val="center"/>
      <w:outlineLvl w:val="0"/>
    </w:pPr>
    <w:rPr>
      <w:rFonts w:eastAsia="Times New Roman"/>
      <w:bCs/>
      <w:szCs w:val="36"/>
      <w:u w:val="single"/>
    </w:rPr>
  </w:style>
  <w:style w:type="paragraph" w:customStyle="1" w:styleId="211">
    <w:name w:val="כותרת 21"/>
    <w:basedOn w:val="a0"/>
    <w:next w:val="a0"/>
    <w:link w:val="26"/>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a0"/>
    <w:next w:val="a0"/>
    <w:link w:val="33"/>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a0"/>
    <w:next w:val="a0"/>
    <w:link w:val="40"/>
    <w:uiPriority w:val="1"/>
    <w:qFormat/>
    <w:rsid w:val="002516DF"/>
    <w:pPr>
      <w:keepNext/>
      <w:keepLines/>
      <w:spacing w:before="120"/>
      <w:outlineLvl w:val="3"/>
    </w:pPr>
    <w:rPr>
      <w:rFonts w:eastAsia="Times New Roman"/>
      <w:bCs/>
      <w:szCs w:val="26"/>
    </w:rPr>
  </w:style>
  <w:style w:type="paragraph" w:customStyle="1" w:styleId="510">
    <w:name w:val="כותרת 51"/>
    <w:basedOn w:val="a0"/>
    <w:next w:val="a0"/>
    <w:link w:val="50"/>
    <w:uiPriority w:val="1"/>
    <w:qFormat/>
    <w:rsid w:val="002516DF"/>
    <w:pPr>
      <w:keepNext/>
      <w:keepLines/>
      <w:outlineLvl w:val="4"/>
    </w:pPr>
    <w:rPr>
      <w:rFonts w:eastAsia="Times New Roman"/>
      <w:bCs/>
      <w:spacing w:val="40"/>
    </w:rPr>
  </w:style>
  <w:style w:type="paragraph" w:customStyle="1" w:styleId="610">
    <w:name w:val="כותרת 61"/>
    <w:basedOn w:val="a0"/>
    <w:next w:val="a0"/>
    <w:link w:val="60"/>
    <w:uiPriority w:val="1"/>
    <w:qFormat/>
    <w:rsid w:val="002516DF"/>
    <w:pPr>
      <w:keepNext/>
      <w:keepLines/>
      <w:outlineLvl w:val="5"/>
    </w:pPr>
    <w:rPr>
      <w:rFonts w:eastAsia="Times New Roman"/>
      <w:spacing w:val="40"/>
    </w:rPr>
  </w:style>
  <w:style w:type="paragraph" w:customStyle="1" w:styleId="710">
    <w:name w:val="כותרת 71"/>
    <w:basedOn w:val="a0"/>
    <w:next w:val="a0"/>
    <w:link w:val="72"/>
    <w:uiPriority w:val="1"/>
    <w:qFormat/>
    <w:rsid w:val="002516DF"/>
    <w:pPr>
      <w:keepNext/>
      <w:keepLines/>
      <w:outlineLvl w:val="6"/>
    </w:pPr>
    <w:rPr>
      <w:rFonts w:eastAsia="Times New Roman"/>
      <w:bCs/>
      <w:spacing w:val="40"/>
    </w:rPr>
  </w:style>
  <w:style w:type="paragraph" w:customStyle="1" w:styleId="810">
    <w:name w:val="כותרת 81"/>
    <w:basedOn w:val="a0"/>
    <w:next w:val="a0"/>
    <w:link w:val="80"/>
    <w:uiPriority w:val="1"/>
    <w:qFormat/>
    <w:rsid w:val="002516DF"/>
    <w:pPr>
      <w:keepNext/>
      <w:keepLines/>
      <w:outlineLvl w:val="7"/>
    </w:pPr>
    <w:rPr>
      <w:rFonts w:eastAsia="Times New Roman"/>
      <w:spacing w:val="40"/>
    </w:rPr>
  </w:style>
  <w:style w:type="character" w:customStyle="1" w:styleId="17">
    <w:name w:val="כותרת 1 תו"/>
    <w:link w:val="110"/>
    <w:uiPriority w:val="1"/>
    <w:rsid w:val="002516DF"/>
    <w:rPr>
      <w:rFonts w:eastAsia="Times New Roman"/>
      <w:bCs/>
      <w:szCs w:val="36"/>
      <w:u w:val="single"/>
    </w:rPr>
  </w:style>
  <w:style w:type="character" w:customStyle="1" w:styleId="26">
    <w:name w:val="כותרת 2 תו"/>
    <w:link w:val="211"/>
    <w:uiPriority w:val="1"/>
    <w:rsid w:val="002516DF"/>
    <w:rPr>
      <w:rFonts w:eastAsia="Times New Roman"/>
      <w:bCs/>
      <w:szCs w:val="32"/>
    </w:rPr>
  </w:style>
  <w:style w:type="character" w:customStyle="1" w:styleId="33">
    <w:name w:val="כותרת 3 תו"/>
    <w:link w:val="31"/>
    <w:uiPriority w:val="1"/>
    <w:rsid w:val="002516DF"/>
    <w:rPr>
      <w:rFonts w:eastAsia="Times New Roman"/>
      <w:bCs/>
      <w:szCs w:val="28"/>
      <w:u w:val="single"/>
    </w:rPr>
  </w:style>
  <w:style w:type="character" w:customStyle="1" w:styleId="40">
    <w:name w:val="כותרת 4 תו"/>
    <w:link w:val="410"/>
    <w:uiPriority w:val="1"/>
    <w:rsid w:val="002516DF"/>
    <w:rPr>
      <w:rFonts w:eastAsia="Times New Roman"/>
      <w:bCs/>
      <w:szCs w:val="26"/>
    </w:rPr>
  </w:style>
  <w:style w:type="character" w:customStyle="1" w:styleId="50">
    <w:name w:val="כותרת 5 תו"/>
    <w:link w:val="510"/>
    <w:uiPriority w:val="1"/>
    <w:rsid w:val="002516DF"/>
    <w:rPr>
      <w:rFonts w:eastAsia="Times New Roman"/>
      <w:bCs/>
      <w:spacing w:val="40"/>
    </w:rPr>
  </w:style>
  <w:style w:type="character" w:customStyle="1" w:styleId="60">
    <w:name w:val="כותרת 6 תו"/>
    <w:link w:val="610"/>
    <w:uiPriority w:val="1"/>
    <w:rsid w:val="002516DF"/>
    <w:rPr>
      <w:rFonts w:eastAsia="Times New Roman"/>
      <w:spacing w:val="40"/>
    </w:rPr>
  </w:style>
  <w:style w:type="character" w:customStyle="1" w:styleId="72">
    <w:name w:val="כותרת 7 תו"/>
    <w:link w:val="710"/>
    <w:uiPriority w:val="1"/>
    <w:rsid w:val="002516DF"/>
    <w:rPr>
      <w:rFonts w:eastAsia="Times New Roman"/>
      <w:bCs/>
      <w:spacing w:val="40"/>
    </w:rPr>
  </w:style>
  <w:style w:type="character" w:customStyle="1" w:styleId="80">
    <w:name w:val="כותרת 8 תו"/>
    <w:link w:val="810"/>
    <w:uiPriority w:val="1"/>
    <w:rsid w:val="002516DF"/>
    <w:rPr>
      <w:rFonts w:eastAsia="Times New Roman"/>
      <w:spacing w:val="40"/>
    </w:rPr>
  </w:style>
  <w:style w:type="paragraph" w:customStyle="1" w:styleId="18">
    <w:name w:val="כותרת עליונה1"/>
    <w:basedOn w:val="a0"/>
    <w:link w:val="afd"/>
    <w:uiPriority w:val="99"/>
    <w:unhideWhenUsed/>
    <w:rsid w:val="002516DF"/>
    <w:pPr>
      <w:tabs>
        <w:tab w:val="center" w:pos="4153"/>
        <w:tab w:val="right" w:pos="8306"/>
      </w:tabs>
      <w:spacing w:line="240" w:lineRule="auto"/>
    </w:pPr>
    <w:rPr>
      <w:rFonts w:eastAsia="Calibri"/>
    </w:rPr>
  </w:style>
  <w:style w:type="character" w:customStyle="1" w:styleId="afd">
    <w:name w:val="כותרת עליונה תו"/>
    <w:basedOn w:val="a1"/>
    <w:link w:val="18"/>
    <w:uiPriority w:val="99"/>
    <w:rsid w:val="002516DF"/>
    <w:rPr>
      <w:rFonts w:eastAsia="Calibri"/>
    </w:rPr>
  </w:style>
  <w:style w:type="paragraph" w:customStyle="1" w:styleId="19">
    <w:name w:val="כותרת תחתונה1"/>
    <w:basedOn w:val="a0"/>
    <w:link w:val="afe"/>
    <w:uiPriority w:val="99"/>
    <w:unhideWhenUsed/>
    <w:rsid w:val="002516DF"/>
    <w:pPr>
      <w:tabs>
        <w:tab w:val="center" w:pos="4153"/>
        <w:tab w:val="right" w:pos="8306"/>
      </w:tabs>
      <w:spacing w:line="240" w:lineRule="auto"/>
    </w:pPr>
    <w:rPr>
      <w:rFonts w:eastAsia="Calibri"/>
    </w:rPr>
  </w:style>
  <w:style w:type="character" w:customStyle="1" w:styleId="afe">
    <w:name w:val="כותרת תחתונה תו"/>
    <w:basedOn w:val="a1"/>
    <w:link w:val="19"/>
    <w:uiPriority w:val="99"/>
    <w:rsid w:val="002516DF"/>
    <w:rPr>
      <w:rFonts w:eastAsia="Calibri"/>
    </w:rPr>
  </w:style>
  <w:style w:type="paragraph" w:customStyle="1" w:styleId="1a">
    <w:name w:val="תאריך1"/>
    <w:basedOn w:val="a0"/>
    <w:next w:val="a0"/>
    <w:link w:val="aff"/>
    <w:uiPriority w:val="99"/>
    <w:unhideWhenUsed/>
    <w:rsid w:val="002516DF"/>
    <w:pPr>
      <w:spacing w:before="120" w:line="240" w:lineRule="auto"/>
    </w:pPr>
    <w:rPr>
      <w:rFonts w:eastAsia="Calibri"/>
    </w:rPr>
  </w:style>
  <w:style w:type="character" w:customStyle="1" w:styleId="aff">
    <w:name w:val="תאריך תו"/>
    <w:basedOn w:val="a1"/>
    <w:link w:val="1a"/>
    <w:uiPriority w:val="99"/>
    <w:rsid w:val="002516DF"/>
    <w:rPr>
      <w:rFonts w:eastAsia="Calibri"/>
    </w:rPr>
  </w:style>
  <w:style w:type="character" w:customStyle="1" w:styleId="aff0">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Char תו"/>
    <w:uiPriority w:val="99"/>
    <w:rsid w:val="002516DF"/>
    <w:rPr>
      <w:szCs w:val="20"/>
    </w:rPr>
  </w:style>
  <w:style w:type="paragraph" w:customStyle="1" w:styleId="1b">
    <w:name w:val="פיסקת רשימה1"/>
    <w:basedOn w:val="a0"/>
    <w:uiPriority w:val="34"/>
    <w:qFormat/>
    <w:rsid w:val="002516DF"/>
    <w:pPr>
      <w:ind w:left="720"/>
      <w:contextualSpacing/>
    </w:pPr>
    <w:rPr>
      <w:rFonts w:eastAsia="Calibri"/>
    </w:rPr>
  </w:style>
  <w:style w:type="paragraph" w:customStyle="1" w:styleId="aff1">
    <w:name w:val="סגנון רגיל +"/>
    <w:basedOn w:val="a0"/>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c">
    <w:name w:val="טקסט בלונים1"/>
    <w:basedOn w:val="a0"/>
    <w:link w:val="aff2"/>
    <w:uiPriority w:val="99"/>
    <w:semiHidden/>
    <w:unhideWhenUsed/>
    <w:rsid w:val="002516DF"/>
    <w:pPr>
      <w:spacing w:line="240" w:lineRule="auto"/>
    </w:pPr>
    <w:rPr>
      <w:rFonts w:ascii="Tahoma" w:eastAsia="Calibri" w:hAnsi="Tahoma" w:cs="Tahoma"/>
      <w:sz w:val="18"/>
      <w:szCs w:val="18"/>
    </w:rPr>
  </w:style>
  <w:style w:type="character" w:customStyle="1" w:styleId="aff2">
    <w:name w:val="טקסט בלונים תו"/>
    <w:link w:val="1c"/>
    <w:uiPriority w:val="99"/>
    <w:semiHidden/>
    <w:rsid w:val="002516DF"/>
    <w:rPr>
      <w:rFonts w:ascii="Tahoma" w:eastAsia="Calibri" w:hAnsi="Tahoma" w:cs="Tahoma"/>
      <w:sz w:val="18"/>
      <w:szCs w:val="18"/>
    </w:rPr>
  </w:style>
  <w:style w:type="character" w:customStyle="1" w:styleId="1d">
    <w:name w:val="כותרת תחתונה תו1"/>
    <w:uiPriority w:val="99"/>
    <w:rsid w:val="002516DF"/>
    <w:rPr>
      <w:rFonts w:cs="David"/>
      <w:sz w:val="24"/>
      <w:szCs w:val="24"/>
    </w:rPr>
  </w:style>
  <w:style w:type="character" w:customStyle="1" w:styleId="1e">
    <w:name w:val="טקסט הערת שוליים תו1"/>
    <w:aliases w:val="Sharp - Footnote Text1 Char תו"/>
    <w:locked/>
    <w:rsid w:val="002516DF"/>
    <w:rPr>
      <w:rFonts w:cs="David"/>
      <w:sz w:val="20"/>
      <w:szCs w:val="20"/>
      <w:lang w:bidi="he-IL"/>
    </w:rPr>
  </w:style>
  <w:style w:type="character" w:customStyle="1" w:styleId="90">
    <w:name w:val="כותרת 9 תו"/>
    <w:locked/>
    <w:rsid w:val="002516DF"/>
    <w:rPr>
      <w:rFonts w:ascii="Cambria" w:hAnsi="Cambria" w:cs="Times New Roman"/>
    </w:rPr>
  </w:style>
  <w:style w:type="paragraph" w:customStyle="1" w:styleId="BulletList2">
    <w:name w:val="Bullet List 2"/>
    <w:basedOn w:val="a0"/>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a0"/>
    <w:next w:val="a0"/>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a2"/>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a2"/>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a2"/>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f">
    <w:name w:val="רשת טבלה בהירה1"/>
    <w:basedOn w:val="a2"/>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f0">
    <w:name w:val="טקסט הערה1"/>
    <w:basedOn w:val="a0"/>
    <w:link w:val="aff3"/>
    <w:uiPriority w:val="99"/>
    <w:unhideWhenUsed/>
    <w:rsid w:val="002516DF"/>
    <w:pPr>
      <w:spacing w:line="240" w:lineRule="auto"/>
    </w:pPr>
    <w:rPr>
      <w:rFonts w:eastAsia="Calibri"/>
      <w:szCs w:val="20"/>
    </w:rPr>
  </w:style>
  <w:style w:type="character" w:customStyle="1" w:styleId="aff3">
    <w:name w:val="טקסט הערה תו"/>
    <w:link w:val="1f0"/>
    <w:uiPriority w:val="99"/>
    <w:rsid w:val="002516DF"/>
    <w:rPr>
      <w:rFonts w:eastAsia="Calibri"/>
      <w:szCs w:val="20"/>
    </w:rPr>
  </w:style>
  <w:style w:type="paragraph" w:customStyle="1" w:styleId="1f1">
    <w:name w:val="נושא הערה1"/>
    <w:basedOn w:val="1f0"/>
    <w:next w:val="1f0"/>
    <w:link w:val="aff4"/>
    <w:uiPriority w:val="99"/>
    <w:semiHidden/>
    <w:unhideWhenUsed/>
    <w:rsid w:val="002516DF"/>
    <w:rPr>
      <w:b/>
      <w:bCs/>
    </w:rPr>
  </w:style>
  <w:style w:type="character" w:customStyle="1" w:styleId="aff4">
    <w:name w:val="נושא הערה תו"/>
    <w:link w:val="1f1"/>
    <w:uiPriority w:val="99"/>
    <w:semiHidden/>
    <w:rsid w:val="002516DF"/>
    <w:rPr>
      <w:rFonts w:eastAsia="Calibri"/>
      <w:b/>
      <w:bCs/>
      <w:szCs w:val="20"/>
    </w:rPr>
  </w:style>
  <w:style w:type="character" w:customStyle="1" w:styleId="212">
    <w:name w:val="כותרת 2 תו1"/>
    <w:basedOn w:val="a1"/>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a1"/>
    <w:uiPriority w:val="1"/>
    <w:rsid w:val="002516DF"/>
    <w:rPr>
      <w:rFonts w:asciiTheme="majorHAnsi" w:eastAsiaTheme="majorEastAsia" w:hAnsiTheme="majorHAnsi" w:cstheme="majorBidi"/>
      <w:color w:val="0D5571" w:themeColor="accent1" w:themeShade="7F"/>
      <w:sz w:val="24"/>
      <w:szCs w:val="24"/>
    </w:rPr>
  </w:style>
  <w:style w:type="character" w:customStyle="1" w:styleId="1f2">
    <w:name w:val="תאריך תו1"/>
    <w:basedOn w:val="a1"/>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a1"/>
    <w:rsid w:val="00387987"/>
  </w:style>
  <w:style w:type="paragraph" w:customStyle="1" w:styleId="p22">
    <w:name w:val="p22"/>
    <w:basedOn w:val="a0"/>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a0"/>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a2"/>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a2"/>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a2"/>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a2"/>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1">
    <w:name w:val="טבלת רשת 1 בהירה1"/>
    <w:basedOn w:val="a2"/>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a2"/>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a2"/>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fa">
    <w:name w:val="73א כוכבית טקסט רץ"/>
    <w:basedOn w:val="a0"/>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fb">
    <w:name w:val="73א כוכבית בתוך קוביה"/>
    <w:basedOn w:val="735"/>
    <w:qFormat/>
    <w:rsid w:val="001F0DE8"/>
    <w:pPr>
      <w:jc w:val="center"/>
    </w:pPr>
    <w:rPr>
      <w:rFonts w:ascii="Segoe UI Symbol" w:hAnsi="Segoe UI Symbol" w:cs="Segoe UI Symbol"/>
    </w:rPr>
  </w:style>
  <w:style w:type="paragraph" w:customStyle="1" w:styleId="731">
    <w:name w:val="73א הזחה אותיות"/>
    <w:basedOn w:val="ac"/>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
    <w:name w:val="73א מספור בתוך קוביה"/>
    <w:basedOn w:val="ac"/>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ff5">
    <w:name w:val="נבנצלים"/>
    <w:basedOn w:val="a0"/>
    <w:next w:val="a0"/>
    <w:rsid w:val="00114E4E"/>
    <w:pPr>
      <w:widowControl w:val="0"/>
      <w:ind w:left="-567"/>
    </w:pPr>
    <w:rPr>
      <w:rFonts w:eastAsia="Times New Roman"/>
      <w:sz w:val="24"/>
      <w:szCs w:val="20"/>
      <w:lang w:eastAsia="he-IL"/>
    </w:rPr>
  </w:style>
  <w:style w:type="character" w:customStyle="1" w:styleId="Bodytext5">
    <w:name w:val="Body text (5)_"/>
    <w:basedOn w:val="a1"/>
    <w:link w:val="Bodytext50"/>
    <w:rsid w:val="00114E4E"/>
    <w:rPr>
      <w:rFonts w:ascii="David" w:eastAsia="David" w:hAnsi="David"/>
      <w:sz w:val="21"/>
      <w:szCs w:val="21"/>
      <w:shd w:val="clear" w:color="auto" w:fill="FFFFFF"/>
    </w:rPr>
  </w:style>
  <w:style w:type="paragraph" w:customStyle="1" w:styleId="Bodytext50">
    <w:name w:val="Body text (5)"/>
    <w:basedOn w:val="a0"/>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aff6">
    <w:name w:val="Subtitle"/>
    <w:basedOn w:val="a0"/>
    <w:next w:val="a0"/>
    <w:link w:val="aff7"/>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ff7">
    <w:name w:val="כותרת משנה תו"/>
    <w:basedOn w:val="a1"/>
    <w:link w:val="aff6"/>
    <w:rsid w:val="00114E4E"/>
    <w:rPr>
      <w:rFonts w:ascii="Cambria" w:eastAsia="Times New Roman" w:hAnsi="Cambria" w:cs="Times New Roman"/>
      <w:sz w:val="24"/>
      <w:lang w:val="x-none" w:eastAsia="x-none"/>
    </w:rPr>
  </w:style>
  <w:style w:type="paragraph" w:styleId="z-">
    <w:name w:val="HTML Top of Form"/>
    <w:basedOn w:val="a0"/>
    <w:next w:val="a0"/>
    <w:link w:val="z-0"/>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0">
    <w:name w:val="z-ראש טופס תו"/>
    <w:basedOn w:val="a1"/>
    <w:link w:val="z-"/>
    <w:uiPriority w:val="99"/>
    <w:semiHidden/>
    <w:rsid w:val="00114E4E"/>
    <w:rPr>
      <w:rFonts w:ascii="Arial" w:eastAsia="Times New Roman" w:hAnsi="Arial" w:cs="Arial"/>
      <w:vanish/>
      <w:sz w:val="16"/>
      <w:szCs w:val="16"/>
    </w:rPr>
  </w:style>
  <w:style w:type="character" w:customStyle="1" w:styleId="92">
    <w:name w:val="כותרת 9 תו2"/>
    <w:basedOn w:val="a1"/>
    <w:link w:val="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a0"/>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a2"/>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a2"/>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a0"/>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a0"/>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a2"/>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aff8">
    <w:name w:val="No Spacing"/>
    <w:link w:val="aff9"/>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ff9">
    <w:name w:val="ללא מרווח תו"/>
    <w:basedOn w:val="a1"/>
    <w:link w:val="aff8"/>
    <w:uiPriority w:val="1"/>
    <w:rsid w:val="00BA23AE"/>
    <w:rPr>
      <w:rFonts w:asciiTheme="minorHAnsi" w:eastAsiaTheme="minorEastAsia" w:hAnsiTheme="minorHAnsi" w:cstheme="minorBidi"/>
      <w:sz w:val="22"/>
      <w:szCs w:val="22"/>
    </w:rPr>
  </w:style>
  <w:style w:type="character" w:customStyle="1" w:styleId="91">
    <w:name w:val="כותרת 9 תו1"/>
    <w:basedOn w:val="a1"/>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a2"/>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3">
    <w:name w:val="טבלת רשת 21"/>
    <w:basedOn w:val="a2"/>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a">
    <w:name w:val="טבלה הערות מתחת"/>
    <w:basedOn w:val="736"/>
    <w:qFormat/>
    <w:rsid w:val="00771BEC"/>
    <w:pPr>
      <w:spacing w:before="120"/>
    </w:pPr>
  </w:style>
  <w:style w:type="paragraph" w:customStyle="1" w:styleId="730">
    <w:name w:val="73א אותיות רשימה א"/>
    <w:aliases w:val="ב"/>
    <w:basedOn w:val="ac"/>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ffb">
    <w:name w:val="קריאות"/>
    <w:basedOn w:val="a0"/>
    <w:next w:val="a0"/>
    <w:rsid w:val="00CF1EB5"/>
    <w:pPr>
      <w:spacing w:line="240" w:lineRule="exact"/>
    </w:pPr>
    <w:rPr>
      <w:rFonts w:ascii="David" w:eastAsia="Times New Roman" w:hAnsi="David"/>
      <w:sz w:val="24"/>
      <w:u w:val="single"/>
      <w:lang w:eastAsia="he-IL"/>
    </w:rPr>
  </w:style>
  <w:style w:type="paragraph" w:customStyle="1" w:styleId="affc">
    <w:name w:val="יור"/>
    <w:basedOn w:val="a0"/>
    <w:next w:val="a0"/>
    <w:rsid w:val="00CF1EB5"/>
    <w:pPr>
      <w:spacing w:line="240" w:lineRule="exact"/>
    </w:pPr>
    <w:rPr>
      <w:rFonts w:ascii="David" w:eastAsia="Times New Roman" w:hAnsi="David"/>
      <w:sz w:val="24"/>
      <w:u w:val="single"/>
      <w:lang w:eastAsia="he-IL"/>
    </w:rPr>
  </w:style>
  <w:style w:type="character" w:customStyle="1" w:styleId="Char">
    <w:name w:val="ציטוט בג&quot;צ Char"/>
    <w:link w:val="affd"/>
    <w:locked/>
    <w:rsid w:val="00CF1EB5"/>
    <w:rPr>
      <w:bCs/>
      <w:noProof/>
      <w:sz w:val="24"/>
      <w:lang w:eastAsia="he-IL"/>
    </w:rPr>
  </w:style>
  <w:style w:type="paragraph" w:customStyle="1" w:styleId="affd">
    <w:name w:val="ציטוט בג&quot;צ"/>
    <w:basedOn w:val="a0"/>
    <w:link w:val="Char"/>
    <w:qFormat/>
    <w:rsid w:val="00CF1EB5"/>
    <w:pPr>
      <w:spacing w:line="240" w:lineRule="auto"/>
      <w:ind w:left="1440" w:right="1440"/>
    </w:pPr>
    <w:rPr>
      <w:bCs/>
      <w:noProof/>
      <w:sz w:val="24"/>
      <w:lang w:eastAsia="he-IL"/>
    </w:rPr>
  </w:style>
  <w:style w:type="paragraph" w:customStyle="1" w:styleId="7380">
    <w:name w:val="73א כותרת 8"/>
    <w:basedOn w:val="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a2"/>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a2"/>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a2"/>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a2"/>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f3">
    <w:name w:val="כותרת טקסט1"/>
    <w:basedOn w:val="a1"/>
    <w:rsid w:val="00D81F77"/>
  </w:style>
  <w:style w:type="paragraph" w:customStyle="1" w:styleId="a">
    <w:name w:val="כותרת סעיף"/>
    <w:basedOn w:val="a0"/>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ac"/>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a1"/>
    <w:uiPriority w:val="99"/>
    <w:semiHidden/>
    <w:rsid w:val="00DF2BC6"/>
    <w:rPr>
      <w:szCs w:val="20"/>
    </w:rPr>
  </w:style>
  <w:style w:type="character" w:customStyle="1" w:styleId="UnresolvedMention1">
    <w:name w:val="Unresolved Mention1"/>
    <w:basedOn w:val="a1"/>
    <w:uiPriority w:val="99"/>
    <w:semiHidden/>
    <w:unhideWhenUsed/>
    <w:rsid w:val="00B24213"/>
    <w:rPr>
      <w:color w:val="605E5C"/>
      <w:shd w:val="clear" w:color="auto" w:fill="E1DFDD"/>
    </w:rPr>
  </w:style>
  <w:style w:type="character" w:customStyle="1" w:styleId="Bodytext4">
    <w:name w:val="Body text (4)_"/>
    <w:basedOn w:val="a1"/>
    <w:link w:val="Bodytext40"/>
    <w:rsid w:val="008C0B8B"/>
    <w:rPr>
      <w:rFonts w:ascii="David" w:eastAsia="David" w:hAnsi="David"/>
      <w:b/>
      <w:bCs/>
      <w:sz w:val="22"/>
      <w:szCs w:val="22"/>
      <w:shd w:val="clear" w:color="auto" w:fill="FFFFFF"/>
    </w:rPr>
  </w:style>
  <w:style w:type="paragraph" w:customStyle="1" w:styleId="Bodytext40">
    <w:name w:val="Body text (4)"/>
    <w:basedOn w:val="a0"/>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a1"/>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a0"/>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a1"/>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ffe">
    <w:name w:val="טקסט רץ"/>
    <w:basedOn w:val="100"/>
    <w:link w:val="Char0"/>
    <w:qFormat/>
    <w:rsid w:val="00D17911"/>
    <w:pPr>
      <w:spacing w:after="180" w:line="260" w:lineRule="exact"/>
    </w:pPr>
    <w:rPr>
      <w:color w:val="0D0D0D"/>
      <w:szCs w:val="18"/>
    </w:rPr>
  </w:style>
  <w:style w:type="character" w:customStyle="1" w:styleId="10Char">
    <w:name w:val="טקסט רץ 10 Char"/>
    <w:basedOn w:val="a1"/>
    <w:link w:val="100"/>
    <w:rsid w:val="00D17911"/>
    <w:rPr>
      <w:rFonts w:ascii="Tahoma" w:hAnsi="Tahoma" w:cs="Tahoma"/>
      <w:szCs w:val="20"/>
    </w:rPr>
  </w:style>
  <w:style w:type="character" w:customStyle="1" w:styleId="Char0">
    <w:name w:val="טקסט רץ Char"/>
    <w:basedOn w:val="10Char"/>
    <w:link w:val="affe"/>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a1"/>
    <w:link w:val="121"/>
    <w:rsid w:val="00454096"/>
    <w:rPr>
      <w:rFonts w:ascii="Tahoma" w:eastAsiaTheme="minorEastAsia" w:hAnsi="Tahoma" w:cs="Tahoma"/>
      <w:color w:val="2A2AA6"/>
      <w:sz w:val="42"/>
      <w:szCs w:val="42"/>
    </w:rPr>
  </w:style>
  <w:style w:type="character" w:customStyle="1" w:styleId="22021Char">
    <w:name w:val="כותרת 2 תקציר 2021 Char"/>
    <w:basedOn w:val="121Char"/>
    <w:link w:val="22021"/>
    <w:rsid w:val="00E64141"/>
    <w:rPr>
      <w:rFonts w:ascii="Tahoma" w:eastAsiaTheme="minorEastAsia" w:hAnsi="Tahom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eastAsiaTheme="minorEastAsia" w:hAnsi="Tahom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eastAsiaTheme="minorEastAsia" w:hAnsi="Tahom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eastAsiaTheme="minorEastAsia" w:hAnsi="Tahom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eastAsiaTheme="minorEastAsia" w:hAnsi="Tahoma" w:cs="Tahoma"/>
      <w:color w:val="0D0D0D" w:themeColor="text1" w:themeTint="F2"/>
      <w:w w:val="90"/>
      <w:sz w:val="18"/>
      <w:szCs w:val="18"/>
    </w:rPr>
  </w:style>
  <w:style w:type="paragraph" w:customStyle="1" w:styleId="214">
    <w:name w:val="סיכום תקציר 21"/>
    <w:basedOn w:val="a0"/>
    <w:link w:val="21Char"/>
    <w:qFormat/>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215">
    <w:name w:val="עיקרי המלצות הביקורת 21"/>
    <w:basedOn w:val="a0"/>
    <w:link w:val="21Char0"/>
    <w:qFormat/>
    <w:rsid w:val="00454096"/>
    <w:pPr>
      <w:spacing w:after="180" w:line="240" w:lineRule="atLeast"/>
      <w:jc w:val="left"/>
      <w:outlineLvl w:val="1"/>
    </w:pPr>
    <w:rPr>
      <w:rFonts w:ascii="Tahoma" w:eastAsiaTheme="minorEastAsia" w:hAnsi="Tahoma" w:cs="Tahoma"/>
      <w:b/>
      <w:bCs/>
      <w:color w:val="002E5F"/>
      <w:sz w:val="34"/>
      <w:szCs w:val="32"/>
    </w:rPr>
  </w:style>
  <w:style w:type="character" w:customStyle="1" w:styleId="21Char">
    <w:name w:val="סיכום תקציר 21 Char"/>
    <w:basedOn w:val="a1"/>
    <w:link w:val="214"/>
    <w:rsid w:val="00454096"/>
    <w:rPr>
      <w:rFonts w:ascii="Tahoma" w:eastAsiaTheme="minorEastAsia" w:hAnsi="Tahoma" w:cs="Tahoma"/>
      <w:b/>
      <w:bCs/>
      <w:color w:val="00305F"/>
      <w:sz w:val="34"/>
      <w:szCs w:val="32"/>
    </w:rPr>
  </w:style>
  <w:style w:type="paragraph" w:customStyle="1" w:styleId="210">
    <w:name w:val="פעולות הביקורת 21"/>
    <w:basedOn w:val="a0"/>
    <w:link w:val="21Char1"/>
    <w:qFormat/>
    <w:rsid w:val="00454096"/>
    <w:pPr>
      <w:spacing w:after="180" w:line="240" w:lineRule="atLeast"/>
      <w:jc w:val="left"/>
      <w:outlineLvl w:val="1"/>
    </w:pPr>
    <w:rPr>
      <w:rFonts w:ascii="Tahoma" w:eastAsiaTheme="minorEastAsia" w:hAnsi="Tahoma" w:cs="Tahoma"/>
      <w:bCs/>
      <w:color w:val="00305F"/>
      <w:sz w:val="32"/>
      <w:szCs w:val="32"/>
    </w:rPr>
  </w:style>
  <w:style w:type="character" w:customStyle="1" w:styleId="21Char0">
    <w:name w:val="עיקרי המלצות הביקורת 21 Char"/>
    <w:basedOn w:val="a1"/>
    <w:link w:val="215"/>
    <w:rsid w:val="00454096"/>
    <w:rPr>
      <w:rFonts w:ascii="Tahoma" w:eastAsiaTheme="minorEastAsia" w:hAnsi="Tahoma" w:cs="Tahoma"/>
      <w:b/>
      <w:bCs/>
      <w:color w:val="002E5F"/>
      <w:sz w:val="34"/>
      <w:szCs w:val="32"/>
    </w:rPr>
  </w:style>
  <w:style w:type="character" w:customStyle="1" w:styleId="21Char1">
    <w:name w:val="פעולות הביקורת 21 Char"/>
    <w:basedOn w:val="a1"/>
    <w:link w:val="210"/>
    <w:rsid w:val="00454096"/>
    <w:rPr>
      <w:rFonts w:ascii="Tahoma" w:eastAsiaTheme="minorEastAsia" w:hAnsi="Tahoma" w:cs="Tahoma"/>
      <w:b w:val="0"/>
      <w:bCs/>
      <w:color w:val="00305F"/>
      <w:sz w:val="32"/>
      <w:szCs w:val="32"/>
    </w:rPr>
  </w:style>
  <w:style w:type="paragraph" w:customStyle="1" w:styleId="216">
    <w:name w:val="פעולות הביקורת21"/>
    <w:basedOn w:val="a0"/>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a0"/>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afff">
    <w:name w:val="לוחות/תרשימים/תמונות/אינפוגרפיקה/מפות"/>
    <w:basedOn w:val="a0"/>
    <w:qFormat/>
    <w:rsid w:val="00A93F51"/>
    <w:pPr>
      <w:keepNext/>
      <w:spacing w:after="200"/>
      <w:jc w:val="center"/>
    </w:pPr>
    <w:rPr>
      <w:rFonts w:ascii="Tahoma" w:eastAsiaTheme="minorEastAsia" w:hAnsi="Tahoma" w:cs="Tahoma"/>
      <w:color w:val="1481AB" w:themeColor="accent1" w:themeShade="BF"/>
      <w:szCs w:val="20"/>
    </w:rPr>
  </w:style>
  <w:style w:type="paragraph" w:customStyle="1" w:styleId="73fc">
    <w:name w:val="73א כותרת סיכום"/>
    <w:basedOn w:val="733155"/>
    <w:qFormat/>
    <w:rsid w:val="00662020"/>
    <w:rPr>
      <w:b w:val="0"/>
    </w:rPr>
  </w:style>
  <w:style w:type="paragraph" w:customStyle="1" w:styleId="73fd">
    <w:name w:val="73א תמונת המצב העולה מן הביקורת"/>
    <w:basedOn w:val="210"/>
    <w:link w:val="73fe"/>
    <w:qFormat/>
    <w:rsid w:val="006F49D3"/>
    <w:pPr>
      <w:keepNext/>
      <w:keepLines/>
      <w:pBdr>
        <w:top w:val="single" w:sz="12" w:space="5" w:color="auto"/>
      </w:pBdr>
      <w:spacing w:before="360" w:after="240"/>
      <w:outlineLvl w:val="9"/>
    </w:pPr>
    <w:rPr>
      <w:sz w:val="31"/>
      <w:szCs w:val="31"/>
    </w:rPr>
  </w:style>
  <w:style w:type="character" w:customStyle="1" w:styleId="73fe">
    <w:name w:val="73א תמונת המצב העולה מן הביקורת תו"/>
    <w:basedOn w:val="21Char1"/>
    <w:link w:val="73fd"/>
    <w:rsid w:val="006F49D3"/>
    <w:rPr>
      <w:rFonts w:ascii="Tahoma" w:eastAsiaTheme="minorEastAsia" w:hAnsi="Tahoma" w:cs="Tahoma"/>
      <w:b w:val="0"/>
      <w:bCs/>
      <w:color w:val="00305F"/>
      <w:sz w:val="31"/>
      <w:szCs w:val="31"/>
    </w:rPr>
  </w:style>
  <w:style w:type="paragraph" w:customStyle="1" w:styleId="7320">
    <w:name w:val="73א כותרת 2"/>
    <w:link w:val="7321"/>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
    <w:name w:val="73א כותרת 2 תו"/>
    <w:basedOn w:val="a1"/>
    <w:link w:val="7320"/>
    <w:rsid w:val="00BB0517"/>
    <w:rPr>
      <w:rFonts w:ascii="Tahoma" w:hAnsi="Tahoma" w:cs="Tahoma"/>
      <w:b/>
      <w:bCs/>
      <w:color w:val="00305F"/>
      <w:sz w:val="34"/>
      <w:szCs w:val="34"/>
    </w:rPr>
  </w:style>
  <w:style w:type="character" w:customStyle="1" w:styleId="737">
    <w:name w:val="73א הערות שוליים תו"/>
    <w:basedOn w:val="30"/>
    <w:link w:val="736"/>
    <w:rsid w:val="00DE1F29"/>
    <w:rPr>
      <w:rFonts w:ascii="Tahoma" w:hAnsi="Tahoma" w:cs="Tahoma"/>
      <w:color w:val="0D0D0D" w:themeColor="text1" w:themeTint="F2"/>
      <w:sz w:val="14"/>
      <w:szCs w:val="14"/>
    </w:rPr>
  </w:style>
  <w:style w:type="paragraph" w:customStyle="1" w:styleId="7300">
    <w:name w:val="73א מקרא לתרשים תמונה לוח רווח אחרי 0"/>
    <w:basedOn w:val="73e"/>
    <w:link w:val="7301"/>
    <w:qFormat/>
    <w:rsid w:val="00050995"/>
    <w:pPr>
      <w:spacing w:after="0"/>
    </w:pPr>
  </w:style>
  <w:style w:type="character" w:customStyle="1" w:styleId="73f">
    <w:name w:val="73א מקרא+הערות לתרשים/לוח/תמונה תו"/>
    <w:basedOn w:val="737"/>
    <w:link w:val="73e"/>
    <w:rsid w:val="00DE1F29"/>
    <w:rPr>
      <w:rFonts w:ascii="Tahoma" w:hAnsi="Tahoma" w:cs="Tahoma"/>
      <w:color w:val="0D0D0D" w:themeColor="text1" w:themeTint="F2"/>
      <w:sz w:val="16"/>
      <w:szCs w:val="16"/>
    </w:rPr>
  </w:style>
  <w:style w:type="character" w:customStyle="1" w:styleId="7301">
    <w:name w:val="73א מקרא לתרשים תמונה לוח רווח אחרי 0 תו"/>
    <w:basedOn w:val="73f"/>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a1"/>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4">
    <w:name w:val="שורת רווח לפני כותרת 3 בטקסט רץ"/>
    <w:basedOn w:val="a0"/>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a1"/>
    <w:link w:val="34"/>
    <w:rsid w:val="001F3363"/>
    <w:rPr>
      <w:rFonts w:ascii="Tahoma" w:hAnsi="Tahoma" w:cs="Tahoma"/>
      <w:color w:val="0D0D0D" w:themeColor="text1" w:themeTint="F2"/>
      <w:sz w:val="18"/>
      <w:szCs w:val="18"/>
    </w:rPr>
  </w:style>
  <w:style w:type="paragraph" w:customStyle="1" w:styleId="7312">
    <w:name w:val="73א מרווח של 1 בטקס רץ"/>
    <w:basedOn w:val="a0"/>
    <w:link w:val="7313"/>
    <w:qFormat/>
    <w:rsid w:val="001F3363"/>
    <w:pPr>
      <w:spacing w:after="180" w:line="260" w:lineRule="exact"/>
    </w:pPr>
    <w:rPr>
      <w:rFonts w:ascii="Tahoma" w:hAnsi="Tahoma" w:cs="Tahoma"/>
      <w:color w:val="0D0D0D" w:themeColor="text1" w:themeTint="F2"/>
      <w:spacing w:val="20"/>
      <w:sz w:val="18"/>
      <w:szCs w:val="18"/>
    </w:rPr>
  </w:style>
  <w:style w:type="character" w:customStyle="1" w:styleId="7313">
    <w:name w:val="73א מרווח של 1 בטקס רץ תו"/>
    <w:basedOn w:val="a1"/>
    <w:link w:val="7312"/>
    <w:rsid w:val="001F3363"/>
    <w:rPr>
      <w:rFonts w:ascii="Tahoma" w:hAnsi="Tahoma" w:cs="Tahoma"/>
      <w:color w:val="0D0D0D" w:themeColor="text1" w:themeTint="F2"/>
      <w:spacing w:val="20"/>
      <w:sz w:val="18"/>
      <w:szCs w:val="18"/>
    </w:rPr>
  </w:style>
  <w:style w:type="paragraph" w:customStyle="1" w:styleId="afff0">
    <w:name w:val="כותרת לבנה בתוך תבנית אדומה בתקציר"/>
    <w:basedOn w:val="a0"/>
    <w:link w:val="Char1"/>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ff">
    <w:name w:val="73א כותרת לבנה בתוך תבנית אדומה בתקציר"/>
    <w:basedOn w:val="afff0"/>
    <w:link w:val="73ff0"/>
    <w:qFormat/>
    <w:rsid w:val="00524400"/>
    <w:pPr>
      <w:keepNext/>
      <w:keepLines/>
      <w:spacing w:before="0"/>
    </w:pPr>
  </w:style>
  <w:style w:type="character" w:customStyle="1" w:styleId="Char1">
    <w:name w:val="כותרת לבנה בתוך תבנית אדומה בתקציר Char"/>
    <w:basedOn w:val="a1"/>
    <w:link w:val="afff0"/>
    <w:rsid w:val="009D41AC"/>
    <w:rPr>
      <w:rFonts w:ascii="Tahoma" w:hAnsi="Tahoma" w:cs="Tahoma"/>
      <w:b/>
      <w:bCs/>
      <w:color w:val="FFFFFF" w:themeColor="background1"/>
      <w:sz w:val="22"/>
      <w:szCs w:val="22"/>
    </w:rPr>
  </w:style>
  <w:style w:type="character" w:customStyle="1" w:styleId="73ff0">
    <w:name w:val="73א כותרת לבנה בתוך תבנית אדומה בתקציר תו"/>
    <w:basedOn w:val="Char1"/>
    <w:link w:val="73ff"/>
    <w:rsid w:val="00524400"/>
    <w:rPr>
      <w:rFonts w:ascii="Tahoma" w:hAnsi="Tahoma" w:cs="Tahoma"/>
      <w:b/>
      <w:bCs/>
      <w:color w:val="FFFFFF" w:themeColor="background1"/>
      <w:sz w:val="22"/>
      <w:szCs w:val="22"/>
    </w:rPr>
  </w:style>
  <w:style w:type="paragraph" w:customStyle="1" w:styleId="7314">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5-1">
    <w:name w:val="Grid Table 5 Dark Accent 1"/>
    <w:basedOn w:val="a2"/>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ff1">
    <w:name w:val="73א היפרלינק"/>
    <w:basedOn w:val="736"/>
    <w:link w:val="73ff2"/>
    <w:qFormat/>
    <w:rsid w:val="009578F0"/>
    <w:pPr>
      <w:bidi w:val="0"/>
    </w:pPr>
    <w:rPr>
      <w:color w:val="6090CC"/>
      <w:u w:val="single"/>
    </w:rPr>
  </w:style>
  <w:style w:type="character" w:customStyle="1" w:styleId="73ff2">
    <w:name w:val="73א היפרלינק תו"/>
    <w:basedOn w:val="737"/>
    <w:link w:val="73ff1"/>
    <w:rsid w:val="009578F0"/>
    <w:rPr>
      <w:rFonts w:ascii="Tahoma" w:hAnsi="Tahoma" w:cs="Tahoma"/>
      <w:color w:val="6090CC"/>
      <w:sz w:val="14"/>
      <w:szCs w:val="14"/>
      <w:u w:val="single"/>
    </w:rPr>
  </w:style>
  <w:style w:type="paragraph" w:customStyle="1" w:styleId="73ff3">
    <w:name w:val="73א קוביה כחולה עם מספר מוזח"/>
    <w:basedOn w:val="739"/>
    <w:link w:val="73ff4"/>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a">
    <w:name w:val="73א הזחה ראשונה מספר תו"/>
    <w:basedOn w:val="ad"/>
    <w:link w:val="739"/>
    <w:rsid w:val="0091353C"/>
    <w:rPr>
      <w:rFonts w:ascii="Tahoma" w:hAnsi="Tahoma" w:cs="Tahoma"/>
      <w:color w:val="0D0D0D" w:themeColor="text1" w:themeTint="F2"/>
      <w:sz w:val="18"/>
      <w:szCs w:val="18"/>
    </w:rPr>
  </w:style>
  <w:style w:type="character" w:customStyle="1" w:styleId="73ff4">
    <w:name w:val="73א קוביה כחולה עם מספר מוזח תו"/>
    <w:basedOn w:val="73a"/>
    <w:link w:val="73ff3"/>
    <w:rsid w:val="00FF6AD9"/>
    <w:rPr>
      <w:rFonts w:ascii="Tahoma" w:hAnsi="Tahoma" w:cs="Tahoma"/>
      <w:color w:val="0D0D0D" w:themeColor="text1" w:themeTint="F2"/>
      <w:sz w:val="18"/>
      <w:szCs w:val="18"/>
      <w:shd w:val="clear" w:color="auto" w:fill="CEEAF6"/>
    </w:rPr>
  </w:style>
  <w:style w:type="paragraph" w:customStyle="1" w:styleId="73ff5">
    <w:name w:val="73א כותרת טקסט רץ מודגשת"/>
    <w:basedOn w:val="a0"/>
    <w:link w:val="73ff6"/>
    <w:qFormat/>
    <w:rsid w:val="001F3363"/>
    <w:pPr>
      <w:spacing w:after="180" w:line="260" w:lineRule="exact"/>
    </w:pPr>
    <w:rPr>
      <w:rFonts w:ascii="Tahoma" w:hAnsi="Tahoma" w:cs="Tahoma"/>
      <w:b/>
      <w:bCs/>
      <w:color w:val="0D0D0D" w:themeColor="text1" w:themeTint="F2"/>
      <w:sz w:val="18"/>
      <w:szCs w:val="18"/>
    </w:rPr>
  </w:style>
  <w:style w:type="character" w:customStyle="1" w:styleId="73ff6">
    <w:name w:val="73א כותרת טקסט רץ מודגשת תו"/>
    <w:basedOn w:val="a1"/>
    <w:link w:val="73ff5"/>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a"/>
    <w:link w:val="7370"/>
    <w:rsid w:val="0078358A"/>
    <w:rPr>
      <w:rFonts w:ascii="Tahoma" w:hAnsi="Tahoma" w:cs="Tahoma"/>
      <w:bCs/>
      <w:color w:val="0D0D0D" w:themeColor="text1" w:themeTint="F2"/>
      <w:sz w:val="18"/>
      <w:szCs w:val="18"/>
    </w:rPr>
  </w:style>
  <w:style w:type="paragraph" w:customStyle="1" w:styleId="P110">
    <w:name w:val="P11"/>
    <w:basedOn w:val="a0"/>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fff1">
    <w:name w:val="מלל מוצלל"/>
    <w:basedOn w:val="a0"/>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
    <w:name w:val="HTML Preformatted"/>
    <w:basedOn w:val="a0"/>
    <w:link w:val="HTML0"/>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0">
    <w:name w:val="HTML מעוצב מראש תו"/>
    <w:basedOn w:val="a1"/>
    <w:link w:val="HTML"/>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5-5">
    <w:name w:val="Grid Table 5 Dark Accent 5"/>
    <w:basedOn w:val="a2"/>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fff2">
    <w:name w:val="נבנצאל תו"/>
    <w:basedOn w:val="a1"/>
    <w:link w:val="afff3"/>
    <w:uiPriority w:val="99"/>
    <w:locked/>
    <w:rsid w:val="00905FB1"/>
    <w:rPr>
      <w:szCs w:val="20"/>
    </w:rPr>
  </w:style>
  <w:style w:type="paragraph" w:customStyle="1" w:styleId="afff3">
    <w:name w:val="נבנצאל"/>
    <w:basedOn w:val="a0"/>
    <w:next w:val="a0"/>
    <w:link w:val="afff2"/>
    <w:uiPriority w:val="99"/>
    <w:rsid w:val="00905FB1"/>
    <w:pPr>
      <w:ind w:left="-567"/>
    </w:pPr>
    <w:rPr>
      <w:szCs w:val="20"/>
    </w:rPr>
  </w:style>
  <w:style w:type="paragraph" w:styleId="afff4">
    <w:name w:val="Document Map"/>
    <w:basedOn w:val="a0"/>
    <w:link w:val="afff5"/>
    <w:uiPriority w:val="99"/>
    <w:semiHidden/>
    <w:unhideWhenUsed/>
    <w:rsid w:val="0030451F"/>
    <w:pPr>
      <w:spacing w:line="240" w:lineRule="auto"/>
    </w:pPr>
    <w:rPr>
      <w:rFonts w:ascii="Tahoma" w:hAnsi="Tahoma" w:cs="Tahoma"/>
      <w:sz w:val="16"/>
      <w:szCs w:val="16"/>
    </w:rPr>
  </w:style>
  <w:style w:type="character" w:customStyle="1" w:styleId="afff5">
    <w:name w:val="מפת מסמך תו"/>
    <w:basedOn w:val="a1"/>
    <w:link w:val="afff4"/>
    <w:uiPriority w:val="99"/>
    <w:semiHidden/>
    <w:rsid w:val="0030451F"/>
    <w:rPr>
      <w:rFonts w:ascii="Tahoma" w:hAnsi="Tahoma" w:cs="Tahoma"/>
      <w:sz w:val="16"/>
      <w:szCs w:val="16"/>
    </w:rPr>
  </w:style>
  <w:style w:type="paragraph" w:customStyle="1" w:styleId="1f4">
    <w:name w:val="סגנון1"/>
    <w:basedOn w:val="af0"/>
    <w:qFormat/>
    <w:rsid w:val="0030451F"/>
    <w:pPr>
      <w:jc w:val="center"/>
    </w:pPr>
    <w:rPr>
      <w:b/>
      <w:bCs/>
      <w:iCs w:val="0"/>
      <w:color w:val="000000" w:themeColor="text1"/>
      <w:sz w:val="24"/>
      <w:szCs w:val="24"/>
    </w:rPr>
  </w:style>
  <w:style w:type="paragraph" w:customStyle="1" w:styleId="27">
    <w:name w:val="סגנון2"/>
    <w:basedOn w:val="af0"/>
    <w:autoRedefine/>
    <w:qFormat/>
    <w:rsid w:val="0030451F"/>
    <w:pPr>
      <w:jc w:val="center"/>
    </w:pPr>
    <w:rPr>
      <w:b/>
      <w:bCs/>
      <w:iCs w:val="0"/>
      <w:color w:val="000000" w:themeColor="text1"/>
      <w:sz w:val="24"/>
      <w:szCs w:val="24"/>
    </w:rPr>
  </w:style>
  <w:style w:type="paragraph" w:customStyle="1" w:styleId="35">
    <w:name w:val="סגנון3"/>
    <w:basedOn w:val="af0"/>
    <w:autoRedefine/>
    <w:qFormat/>
    <w:rsid w:val="0030451F"/>
    <w:pPr>
      <w:jc w:val="center"/>
    </w:pPr>
    <w:rPr>
      <w:b/>
      <w:bCs/>
      <w:iCs w:val="0"/>
      <w:color w:val="000000" w:themeColor="text1"/>
      <w:sz w:val="24"/>
      <w:szCs w:val="24"/>
    </w:rPr>
  </w:style>
  <w:style w:type="paragraph" w:customStyle="1" w:styleId="42">
    <w:name w:val="סגנון4"/>
    <w:basedOn w:val="af0"/>
    <w:autoRedefine/>
    <w:qFormat/>
    <w:rsid w:val="0030451F"/>
    <w:pPr>
      <w:jc w:val="center"/>
    </w:pPr>
    <w:rPr>
      <w:b/>
      <w:bCs/>
      <w:iCs w:val="0"/>
      <w:color w:val="000000" w:themeColor="text1"/>
      <w:sz w:val="24"/>
      <w:szCs w:val="24"/>
    </w:rPr>
  </w:style>
  <w:style w:type="paragraph" w:customStyle="1" w:styleId="afff6">
    <w:name w:val="סגנון כיתוב + לא מודגש לא נטוי"/>
    <w:basedOn w:val="af0"/>
    <w:rsid w:val="0030451F"/>
    <w:pPr>
      <w:spacing w:after="0"/>
    </w:pPr>
    <w:rPr>
      <w:i w:val="0"/>
      <w:color w:val="auto"/>
      <w:sz w:val="20"/>
      <w:szCs w:val="24"/>
    </w:rPr>
  </w:style>
  <w:style w:type="paragraph" w:customStyle="1" w:styleId="-8">
    <w:name w:val="רשויות מקומיות - כותרת 8 בתוך טקסט"/>
    <w:basedOn w:val="a0"/>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a1"/>
    <w:link w:val="-8"/>
    <w:rsid w:val="001F3363"/>
    <w:rPr>
      <w:rFonts w:ascii="Tahoma" w:hAnsi="Tahoma" w:cs="Tahoma"/>
      <w:color w:val="00305F"/>
      <w:spacing w:val="20"/>
      <w:sz w:val="18"/>
      <w:szCs w:val="18"/>
    </w:rPr>
  </w:style>
  <w:style w:type="paragraph" w:customStyle="1" w:styleId="7350">
    <w:name w:val="73א כותרת 5 בתוך טקסט מודגש"/>
    <w:basedOn w:val="a0"/>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a1"/>
    <w:link w:val="7350"/>
    <w:rsid w:val="001F3363"/>
    <w:rPr>
      <w:rFonts w:ascii="Tahoma" w:hAnsi="Tahoma" w:cs="Tahoma"/>
      <w:bCs/>
      <w:color w:val="00305F"/>
      <w:sz w:val="18"/>
      <w:szCs w:val="18"/>
    </w:rPr>
  </w:style>
  <w:style w:type="paragraph" w:customStyle="1" w:styleId="7381">
    <w:name w:val="73א כותרת 8 בתוך טקסט"/>
    <w:basedOn w:val="a0"/>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a1"/>
    <w:link w:val="7381"/>
    <w:rsid w:val="0078358A"/>
    <w:rPr>
      <w:rFonts w:ascii="Tahoma" w:hAnsi="Tahoma" w:cs="Tahoma"/>
      <w:color w:val="0D0D0D" w:themeColor="text1" w:themeTint="F2"/>
      <w:spacing w:val="20"/>
      <w:sz w:val="19"/>
      <w:szCs w:val="18"/>
    </w:rPr>
  </w:style>
  <w:style w:type="paragraph" w:styleId="NormalWeb">
    <w:name w:val="Normal (Web)"/>
    <w:basedOn w:val="a0"/>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ff7">
    <w:name w:val="73א מקרא+הערות לתרשים/לוח/תמונה כוכבית"/>
    <w:basedOn w:val="73e"/>
    <w:qFormat/>
    <w:rsid w:val="002F430E"/>
    <w:pPr>
      <w:framePr w:wrap="around" w:vAnchor="text" w:hAnchor="text" w:y="1"/>
    </w:pPr>
  </w:style>
  <w:style w:type="paragraph" w:customStyle="1" w:styleId="afff7">
    <w:name w:val="הערות לתרשימים"/>
    <w:basedOn w:val="73e"/>
    <w:next w:val="736"/>
    <w:qFormat/>
    <w:rsid w:val="007A3AB1"/>
    <w:pPr>
      <w:framePr w:wrap="around" w:vAnchor="text" w:hAnchor="text" w:y="1"/>
      <w:spacing w:after="0"/>
    </w:pPr>
  </w:style>
  <w:style w:type="paragraph" w:customStyle="1" w:styleId="93">
    <w:name w:val="טקסט רץ 9 מודגש חדש"/>
    <w:basedOn w:val="a0"/>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a1"/>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a0"/>
    <w:qFormat/>
    <w:rsid w:val="003570AC"/>
    <w:pPr>
      <w:ind w:left="2268"/>
    </w:pPr>
    <w:rPr>
      <w:rFonts w:ascii="Tahoma" w:hAnsi="Tahoma" w:cs="Tahoma"/>
      <w:sz w:val="18"/>
      <w:szCs w:val="18"/>
    </w:rPr>
  </w:style>
  <w:style w:type="paragraph" w:customStyle="1" w:styleId="-1">
    <w:name w:val="עמוד שער פנימי - שם החטיבה"/>
    <w:basedOn w:val="a0"/>
    <w:qFormat/>
    <w:rsid w:val="003570AC"/>
    <w:pPr>
      <w:ind w:left="2268"/>
      <w:jc w:val="left"/>
    </w:pPr>
    <w:rPr>
      <w:rFonts w:ascii="Tahoma" w:eastAsiaTheme="minorEastAsia" w:hAnsi="Tahoma" w:cs="Tahoma"/>
      <w:color w:val="FFFFFF" w:themeColor="background1"/>
      <w:sz w:val="28"/>
      <w:szCs w:val="28"/>
    </w:rPr>
  </w:style>
  <w:style w:type="paragraph" w:customStyle="1" w:styleId="-2">
    <w:name w:val="עמוד שער פנימי - שם הכתבה"/>
    <w:basedOn w:val="a0"/>
    <w:qFormat/>
    <w:rsid w:val="003570AC"/>
    <w:pPr>
      <w:spacing w:before="360" w:line="600" w:lineRule="exact"/>
      <w:ind w:left="2268"/>
      <w:jc w:val="left"/>
    </w:pPr>
    <w:rPr>
      <w:rFonts w:ascii="Tahoma" w:hAnsi="Tahoma" w:cs="Tahoma"/>
      <w:b/>
      <w:bCs/>
      <w:sz w:val="40"/>
      <w:szCs w:val="40"/>
    </w:rPr>
  </w:style>
  <w:style w:type="paragraph" w:customStyle="1" w:styleId="afff8">
    <w:name w:val="מספרים גדולים בנתוני מפתח"/>
    <w:basedOn w:val="a0"/>
    <w:qFormat/>
    <w:rsid w:val="002D4D38"/>
    <w:pPr>
      <w:spacing w:before="120" w:line="240" w:lineRule="auto"/>
      <w:jc w:val="center"/>
    </w:pPr>
    <w:rPr>
      <w:rFonts w:ascii="Tahoma" w:hAnsi="Tahoma" w:cs="Tahoma"/>
      <w:b/>
      <w:bCs/>
      <w:spacing w:val="-28"/>
      <w:sz w:val="36"/>
      <w:szCs w:val="36"/>
    </w:rPr>
  </w:style>
  <w:style w:type="paragraph" w:styleId="36">
    <w:name w:val="List Number 3"/>
    <w:basedOn w:val="a0"/>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5-10">
    <w:name w:val="List Table 5 Dark Accent 1"/>
    <w:basedOn w:val="a2"/>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7-4">
    <w:name w:val="List Table 7 Colorful Accent 4"/>
    <w:basedOn w:val="a2"/>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ffe"/>
    <w:link w:val="7393"/>
    <w:qFormat/>
    <w:rsid w:val="00222C5D"/>
    <w:rPr>
      <w:color w:val="0D0D0D" w:themeColor="text1" w:themeTint="F2"/>
      <w:sz w:val="18"/>
    </w:rPr>
  </w:style>
  <w:style w:type="character" w:customStyle="1" w:styleId="7393">
    <w:name w:val="73א טקסט רץ 9 תו"/>
    <w:basedOn w:val="Char0"/>
    <w:link w:val="7392"/>
    <w:rsid w:val="00222C5D"/>
    <w:rPr>
      <w:rFonts w:ascii="Tahoma" w:hAnsi="Tahoma" w:cs="Tahoma"/>
      <w:color w:val="0D0D0D" w:themeColor="text1" w:themeTint="F2"/>
      <w:sz w:val="18"/>
      <w:szCs w:val="18"/>
    </w:rPr>
  </w:style>
  <w:style w:type="character" w:styleId="afff9">
    <w:name w:val="Subtle Reference"/>
    <w:basedOn w:val="a1"/>
    <w:uiPriority w:val="31"/>
    <w:rsid w:val="003B23BE"/>
    <w:rPr>
      <w:smallCaps/>
      <w:color w:val="5A5A5A" w:themeColor="text1" w:themeTint="A5"/>
    </w:rPr>
  </w:style>
  <w:style w:type="paragraph" w:customStyle="1" w:styleId="RESHET">
    <w:name w:val="RESHET"/>
    <w:basedOn w:val="a0"/>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a0"/>
    <w:qFormat/>
    <w:rsid w:val="001A4FC5"/>
    <w:pPr>
      <w:keepNext/>
      <w:spacing w:before="120" w:after="120" w:line="320" w:lineRule="exact"/>
      <w:ind w:right="2268"/>
      <w:jc w:val="left"/>
    </w:pPr>
    <w:rPr>
      <w:rFonts w:ascii="Tahoma" w:eastAsiaTheme="minorEastAsia" w:hAnsi="Tahom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eastAsiaTheme="minorEastAsia" w:hAnsi="Tahoma" w:cs="Tahoma"/>
      <w:sz w:val="17"/>
      <w:szCs w:val="18"/>
    </w:rPr>
  </w:style>
  <w:style w:type="paragraph" w:customStyle="1" w:styleId="text-source">
    <w:name w:val="text-source"/>
    <w:basedOn w:val="a0"/>
    <w:next w:val="a0"/>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
    <w:name w:val="Heading #2_"/>
    <w:basedOn w:val="a1"/>
    <w:link w:val="Heading20"/>
    <w:rsid w:val="001A4FC5"/>
    <w:rPr>
      <w:rFonts w:ascii="David" w:eastAsia="David" w:hAnsi="David"/>
      <w:b/>
      <w:bCs/>
      <w:szCs w:val="20"/>
      <w:shd w:val="clear" w:color="auto" w:fill="FFFFFF"/>
    </w:rPr>
  </w:style>
  <w:style w:type="character" w:customStyle="1" w:styleId="Heading2NotBold">
    <w:name w:val="Heading #2 + Not Bold"/>
    <w:basedOn w:val="Heading2"/>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0">
    <w:name w:val="Heading #2"/>
    <w:basedOn w:val="a0"/>
    <w:link w:val="Heading2"/>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a0"/>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a0"/>
    <w:next w:val="a0"/>
    <w:autoRedefine/>
    <w:uiPriority w:val="39"/>
    <w:unhideWhenUsed/>
    <w:qFormat/>
    <w:rsid w:val="00C9003B"/>
    <w:pPr>
      <w:tabs>
        <w:tab w:val="right" w:leader="dot" w:pos="8211"/>
      </w:tabs>
      <w:spacing w:after="100"/>
      <w:ind w:left="200"/>
    </w:pPr>
  </w:style>
  <w:style w:type="paragraph" w:styleId="TOC3">
    <w:name w:val="toc 3"/>
    <w:basedOn w:val="a0"/>
    <w:next w:val="a0"/>
    <w:autoRedefine/>
    <w:uiPriority w:val="39"/>
    <w:unhideWhenUsed/>
    <w:qFormat/>
    <w:rsid w:val="00C9003B"/>
    <w:pPr>
      <w:spacing w:after="100"/>
      <w:ind w:left="400"/>
    </w:pPr>
  </w:style>
  <w:style w:type="paragraph" w:styleId="TOC1">
    <w:name w:val="toc 1"/>
    <w:basedOn w:val="a0"/>
    <w:next w:val="a0"/>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a0"/>
    <w:next w:val="a0"/>
    <w:autoRedefine/>
    <w:uiPriority w:val="39"/>
    <w:unhideWhenUsed/>
    <w:rsid w:val="00C9003B"/>
    <w:pPr>
      <w:spacing w:after="100"/>
      <w:ind w:left="600"/>
    </w:pPr>
  </w:style>
  <w:style w:type="paragraph" w:styleId="TOC6">
    <w:name w:val="toc 6"/>
    <w:basedOn w:val="a0"/>
    <w:next w:val="a0"/>
    <w:autoRedefine/>
    <w:uiPriority w:val="39"/>
    <w:unhideWhenUsed/>
    <w:rsid w:val="00C9003B"/>
    <w:pPr>
      <w:spacing w:after="100"/>
      <w:ind w:left="1000"/>
    </w:pPr>
  </w:style>
  <w:style w:type="paragraph" w:styleId="TOC5">
    <w:name w:val="toc 5"/>
    <w:basedOn w:val="a0"/>
    <w:next w:val="a0"/>
    <w:autoRedefine/>
    <w:uiPriority w:val="39"/>
    <w:unhideWhenUsed/>
    <w:rsid w:val="00C9003B"/>
    <w:pPr>
      <w:spacing w:after="100"/>
      <w:ind w:left="800"/>
    </w:pPr>
  </w:style>
  <w:style w:type="paragraph" w:customStyle="1" w:styleId="ruller41">
    <w:name w:val="ruller41"/>
    <w:basedOn w:val="a0"/>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a1"/>
    <w:link w:val="73610"/>
    <w:rsid w:val="0078358A"/>
    <w:rPr>
      <w:rFonts w:ascii="Tahoma" w:hAnsi="Tahoma" w:cs="Tahoma"/>
      <w:b/>
      <w:bCs/>
      <w:color w:val="00305F"/>
      <w:szCs w:val="20"/>
    </w:rPr>
  </w:style>
  <w:style w:type="paragraph" w:customStyle="1" w:styleId="msonormal0">
    <w:name w:val="msonormal"/>
    <w:basedOn w:val="a0"/>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a0"/>
    <w:next w:val="a0"/>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a0"/>
    <w:rsid w:val="007324C6"/>
    <w:pPr>
      <w:bidi w:val="0"/>
      <w:spacing w:before="100" w:beforeAutospacing="1" w:after="100" w:afterAutospacing="1" w:line="240" w:lineRule="auto"/>
      <w:jc w:val="left"/>
    </w:pPr>
    <w:rPr>
      <w:rFonts w:eastAsia="Times New Roman" w:cs="Times New Roman"/>
      <w:sz w:val="24"/>
    </w:rPr>
  </w:style>
  <w:style w:type="table" w:styleId="1-5">
    <w:name w:val="Grid Table 1 Light Accent 5"/>
    <w:basedOn w:val="a2"/>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6-5">
    <w:name w:val="Grid Table 6 Colorful Accent 5"/>
    <w:basedOn w:val="a2"/>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4-5">
    <w:name w:val="Grid Table 4 Accent 5"/>
    <w:basedOn w:val="a2"/>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2">
    <w:name w:val="סגנון5"/>
    <w:basedOn w:val="73f0"/>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2">
    <w:name w:val="סגנון6"/>
    <w:basedOn w:val="73f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a2"/>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a0"/>
    <w:next w:val="a0"/>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a0"/>
    <w:next w:val="a0"/>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afffa">
    <w:name w:val="page number"/>
    <w:basedOn w:val="a1"/>
    <w:uiPriority w:val="99"/>
    <w:semiHidden/>
    <w:unhideWhenUsed/>
    <w:rsid w:val="005B2BF5"/>
  </w:style>
  <w:style w:type="table" w:customStyle="1" w:styleId="1f5">
    <w:name w:val="טבלת רשת1"/>
    <w:basedOn w:val="a2"/>
    <w:next w:val="a8"/>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List Number"/>
    <w:basedOn w:val="a0"/>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a1"/>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
    <w:name w:val="Heading #1_"/>
    <w:basedOn w:val="a1"/>
    <w:link w:val="Heading10"/>
    <w:rsid w:val="005B2BF5"/>
    <w:rPr>
      <w:rFonts w:ascii="David" w:eastAsia="David" w:hAnsi="David"/>
      <w:b/>
      <w:bCs/>
      <w:sz w:val="54"/>
      <w:szCs w:val="54"/>
      <w:shd w:val="clear" w:color="auto" w:fill="FFFFFF"/>
    </w:rPr>
  </w:style>
  <w:style w:type="character" w:customStyle="1" w:styleId="Heading1Italic">
    <w:name w:val="Heading #1 + Italic"/>
    <w:basedOn w:val="Heading1"/>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0">
    <w:name w:val="Heading #1"/>
    <w:basedOn w:val="a0"/>
    <w:link w:val="Heading1"/>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a0"/>
    <w:rsid w:val="005B2BF5"/>
    <w:pPr>
      <w:widowControl w:val="0"/>
      <w:shd w:val="clear" w:color="auto" w:fill="FFFFFF"/>
      <w:spacing w:line="371" w:lineRule="exact"/>
      <w:ind w:hanging="740"/>
    </w:pPr>
    <w:rPr>
      <w:rFonts w:ascii="David" w:eastAsia="David" w:hAnsi="David"/>
      <w:sz w:val="22"/>
      <w:szCs w:val="22"/>
    </w:rPr>
  </w:style>
  <w:style w:type="paragraph" w:customStyle="1" w:styleId="afffc">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fffd">
    <w:name w:val="תאריך הדוח"/>
    <w:qFormat/>
    <w:rsid w:val="000F5023"/>
    <w:pPr>
      <w:ind w:left="2268"/>
      <w:jc w:val="left"/>
    </w:pPr>
    <w:rPr>
      <w:rFonts w:ascii="Tahoma" w:hAnsi="Tahoma" w:cs="Tahoma"/>
      <w:sz w:val="18"/>
      <w:szCs w:val="18"/>
    </w:rPr>
  </w:style>
  <w:style w:type="paragraph" w:customStyle="1" w:styleId="7">
    <w:name w:val="סגנון7"/>
    <w:basedOn w:val="73ff3"/>
    <w:qFormat/>
    <w:rsid w:val="00F1103C"/>
    <w:pPr>
      <w:numPr>
        <w:numId w:val="9"/>
      </w:numPr>
      <w:ind w:left="850" w:right="284" w:hanging="425"/>
    </w:pPr>
    <w:rPr>
      <w:noProof/>
      <w:lang w:val="he-IL"/>
    </w:rPr>
  </w:style>
  <w:style w:type="paragraph" w:customStyle="1" w:styleId="711">
    <w:name w:val="71ג קוביה כחולה עם מספרים מוזחים"/>
    <w:basedOn w:val="a0"/>
    <w:qFormat/>
    <w:rsid w:val="0052440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709" w:right="227" w:hanging="454"/>
    </w:pPr>
    <w:rPr>
      <w:rFonts w:ascii="Tahoma" w:hAnsi="Tahoma" w:cs="Tahoma"/>
      <w:color w:val="0D0D0D" w:themeColor="text1" w:themeTint="F2"/>
      <w:sz w:val="18"/>
      <w:szCs w:val="18"/>
    </w:rPr>
  </w:style>
  <w:style w:type="paragraph" w:customStyle="1" w:styleId="712">
    <w:name w:val="71ג הערות שוליים"/>
    <w:basedOn w:val="a7"/>
    <w:link w:val="71Char"/>
    <w:qFormat/>
    <w:rsid w:val="002507E8"/>
    <w:pPr>
      <w:keepNext/>
      <w:keepLines/>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0"/>
    <w:link w:val="712"/>
    <w:rsid w:val="002507E8"/>
    <w:rPr>
      <w:rFonts w:ascii="Tahoma" w:hAnsi="Tahoma" w:cs="Tahoma"/>
      <w:color w:val="0D0D0D" w:themeColor="text1" w:themeTint="F2"/>
      <w:sz w:val="14"/>
      <w:szCs w:val="14"/>
    </w:rPr>
  </w:style>
  <w:style w:type="paragraph" w:customStyle="1" w:styleId="713">
    <w:name w:val="71ג הזחה מספר בסוגריים"/>
    <w:basedOn w:val="ac"/>
    <w:qFormat/>
    <w:rsid w:val="0091353C"/>
    <w:pPr>
      <w:spacing w:after="180" w:line="260" w:lineRule="exact"/>
      <w:ind w:left="1276" w:hanging="255"/>
      <w:contextualSpacing w:val="0"/>
    </w:pPr>
    <w:rPr>
      <w:rFonts w:ascii="Tahoma" w:hAnsi="Tahoma" w:cs="Tahoma"/>
      <w:sz w:val="18"/>
      <w:szCs w:val="18"/>
    </w:rPr>
  </w:style>
  <w:style w:type="paragraph" w:customStyle="1" w:styleId="7120">
    <w:name w:val="71ג אותות בתוך קוביה 2"/>
    <w:basedOn w:val="a0"/>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paragraph" w:customStyle="1" w:styleId="82">
    <w:name w:val="סגנון8"/>
    <w:basedOn w:val="73fd"/>
    <w:qFormat/>
    <w:rsid w:val="00AB2F78"/>
  </w:style>
  <w:style w:type="paragraph" w:customStyle="1" w:styleId="afffe">
    <w:name w:val="טקסט לבן על מלבן אדום"/>
    <w:qFormat/>
    <w:rsid w:val="00AB2F78"/>
    <w:pPr>
      <w:keepNext/>
      <w:keepLines/>
      <w:spacing w:line="240" w:lineRule="auto"/>
      <w:ind w:right="113"/>
      <w:suppressOverlap/>
      <w:jc w:val="left"/>
    </w:pPr>
    <w:rPr>
      <w:rFonts w:ascii="Tahoma" w:hAnsi="Tahoma" w:cs="Tahoma"/>
      <w:b/>
      <w:bCs/>
      <w:color w:val="FFFFFF" w:themeColor="background1"/>
      <w:sz w:val="22"/>
      <w:szCs w:val="22"/>
    </w:rPr>
  </w:style>
  <w:style w:type="paragraph" w:customStyle="1" w:styleId="0-">
    <w:name w:val="0-מידת תיקון הליקוי"/>
    <w:basedOn w:val="a0"/>
    <w:link w:val="0-0"/>
    <w:qFormat/>
    <w:rsid w:val="002D5684"/>
    <w:pPr>
      <w:keepNext/>
      <w:keepLines/>
      <w:spacing w:before="180" w:after="180" w:line="260" w:lineRule="exact"/>
      <w:jc w:val="center"/>
    </w:pPr>
    <w:rPr>
      <w:rFonts w:ascii="Tahoma" w:hAnsi="Tahoma" w:cs="Tahoma"/>
      <w:b/>
      <w:bCs/>
      <w:color w:val="0D0D0D" w:themeColor="text1" w:themeTint="F2"/>
      <w:sz w:val="18"/>
      <w:szCs w:val="18"/>
    </w:rPr>
  </w:style>
  <w:style w:type="character" w:customStyle="1" w:styleId="0-0">
    <w:name w:val="0-מידת תיקון הליקוי תו"/>
    <w:basedOn w:val="a1"/>
    <w:link w:val="0-"/>
    <w:rsid w:val="002D5684"/>
    <w:rPr>
      <w:rFonts w:ascii="Tahoma" w:hAnsi="Tahoma" w:cs="Tahoma"/>
      <w:b/>
      <w:bCs/>
      <w:color w:val="0D0D0D" w:themeColor="text1" w:themeTint="F2"/>
      <w:sz w:val="18"/>
      <w:szCs w:val="18"/>
    </w:rPr>
  </w:style>
  <w:style w:type="character" w:styleId="affff">
    <w:name w:val="footnote reference"/>
    <w:aliases w:val="Footnote Reference_0,Footnote Reference_0_0,Footnote Reference_0_0_0,Footnote Reference_0_0_0_0,Footnote Reference_1,Footnote Reference_2,Footnote Reference_3,Footnote Reference_3_0,Footnote Reference_4,Footnote text,fr,מ"/>
    <w:basedOn w:val="a1"/>
    <w:uiPriority w:val="99"/>
    <w:unhideWhenUsed/>
    <w:rsid w:val="006F01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ta-d2app02:8080/D2/?docbase=NM_PRD&amp;locateId=090bbfda8023a321" TargetMode="External"/><Relationship Id="rId3" Type="http://schemas.openxmlformats.org/officeDocument/2006/relationships/customXml" Target="../customXml/item3.xml"/><Relationship Id="rId21" Type="http://schemas.openxmlformats.org/officeDocument/2006/relationships/image" Target="media/image5.jpe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image" Target="media/image9.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jpeg"/><Relationship Id="rId32"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7.jpeg"/><Relationship Id="rId28" Type="http://schemas.openxmlformats.org/officeDocument/2006/relationships/image" Target="media/image11.jpeg"/><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jpeg"/><Relationship Id="rId27" Type="http://schemas.openxmlformats.org/officeDocument/2006/relationships/image" Target="media/image10.jpeg"/><Relationship Id="rId30" Type="http://schemas.openxmlformats.org/officeDocument/2006/relationships/image" Target="media/image12.png"/><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4.jpeg"/></Relationships>
</file>

<file path=word/theme/_rels/theme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03606-5E1C-4A20-A662-7530344C0C79}">
  <ds:schemaRef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sharepoint/v3"/>
    <ds:schemaRef ds:uri="http://www.w3.org/XML/1998/namespace"/>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3.xml><?xml version="1.0" encoding="utf-8"?>
<ds:datastoreItem xmlns:ds="http://schemas.openxmlformats.org/officeDocument/2006/customXml" ds:itemID="{9BFB4E95-1C04-4398-BD2A-DF979F8B87F6}"/>
</file>

<file path=customXml/itemProps4.xml><?xml version="1.0" encoding="utf-8"?>
<ds:datastoreItem xmlns:ds="http://schemas.openxmlformats.org/officeDocument/2006/customXml" ds:itemID="{E5EC860F-B955-4BA3-885D-E504C857B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2603</Words>
  <Characters>13015</Characters>
  <Application>Microsoft Office Word</Application>
  <DocSecurity>0</DocSecurity>
  <Lines>108</Lines>
  <Paragraphs>31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newscorpio44</dc:creator>
  <cp:lastModifiedBy>הילה מסקלצ'י</cp:lastModifiedBy>
  <cp:revision>2</cp:revision>
  <cp:lastPrinted>2023-07-16T07:57:00Z</cp:lastPrinted>
  <dcterms:created xsi:type="dcterms:W3CDTF">2025-11-26T11:03:00Z</dcterms:created>
  <dcterms:modified xsi:type="dcterms:W3CDTF">2025-11-26T11:03:00Z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