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63775048"/>
    <w:bookmarkEnd w:id="0"/>
    <w:p w:rsidR="008B2E28" w:rsidRDefault="006E7854"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6E7854"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6E7854"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340493</wp:posOffset>
                </wp:positionH>
                <wp:positionV relativeFrom="paragraph">
                  <wp:posOffset>1888724</wp:posOffset>
                </wp:positionV>
                <wp:extent cx="2573387" cy="0"/>
                <wp:effectExtent l="12700" t="12700" r="5080" b="12700"/>
                <wp:wrapNone/>
                <wp:docPr id="8" name="Straight Connector 8"/>
                <wp:cNvGraphicFramePr/>
                <a:graphic xmlns:a="http://schemas.openxmlformats.org/drawingml/2006/main">
                  <a:graphicData uri="http://schemas.microsoft.com/office/word/2010/wordprocessingShape">
                    <wps:wsp>
                      <wps:cNvCnPr/>
                      <wps:spPr>
                        <a:xfrm flipH="1">
                          <a:off x="0" y="0"/>
                          <a:ext cx="2573387"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26.8pt,148.7pt" to="229.45pt,148.7pt" strokecolor="white" strokeweight="1.5pt"/>
            </w:pict>
          </mc:Fallback>
        </mc:AlternateContent>
      </w:r>
      <w:r w:rsidR="00CA7262"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334010</wp:posOffset>
                </wp:positionV>
                <wp:extent cx="4486275" cy="4843780"/>
                <wp:effectExtent l="0" t="0" r="0" b="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84378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8A71D4" w:rsidRPr="0052031E" w:rsidRDefault="006E7854" w:rsidP="008A71D4">
                            <w:pPr>
                              <w:pStyle w:val="afffd"/>
                              <w:bidi/>
                              <w:rPr>
                                <w:rtl/>
                              </w:rPr>
                            </w:pPr>
                            <w:r w:rsidRPr="0022519C">
                              <w:rPr>
                                <w:rtl/>
                              </w:rPr>
                              <w:t xml:space="preserve">דוח מבקר המדינה | כסלו </w:t>
                            </w:r>
                            <w:proofErr w:type="spellStart"/>
                            <w:r w:rsidRPr="0022519C">
                              <w:rPr>
                                <w:rtl/>
                              </w:rPr>
                              <w:t>התשפ"ו</w:t>
                            </w:r>
                            <w:proofErr w:type="spellEnd"/>
                            <w:r w:rsidRPr="0022519C">
                              <w:rPr>
                                <w:rtl/>
                              </w:rPr>
                              <w:t xml:space="preserve"> | דצמבר 2025</w:t>
                            </w:r>
                            <w:r>
                              <w:rPr>
                                <w:rFonts w:hint="cs"/>
                                <w:rtl/>
                              </w:rPr>
                              <w:t xml:space="preserve"> </w:t>
                            </w:r>
                          </w:p>
                          <w:p w:rsidR="00A074E9" w:rsidRDefault="00A074E9" w:rsidP="0052031E">
                            <w:pPr>
                              <w:ind w:left="2268"/>
                              <w:rPr>
                                <w:rtl/>
                              </w:rPr>
                            </w:pPr>
                          </w:p>
                          <w:p w:rsidR="00E56721" w:rsidRDefault="00E56721" w:rsidP="0052031E">
                            <w:pPr>
                              <w:ind w:left="2268"/>
                              <w:rPr>
                                <w:rtl/>
                              </w:rPr>
                            </w:pPr>
                          </w:p>
                          <w:p w:rsidR="00F73EE0" w:rsidRDefault="00F73EE0" w:rsidP="0052031E">
                            <w:pPr>
                              <w:ind w:left="2268"/>
                              <w:rPr>
                                <w:rtl/>
                              </w:rPr>
                            </w:pPr>
                          </w:p>
                          <w:p w:rsidR="005D0F8C" w:rsidRPr="000A3ED4" w:rsidRDefault="006E7854" w:rsidP="000F5023">
                            <w:pPr>
                              <w:pStyle w:val="-1"/>
                              <w:rPr>
                                <w:rtl/>
                              </w:rPr>
                            </w:pPr>
                            <w:r>
                              <w:rPr>
                                <w:rFonts w:hint="cs"/>
                                <w:rtl/>
                              </w:rPr>
                              <w:t>משרד הביטחון</w:t>
                            </w:r>
                          </w:p>
                          <w:p w:rsidR="00C30482" w:rsidRPr="000F5023" w:rsidRDefault="006E7854" w:rsidP="00A074E9">
                            <w:pPr>
                              <w:pStyle w:val="afffc"/>
                              <w:bidi/>
                              <w:spacing w:before="120"/>
                              <w:rPr>
                                <w:rtl/>
                              </w:rPr>
                            </w:pPr>
                            <w:r w:rsidRPr="00CA7262">
                              <w:rPr>
                                <w:rtl/>
                              </w:rPr>
                              <w:t>היבטים בפיקוח ובבקרה של משרד הביטחון על שימוש החברות הביטחוניות במקדמי שיווק, בסוכנים ובמתווכים בעסקאות יצוא ביטחוני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quot;&quot;" style="width:353.25pt;height:381.4pt;margin-top:26.3pt;margin-left:-1.6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0805B47C">
                      <w:pPr>
                        <w:pStyle w:val="a33"/>
                        <w:bidi/>
                        <w:rPr>
                          <w:rtl/>
                        </w:rPr>
                      </w:pPr>
                      <w:r w:rsidRPr="0022519C">
                        <w:rPr>
                          <w:rtl/>
                        </w:rPr>
                        <w:t>דוח מבקר המדינה | כסלו התשפ"ו | דצמבר 2025</w:t>
                      </w:r>
                      <w:r>
                        <w:rPr>
                          <w:rFonts w:hint="cs"/>
                          <w:rtl/>
                        </w:rPr>
                        <w:t xml:space="preserve"> </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456E1AD1">
                      <w:pPr>
                        <w:pStyle w:val="-1"/>
                        <w:rPr>
                          <w:rtl/>
                        </w:rPr>
                      </w:pPr>
                      <w:r>
                        <w:rPr>
                          <w:rFonts w:hint="cs"/>
                          <w:rtl/>
                        </w:rPr>
                        <w:t>משרד הביטחון</w:t>
                      </w:r>
                    </w:p>
                    <w:p w:rsidR="00C30482" w:rsidRPr="000F5023" w:rsidP="00A074E9" w14:paraId="5BE5E625" w14:textId="5687E09F">
                      <w:pPr>
                        <w:pStyle w:val="a32"/>
                        <w:bidi/>
                        <w:spacing w:before="120"/>
                        <w:rPr>
                          <w:rtl/>
                        </w:rPr>
                      </w:pPr>
                      <w:r w:rsidRPr="00CA7262">
                        <w:rPr>
                          <w:rtl/>
                        </w:rPr>
                        <w:t>היבטים בפיקוח ובבקרה של משרד הביטחון על שימוש החברות הביטחוניות במקדמי שיווק, בסוכנים ובמתווכים בעסקאות יצוא ביטחוני</w:t>
                      </w:r>
                    </w:p>
                  </w:txbxContent>
                </v:textbox>
                <w10:wrap type="square"/>
              </v:shape>
            </w:pict>
          </mc:Fallback>
        </mc:AlternateContent>
      </w:r>
      <w:r w:rsidR="00CA7262">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3059943</wp:posOffset>
                </wp:positionH>
                <wp:positionV relativeFrom="paragraph">
                  <wp:posOffset>256283</wp:posOffset>
                </wp:positionV>
                <wp:extent cx="0" cy="5262664"/>
                <wp:effectExtent l="25400" t="0" r="25400" b="33655"/>
                <wp:wrapNone/>
                <wp:docPr id="5" name="Straight Connector 5"/>
                <wp:cNvGraphicFramePr/>
                <a:graphic xmlns:a="http://schemas.openxmlformats.org/drawingml/2006/main">
                  <a:graphicData uri="http://schemas.microsoft.com/office/word/2010/wordprocessingShape">
                    <wps:wsp>
                      <wps:cNvCnPr/>
                      <wps:spPr>
                        <a:xfrm>
                          <a:off x="0" y="0"/>
                          <a:ext cx="0" cy="5262664"/>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0.95pt,20.2pt" to="240.95pt,434.6pt" strokecolor="white" strokeweight="4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3C32FE" w:rsidP="003C32FE">
      <w:pPr>
        <w:spacing w:line="240" w:lineRule="atLeast"/>
        <w:jc w:val="center"/>
        <w:rPr>
          <w:rFonts w:ascii="Tahoma" w:hAnsi="Tahoma" w:cs="Tahoma"/>
          <w:sz w:val="22"/>
          <w:szCs w:val="22"/>
          <w:rtl/>
        </w:rPr>
      </w:pP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E35DF9" w:rsidP="008D2388">
      <w:pPr>
        <w:spacing w:line="240" w:lineRule="atLeast"/>
        <w:jc w:val="center"/>
        <w:rPr>
          <w:rFonts w:ascii="Tahoma" w:hAnsi="Tahoma" w:cs="Tahoma"/>
          <w:sz w:val="22"/>
          <w:szCs w:val="22"/>
          <w:rtl/>
        </w:rPr>
      </w:pP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pgSz w:w="11906" w:h="16838" w:code="9"/>
          <w:pgMar w:top="3062" w:right="2268" w:bottom="2552" w:left="2268" w:header="1134" w:footer="1361" w:gutter="0"/>
          <w:cols w:space="720"/>
          <w:titlePg/>
          <w:bidi/>
          <w:rtlGutter/>
          <w:docGrid w:linePitch="272"/>
        </w:sectPr>
      </w:pPr>
    </w:p>
    <w:p w:rsidR="00BF5BF6" w:rsidRDefault="006E7854"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88960"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89984"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8"/>
          <w:pgSz w:w="11906" w:h="16838" w:code="9"/>
          <w:pgMar w:top="3062" w:right="2268" w:bottom="2552" w:left="2268" w:header="709" w:footer="709" w:gutter="0"/>
          <w:pgNumType w:start="2"/>
          <w:cols w:space="720"/>
          <w:bidi/>
          <w:rtlGutter/>
          <w:docGrid w:linePitch="272"/>
        </w:sectPr>
      </w:pPr>
    </w:p>
    <w:p w:rsidR="001B01E1" w:rsidRDefault="006E7854" w:rsidP="00021E2B">
      <w:pPr>
        <w:pStyle w:val="7320"/>
        <w:spacing w:after="840"/>
        <w:rPr>
          <w:noProof/>
          <w:rtl/>
        </w:rPr>
        <w:sectPr w:rsidR="001B01E1" w:rsidSect="000C2EFB">
          <w:headerReference w:type="default" r:id="rId19"/>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79744" behindDoc="0" locked="0" layoutInCell="1" allowOverlap="1">
            <wp:simplePos x="0" y="0"/>
            <wp:positionH relativeFrom="column">
              <wp:posOffset>3475990</wp:posOffset>
            </wp:positionH>
            <wp:positionV relativeFrom="paragraph">
              <wp:posOffset>1529481</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CA7262" w:rsidRPr="00CA7262">
        <w:rPr>
          <w:noProof/>
          <w:rtl/>
        </w:rPr>
        <w:t>היבטים בפיקוח ובבקרה של משרד הביטחון על שימוש החברות הביטחוניות במקדמי שיווק, בסוכנים ובמתווכים בעסקאות יצוא ביטחוני</w:t>
      </w:r>
    </w:p>
    <w:p w:rsidR="00CA7262" w:rsidRPr="00882B34" w:rsidRDefault="006E7854" w:rsidP="00CA7262">
      <w:pPr>
        <w:pStyle w:val="7392"/>
        <w:spacing w:before="960"/>
        <w:rPr>
          <w:rtl/>
        </w:rPr>
      </w:pPr>
      <w:r w:rsidRPr="00882B34">
        <w:rPr>
          <w:rtl/>
        </w:rPr>
        <w:t>במסגרת הפעילות הבין-לאומית לשיווק מוצריהן מסתייעות החברות הביטחוניות בגורמים חיצוניים הפועלים בשמן לקידום עסקה בינן לבין צד שלישי בתמורה לעמלה, שכר או תמורה אחרת</w:t>
      </w:r>
      <w:r>
        <w:rPr>
          <w:vertAlign w:val="superscript"/>
          <w:rtl/>
        </w:rPr>
        <w:footnoteReference w:id="1"/>
      </w:r>
      <w:r w:rsidRPr="00882B34">
        <w:rPr>
          <w:rtl/>
        </w:rPr>
        <w:t xml:space="preserve"> (מקדמי שיווק, סוכנים, מתווכים)</w:t>
      </w:r>
      <w:r>
        <w:rPr>
          <w:vertAlign w:val="superscript"/>
          <w:rtl/>
        </w:rPr>
        <w:footnoteReference w:id="2"/>
      </w:r>
      <w:r w:rsidRPr="00882B34">
        <w:rPr>
          <w:rtl/>
        </w:rPr>
        <w:t>.</w:t>
      </w:r>
    </w:p>
    <w:p w:rsidR="00CA7262" w:rsidRPr="00882B34" w:rsidRDefault="006E7854" w:rsidP="00CA7262">
      <w:pPr>
        <w:pStyle w:val="7392"/>
        <w:rPr>
          <w:rtl/>
        </w:rPr>
      </w:pPr>
      <w:r w:rsidRPr="00882B34">
        <w:rPr>
          <w:rtl/>
        </w:rPr>
        <w:t>חוק הפיקוח על יצוא ביטחוני</w:t>
      </w:r>
      <w:r w:rsidRPr="00882B34">
        <w:rPr>
          <w:rFonts w:hint="cs"/>
          <w:rtl/>
        </w:rPr>
        <w:t>,</w:t>
      </w:r>
      <w:r w:rsidRPr="00882B34">
        <w:rPr>
          <w:rtl/>
        </w:rPr>
        <w:t xml:space="preserve"> התשס"ז-2007</w:t>
      </w:r>
      <w:r w:rsidRPr="00882B34">
        <w:rPr>
          <w:rtl/>
        </w:rPr>
        <w:t xml:space="preserve"> (חוק הפיקוח)</w:t>
      </w:r>
      <w:r w:rsidRPr="00882B34">
        <w:rPr>
          <w:rFonts w:hint="cs"/>
          <w:rtl/>
        </w:rPr>
        <w:t>,</w:t>
      </w:r>
      <w:r w:rsidRPr="00882B34">
        <w:rPr>
          <w:rtl/>
        </w:rPr>
        <w:t xml:space="preserve"> והתקנות שהותקנו מכוחו נועדו להסדיר את הפיקוח של המדינה על היצוא הביטחוני</w:t>
      </w:r>
      <w:r>
        <w:rPr>
          <w:vertAlign w:val="superscript"/>
          <w:rtl/>
        </w:rPr>
        <w:footnoteReference w:id="3"/>
      </w:r>
      <w:r w:rsidRPr="00882B34">
        <w:rPr>
          <w:rtl/>
        </w:rPr>
        <w:t>. זאת, מטעמים של ביטחון לאומי, יחסי החוץ של המדינה והתחייבויותיה הבין-לאומיות ולשם שמירה על אינטרסים חיוניים אחרים של המדינה. בחוק נקבע כי לא יבצע אזרח ישראלי, תושב ישר</w:t>
      </w:r>
      <w:r w:rsidRPr="00882B34">
        <w:rPr>
          <w:rtl/>
        </w:rPr>
        <w:t>אלי, או תאגיד ישראלי פעולת שיווק ביטחוני - פעולה שמטרתה קידום יצוא ביטחוני, לרבות פעולת תיווך לעסקת יצוא ביטחוני</w:t>
      </w:r>
      <w:r>
        <w:rPr>
          <w:vertAlign w:val="superscript"/>
          <w:rtl/>
        </w:rPr>
        <w:footnoteReference w:id="4"/>
      </w:r>
      <w:r w:rsidRPr="00882B34">
        <w:rPr>
          <w:rtl/>
        </w:rPr>
        <w:t>, אלא אם קיבל רישיון לכך מאת הרשות המוסמכת</w:t>
      </w:r>
      <w:r>
        <w:rPr>
          <w:vertAlign w:val="superscript"/>
          <w:rtl/>
        </w:rPr>
        <w:footnoteReference w:id="5"/>
      </w:r>
      <w:r w:rsidRPr="00EC0591">
        <w:rPr>
          <w:vertAlign w:val="superscript"/>
          <w:rtl/>
        </w:rPr>
        <w:t xml:space="preserve"> </w:t>
      </w:r>
      <w:r w:rsidRPr="00882B34">
        <w:rPr>
          <w:rtl/>
        </w:rPr>
        <w:t>(רישיון שיווק).</w:t>
      </w:r>
    </w:p>
    <w:p w:rsidR="00CA7262" w:rsidRPr="00882B34" w:rsidRDefault="006E7854" w:rsidP="00CA7262">
      <w:pPr>
        <w:pStyle w:val="7392"/>
        <w:rPr>
          <w:rtl/>
        </w:rPr>
      </w:pPr>
      <w:r w:rsidRPr="00882B34">
        <w:rPr>
          <w:rFonts w:hint="cs"/>
          <w:rtl/>
        </w:rPr>
        <w:t>בשנת 2005 חתמה מדינת ישראל על אמנת האו"ם נגד שחיתות והיא אשררה את הצטרפותה בהחלטת מ</w:t>
      </w:r>
      <w:r w:rsidRPr="00882B34">
        <w:rPr>
          <w:rFonts w:hint="cs"/>
          <w:rtl/>
        </w:rPr>
        <w:t>משלה מדצמבר 2008</w:t>
      </w:r>
      <w:r>
        <w:rPr>
          <w:vertAlign w:val="superscript"/>
          <w:rtl/>
        </w:rPr>
        <w:footnoteReference w:id="6"/>
      </w:r>
      <w:r w:rsidRPr="00E32853">
        <w:rPr>
          <w:rFonts w:hint="cs"/>
          <w:vertAlign w:val="superscript"/>
          <w:rtl/>
        </w:rPr>
        <w:t>,</w:t>
      </w:r>
      <w:r>
        <w:rPr>
          <w:vertAlign w:val="superscript"/>
          <w:rtl/>
        </w:rPr>
        <w:footnoteReference w:id="7"/>
      </w:r>
      <w:r w:rsidRPr="00882B34">
        <w:rPr>
          <w:rFonts w:hint="cs"/>
          <w:rtl/>
        </w:rPr>
        <w:t>. בשנת 2009 ישראל אשררה את הצטרפותה לאמנה של הארגון לשיתוף פעולה ופיתוח כלכלי (</w:t>
      </w:r>
      <w:r w:rsidRPr="00882B34">
        <w:t>(</w:t>
      </w:r>
      <w:r>
        <w:rPr>
          <w:vertAlign w:val="superscript"/>
        </w:rPr>
        <w:footnoteReference w:id="8"/>
      </w:r>
      <w:r w:rsidRPr="00882B34">
        <w:rPr>
          <w:rFonts w:hint="cs"/>
        </w:rPr>
        <w:t>OEC</w:t>
      </w:r>
      <w:r w:rsidRPr="00882B34">
        <w:t>D</w:t>
      </w:r>
      <w:r w:rsidRPr="00882B34">
        <w:rPr>
          <w:rFonts w:hint="cs"/>
          <w:rtl/>
        </w:rPr>
        <w:t xml:space="preserve"> למאבק בשוחד של עובדי ציבור זרים בעסקאות סחר בין-לאומיות</w:t>
      </w:r>
      <w:r>
        <w:rPr>
          <w:vertAlign w:val="superscript"/>
          <w:rtl/>
        </w:rPr>
        <w:footnoteReference w:id="9"/>
      </w:r>
      <w:r w:rsidRPr="00E32853">
        <w:rPr>
          <w:rFonts w:hint="cs"/>
          <w:vertAlign w:val="superscript"/>
          <w:rtl/>
        </w:rPr>
        <w:t>,</w:t>
      </w:r>
      <w:r>
        <w:rPr>
          <w:vertAlign w:val="superscript"/>
          <w:rtl/>
        </w:rPr>
        <w:footnoteReference w:id="10"/>
      </w:r>
      <w:r w:rsidRPr="00882B34">
        <w:rPr>
          <w:rFonts w:hint="cs"/>
          <w:rtl/>
        </w:rPr>
        <w:t xml:space="preserve"> (</w:t>
      </w:r>
      <w:r w:rsidRPr="00882B34">
        <w:rPr>
          <w:rtl/>
        </w:rPr>
        <w:t>אמנ</w:t>
      </w:r>
      <w:r w:rsidRPr="00882B34">
        <w:rPr>
          <w:rFonts w:hint="cs"/>
          <w:rtl/>
        </w:rPr>
        <w:t>ת ה-</w:t>
      </w:r>
      <w:r w:rsidRPr="00882B34">
        <w:rPr>
          <w:rFonts w:hint="cs"/>
        </w:rPr>
        <w:t>OECD</w:t>
      </w:r>
      <w:r w:rsidRPr="00882B34">
        <w:rPr>
          <w:rFonts w:hint="cs"/>
          <w:rtl/>
        </w:rPr>
        <w:t xml:space="preserve">), והיא מחויבת ליישם את הוראותיהן. </w:t>
      </w:r>
      <w:r w:rsidRPr="00882B34">
        <w:rPr>
          <w:rtl/>
        </w:rPr>
        <w:t xml:space="preserve">במסגרת הצטרפותה </w:t>
      </w:r>
      <w:r w:rsidRPr="00882B34">
        <w:rPr>
          <w:rtl/>
        </w:rPr>
        <w:lastRenderedPageBreak/>
        <w:t>של מדינת ישראל ל-</w:t>
      </w:r>
      <w:r w:rsidRPr="00882B34">
        <w:t>OECD</w:t>
      </w:r>
      <w:r w:rsidRPr="00882B34">
        <w:rPr>
          <w:rtl/>
        </w:rPr>
        <w:t xml:space="preserve">, התחייב </w:t>
      </w:r>
      <w:r w:rsidRPr="00882B34">
        <w:rPr>
          <w:rFonts w:hint="cs"/>
          <w:rtl/>
        </w:rPr>
        <w:t>משרד הביטחון (</w:t>
      </w:r>
      <w:proofErr w:type="spellStart"/>
      <w:r w:rsidRPr="00882B34">
        <w:rPr>
          <w:rtl/>
        </w:rPr>
        <w:t>משהב"ט</w:t>
      </w:r>
      <w:proofErr w:type="spellEnd"/>
      <w:r w:rsidRPr="00882B34">
        <w:rPr>
          <w:rFonts w:hint="cs"/>
          <w:rtl/>
        </w:rPr>
        <w:t>)</w:t>
      </w:r>
      <w:r w:rsidRPr="00882B34">
        <w:rPr>
          <w:rtl/>
        </w:rPr>
        <w:t xml:space="preserve"> באמצעות משרד המשפטים על יישום מנגנונים למניעת עבירת מתן שוחד לעובד ציבור זר. </w:t>
      </w:r>
    </w:p>
    <w:p w:rsidR="00CA7262" w:rsidRPr="00882B34" w:rsidRDefault="006E7854" w:rsidP="00CA7262">
      <w:pPr>
        <w:pStyle w:val="7392"/>
        <w:rPr>
          <w:rtl/>
        </w:rPr>
      </w:pPr>
      <w:r w:rsidRPr="00882B34">
        <w:rPr>
          <w:rtl/>
        </w:rPr>
        <w:t xml:space="preserve">ביולי 2008, לקראת ההצטרפות של ישראל לאמנת האו"ם, נוספה </w:t>
      </w:r>
      <w:hyperlink r:id="rId21" w:history="1">
        <w:r w:rsidRPr="00882B34">
          <w:rPr>
            <w:rtl/>
          </w:rPr>
          <w:t>לחוק העו</w:t>
        </w:r>
        <w:r w:rsidRPr="00882B34">
          <w:rPr>
            <w:rtl/>
          </w:rPr>
          <w:t>נשין</w:t>
        </w:r>
      </w:hyperlink>
      <w:r w:rsidRPr="00882B34">
        <w:rPr>
          <w:rtl/>
        </w:rPr>
        <w:t>, התשל"ז-1977 (חוק העונשין) עבירה שעניינה מתן שוחד לעובד ציבור של מדינה זרה או לעובד של ארגון ציבור בין-לאומי. על פי החוק, קיים איסור על הצעה או מתן שוחד לעובד ציבור זר במטרה להשיג, להבטיח או לקדם פעילות עסקית, או כדי להשיג יתרון הנוגע לפעילות כאמור.</w:t>
      </w:r>
    </w:p>
    <w:p w:rsidR="00CA7262" w:rsidRPr="00882B34" w:rsidRDefault="006E7854" w:rsidP="00CA7262">
      <w:pPr>
        <w:pStyle w:val="7392"/>
        <w:rPr>
          <w:rtl/>
        </w:rPr>
      </w:pPr>
      <w:r w:rsidRPr="00882B34">
        <w:rPr>
          <w:rtl/>
        </w:rPr>
        <w:t>ה</w:t>
      </w:r>
      <w:r w:rsidRPr="00882B34">
        <w:rPr>
          <w:rtl/>
        </w:rPr>
        <w:t>פיקוח על יישום האמנה למאבק בשוחד של עובדי ציבור זרים מופקד בידי קבוצת העבודה</w:t>
      </w:r>
      <w:r w:rsidRPr="00882B34">
        <w:rPr>
          <w:rFonts w:hint="cs"/>
          <w:rtl/>
        </w:rPr>
        <w:t xml:space="preserve"> של ה-</w:t>
      </w:r>
      <w:r w:rsidRPr="00882B34">
        <w:rPr>
          <w:rFonts w:hint="cs"/>
        </w:rPr>
        <w:t>OECD</w:t>
      </w:r>
      <w:r w:rsidRPr="00882B34">
        <w:rPr>
          <w:rFonts w:hint="cs"/>
          <w:rtl/>
        </w:rPr>
        <w:t xml:space="preserve"> על שחיתות בעסקאות בין-לאומיות</w:t>
      </w:r>
      <w:r>
        <w:rPr>
          <w:vertAlign w:val="superscript"/>
          <w:rtl/>
        </w:rPr>
        <w:footnoteReference w:id="11"/>
      </w:r>
      <w:r w:rsidRPr="00882B34">
        <w:rPr>
          <w:rFonts w:hint="cs"/>
          <w:rtl/>
        </w:rPr>
        <w:t>, שישראל חברה בה. קבוצת העבודה הכינה מסמך הכולל שורה של המלצות בנושא ובנובמבר 2021 אימץ ה-</w:t>
      </w:r>
      <w:r w:rsidRPr="00882B34">
        <w:rPr>
          <w:rFonts w:hint="cs"/>
        </w:rPr>
        <w:t>OECD</w:t>
      </w:r>
      <w:r w:rsidRPr="00882B34">
        <w:rPr>
          <w:rFonts w:hint="cs"/>
          <w:rtl/>
        </w:rPr>
        <w:t xml:space="preserve"> את ההמלצות האמורות עבור הארגון</w:t>
      </w:r>
      <w:r>
        <w:rPr>
          <w:vertAlign w:val="superscript"/>
          <w:rtl/>
        </w:rPr>
        <w:footnoteReference w:id="12"/>
      </w:r>
      <w:r w:rsidRPr="00882B34">
        <w:rPr>
          <w:rFonts w:hint="cs"/>
          <w:rtl/>
        </w:rPr>
        <w:t>. בין היתר, כ</w:t>
      </w:r>
      <w:r w:rsidRPr="00882B34">
        <w:rPr>
          <w:rFonts w:hint="cs"/>
          <w:rtl/>
        </w:rPr>
        <w:t xml:space="preserve">לל המסמך המלצה שמדינה תעודד חברות וארגונים עסקיים, לפתח </w:t>
      </w:r>
      <w:proofErr w:type="spellStart"/>
      <w:r w:rsidRPr="00882B34">
        <w:rPr>
          <w:rtl/>
        </w:rPr>
        <w:t>תוכניות</w:t>
      </w:r>
      <w:proofErr w:type="spellEnd"/>
      <w:r w:rsidRPr="00882B34">
        <w:rPr>
          <w:rtl/>
        </w:rPr>
        <w:t xml:space="preserve"> או אמצעי ציות ואתיקה לגילוי או </w:t>
      </w:r>
      <w:r w:rsidRPr="00882B34">
        <w:rPr>
          <w:rFonts w:hint="cs"/>
          <w:rtl/>
        </w:rPr>
        <w:t>ל</w:t>
      </w:r>
      <w:r w:rsidRPr="00882B34">
        <w:rPr>
          <w:rtl/>
        </w:rPr>
        <w:t>מניעה של שוחד לעובדי ציבור זרים, בין היתר באמצעות</w:t>
      </w:r>
      <w:r w:rsidRPr="00882B34">
        <w:rPr>
          <w:rFonts w:hint="cs"/>
          <w:rtl/>
        </w:rPr>
        <w:t xml:space="preserve"> צדדים שלישיים, כגון סוכנים.</w:t>
      </w:r>
    </w:p>
    <w:p w:rsidR="00CA7262" w:rsidRPr="00882B34" w:rsidRDefault="006E7854" w:rsidP="00CA7262">
      <w:pPr>
        <w:pStyle w:val="7392"/>
        <w:rPr>
          <w:rtl/>
        </w:rPr>
      </w:pPr>
      <w:r w:rsidRPr="00882B34">
        <w:rPr>
          <w:rtl/>
        </w:rPr>
        <w:t>מטרת השימוש ב</w:t>
      </w:r>
      <w:r w:rsidRPr="00882B34">
        <w:rPr>
          <w:rFonts w:hint="cs"/>
          <w:rtl/>
        </w:rPr>
        <w:t>מקדמי השיווק</w:t>
      </w:r>
      <w:r w:rsidRPr="00882B34">
        <w:rPr>
          <w:rtl/>
        </w:rPr>
        <w:t xml:space="preserve"> במסגרת עסקאות היצוא הביטחוני היא קידום מכירות והגדלת סיכ</w:t>
      </w:r>
      <w:r w:rsidRPr="00882B34">
        <w:rPr>
          <w:rtl/>
        </w:rPr>
        <w:t>ויים להבשלת הזדמנות עסקית לכדי עסקה</w:t>
      </w:r>
      <w:r w:rsidRPr="00882B34">
        <w:rPr>
          <w:rFonts w:hint="cs"/>
          <w:rtl/>
        </w:rPr>
        <w:t>. עם זאת,</w:t>
      </w:r>
      <w:r w:rsidRPr="00882B34">
        <w:rPr>
          <w:rtl/>
        </w:rPr>
        <w:t xml:space="preserve"> </w:t>
      </w:r>
      <w:r w:rsidRPr="00882B34">
        <w:rPr>
          <w:rFonts w:hint="cs"/>
          <w:rtl/>
        </w:rPr>
        <w:t>ה</w:t>
      </w:r>
      <w:r w:rsidRPr="00882B34">
        <w:rPr>
          <w:rtl/>
        </w:rPr>
        <w:t xml:space="preserve">שימוש </w:t>
      </w:r>
      <w:r w:rsidRPr="00882B34">
        <w:rPr>
          <w:rFonts w:hint="cs"/>
          <w:rtl/>
        </w:rPr>
        <w:t>בהם</w:t>
      </w:r>
      <w:r w:rsidRPr="00882B34">
        <w:rPr>
          <w:rtl/>
        </w:rPr>
        <w:t xml:space="preserve"> כרוך בסיכון גבוה בהיבטי ציות ורגולציה נוכח האמור בחוק העונשין ובאמנות ה-</w:t>
      </w:r>
      <w:r w:rsidRPr="00882B34">
        <w:t>OECD</w:t>
      </w:r>
      <w:r w:rsidRPr="00882B34">
        <w:rPr>
          <w:rtl/>
        </w:rPr>
        <w:t>. אם במסגרת מעורבות מקדמי שיווק בעסקאות היצוא הביטחוני ייעשו על ידם פעולות שהן בגדר הפרת הדין הישראלי והבין-לאומי, קרי - מתן</w:t>
      </w:r>
      <w:r w:rsidRPr="00882B34">
        <w:rPr>
          <w:rtl/>
        </w:rPr>
        <w:t xml:space="preserve"> שוחד לעובדי ציבור זרים, הדבר עלול להוביל למגוון של השלכות משפטיות הן עבור התאגיד והן עבור האנשים המעורבים, פגיעה במוניטין של החברה ובמעמדה, במעמדה</w:t>
      </w:r>
      <w:r w:rsidRPr="00882B34">
        <w:rPr>
          <w:rFonts w:hint="cs"/>
          <w:rtl/>
        </w:rPr>
        <w:t xml:space="preserve"> </w:t>
      </w:r>
      <w:r w:rsidRPr="00882B34">
        <w:rPr>
          <w:rtl/>
        </w:rPr>
        <w:t>של מדינת ישראל בעולם, וביכולתה להמשיך ולקיים עסקאות יצוא ביטחוני אם תיכנס ל"רשימות שחורות"</w:t>
      </w:r>
      <w:r>
        <w:rPr>
          <w:vertAlign w:val="superscript"/>
          <w:rtl/>
        </w:rPr>
        <w:footnoteReference w:id="13"/>
      </w:r>
      <w:r w:rsidRPr="00882B34">
        <w:rPr>
          <w:rtl/>
        </w:rPr>
        <w:t xml:space="preserve">. סיכון זה מתחדד </w:t>
      </w:r>
      <w:r w:rsidRPr="00882B34">
        <w:rPr>
          <w:rtl/>
        </w:rPr>
        <w:t xml:space="preserve">נוכח התחרות הגבוהה הקיימת בשוק הביטחוני </w:t>
      </w:r>
      <w:r w:rsidR="00E32853">
        <w:rPr>
          <w:rtl/>
        </w:rPr>
        <w:br/>
      </w:r>
      <w:r w:rsidRPr="00882B34">
        <w:rPr>
          <w:rtl/>
        </w:rPr>
        <w:t>הבין-לאומי, ולנוכח פעילויות שיווק ויצוא ביטחוני המתקיימות גם במדינות עם רמות שחיתות גבוהות, שבהן הציפיה לקבלת שוחד לשם התקשרות בעסקת יצוא ביטחוני עלולה להיות גבוהה יותר.</w:t>
      </w:r>
    </w:p>
    <w:p w:rsidR="00CA7262" w:rsidRPr="00882B34" w:rsidRDefault="006E7854" w:rsidP="00CA7262">
      <w:pPr>
        <w:pStyle w:val="7392"/>
        <w:rPr>
          <w:rtl/>
        </w:rPr>
      </w:pPr>
      <w:r w:rsidRPr="00882B34">
        <w:rPr>
          <w:rtl/>
        </w:rPr>
        <w:t>סיכון נוסף הכרוך בשימוש במקדמי שיווק נוגע להע</w:t>
      </w:r>
      <w:r w:rsidRPr="00882B34">
        <w:rPr>
          <w:rtl/>
        </w:rPr>
        <w:t xml:space="preserve">סקת מקדמי שיווק המצויים בקשרים אישיים עם גורמים בכירים </w:t>
      </w:r>
      <w:proofErr w:type="spellStart"/>
      <w:r w:rsidRPr="00882B34">
        <w:rPr>
          <w:rtl/>
        </w:rPr>
        <w:t>במשהב"ט</w:t>
      </w:r>
      <w:proofErr w:type="spellEnd"/>
      <w:r w:rsidRPr="00882B34">
        <w:rPr>
          <w:rtl/>
        </w:rPr>
        <w:t xml:space="preserve">, שיכולים להשפיע על תהליך קבלת ההחלטות בתחום היצוא הביטחוני. החשש הוא כי קשרים אלו יובילו לניגודי עניינים, וכתוצאה מכך - לטובות הנאה, לקבלת החלטות לא מיטביות </w:t>
      </w:r>
      <w:proofErr w:type="spellStart"/>
      <w:r w:rsidRPr="00882B34">
        <w:rPr>
          <w:rtl/>
        </w:rPr>
        <w:t>במשהב"ט</w:t>
      </w:r>
      <w:proofErr w:type="spellEnd"/>
      <w:r w:rsidRPr="00882B34">
        <w:rPr>
          <w:rtl/>
        </w:rPr>
        <w:t xml:space="preserve"> בכל הנוגע לעסקאות אלו ולפגיע</w:t>
      </w:r>
      <w:r w:rsidRPr="00882B34">
        <w:rPr>
          <w:rtl/>
        </w:rPr>
        <w:t xml:space="preserve">ה בזכות להזדמנות שווה. מימושו של סיכון זה עלול אף להביא לפגיעה באמון הציבור </w:t>
      </w:r>
      <w:proofErr w:type="spellStart"/>
      <w:r w:rsidRPr="00882B34">
        <w:rPr>
          <w:rtl/>
        </w:rPr>
        <w:t>במינהל</w:t>
      </w:r>
      <w:proofErr w:type="spellEnd"/>
      <w:r w:rsidRPr="00882B34">
        <w:rPr>
          <w:rtl/>
        </w:rPr>
        <w:t xml:space="preserve"> הציבורי.</w:t>
      </w:r>
    </w:p>
    <w:p w:rsidR="00CA7262" w:rsidRPr="00882B34" w:rsidRDefault="006E7854" w:rsidP="00CA7262">
      <w:pPr>
        <w:pStyle w:val="7392"/>
        <w:rPr>
          <w:rtl/>
        </w:rPr>
      </w:pPr>
      <w:r w:rsidRPr="00882B34">
        <w:rPr>
          <w:rtl/>
        </w:rPr>
        <w:t>בשנים 2018 - 202</w:t>
      </w:r>
      <w:r w:rsidRPr="00882B34">
        <w:rPr>
          <w:rFonts w:hint="cs"/>
          <w:rtl/>
        </w:rPr>
        <w:t>3</w:t>
      </w:r>
      <w:r w:rsidRPr="00882B34">
        <w:rPr>
          <w:rtl/>
        </w:rPr>
        <w:t xml:space="preserve"> </w:t>
      </w:r>
      <w:r w:rsidRPr="00882B34">
        <w:rPr>
          <w:rFonts w:hint="cs"/>
          <w:rtl/>
        </w:rPr>
        <w:t xml:space="preserve">הסתכם </w:t>
      </w:r>
      <w:r w:rsidRPr="00882B34">
        <w:rPr>
          <w:rtl/>
        </w:rPr>
        <w:t xml:space="preserve">היצוא הביטחוני </w:t>
      </w:r>
      <w:r w:rsidRPr="00882B34">
        <w:rPr>
          <w:rFonts w:hint="cs"/>
          <w:rtl/>
        </w:rPr>
        <w:t xml:space="preserve">של ישראל </w:t>
      </w:r>
      <w:r w:rsidRPr="00882B34">
        <w:rPr>
          <w:rtl/>
        </w:rPr>
        <w:t>בכ-</w:t>
      </w:r>
      <w:r w:rsidRPr="00882B34">
        <w:rPr>
          <w:rFonts w:hint="cs"/>
          <w:rtl/>
        </w:rPr>
        <w:t xml:space="preserve">60.5 </w:t>
      </w:r>
      <w:r w:rsidRPr="00882B34">
        <w:rPr>
          <w:rtl/>
        </w:rPr>
        <w:t>מיליארד דולר</w:t>
      </w:r>
      <w:r w:rsidRPr="00882B34">
        <w:rPr>
          <w:rFonts w:hint="cs"/>
          <w:rtl/>
        </w:rPr>
        <w:t>.</w:t>
      </w:r>
      <w:r w:rsidRPr="00882B34">
        <w:rPr>
          <w:rtl/>
        </w:rPr>
        <w:t xml:space="preserve"> </w:t>
      </w:r>
    </w:p>
    <w:p w:rsidR="007F4A20" w:rsidRDefault="006E7854">
      <w:pPr>
        <w:bidi w:val="0"/>
        <w:spacing w:after="200" w:line="276" w:lineRule="auto"/>
        <w:rPr>
          <w:rFonts w:ascii="Tahoma" w:hAnsi="Tahoma" w:cs="Tahoma"/>
          <w:color w:val="0D0D0D" w:themeColor="text1" w:themeTint="F2"/>
          <w:sz w:val="18"/>
          <w:szCs w:val="18"/>
          <w:rtl/>
        </w:rPr>
      </w:pPr>
      <w:r>
        <w:rPr>
          <w:rtl/>
        </w:rPr>
        <w:br w:type="page"/>
      </w:r>
    </w:p>
    <w:p w:rsidR="005D0F8C" w:rsidRDefault="006E7854"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4624"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23"/>
        <w:gridCol w:w="2081"/>
        <w:gridCol w:w="321"/>
        <w:gridCol w:w="2310"/>
      </w:tblGrid>
      <w:tr w:rsidR="00E531D3" w:rsidTr="00764F91">
        <w:tc>
          <w:tcPr>
            <w:tcW w:w="1584" w:type="pct"/>
            <w:tcBorders>
              <w:bottom w:val="single" w:sz="12" w:space="0" w:color="000000" w:themeColor="text1"/>
            </w:tcBorders>
            <w:vAlign w:val="bottom"/>
          </w:tcPr>
          <w:p w:rsidR="00EC0591" w:rsidRPr="00EC0591" w:rsidRDefault="006E7854" w:rsidP="00EC0591">
            <w:pPr>
              <w:spacing w:after="60" w:line="240" w:lineRule="auto"/>
              <w:jc w:val="left"/>
              <w:rPr>
                <w:b/>
                <w:bCs/>
                <w:spacing w:val="-28"/>
                <w:rtl/>
              </w:rPr>
            </w:pPr>
            <w:r w:rsidRPr="00EC0591">
              <w:rPr>
                <w:rFonts w:ascii="Tahoma" w:hAnsi="Tahoma" w:cs="Tahoma" w:hint="cs"/>
                <w:b/>
                <w:bCs/>
                <w:spacing w:val="-10"/>
                <w:sz w:val="26"/>
                <w:szCs w:val="26"/>
                <w:rtl/>
              </w:rPr>
              <w:t>לפני כ-</w:t>
            </w:r>
            <w:r w:rsidRPr="00E32853">
              <w:rPr>
                <w:rFonts w:ascii="Tahoma" w:hAnsi="Tahoma" w:cs="Tahoma" w:hint="cs"/>
                <w:b/>
                <w:bCs/>
                <w:spacing w:val="-10"/>
                <w:sz w:val="36"/>
                <w:szCs w:val="36"/>
                <w:rtl/>
              </w:rPr>
              <w:t>16</w:t>
            </w:r>
            <w:r w:rsidRPr="00EC0591">
              <w:rPr>
                <w:rFonts w:ascii="Tahoma" w:hAnsi="Tahoma" w:cs="Tahoma" w:hint="cs"/>
                <w:b/>
                <w:bCs/>
                <w:spacing w:val="-10"/>
                <w:sz w:val="26"/>
                <w:szCs w:val="26"/>
                <w:rtl/>
              </w:rPr>
              <w:t xml:space="preserve"> שנים</w:t>
            </w:r>
          </w:p>
        </w:tc>
        <w:tc>
          <w:tcPr>
            <w:tcW w:w="219" w:type="pct"/>
          </w:tcPr>
          <w:p w:rsidR="00EC0591" w:rsidRPr="00EC0591" w:rsidRDefault="00EC0591" w:rsidP="00EC0591">
            <w:pPr>
              <w:spacing w:before="120" w:after="60" w:line="240" w:lineRule="auto"/>
              <w:jc w:val="left"/>
              <w:rPr>
                <w:b/>
                <w:bCs/>
                <w:rtl/>
              </w:rPr>
            </w:pPr>
          </w:p>
        </w:tc>
        <w:tc>
          <w:tcPr>
            <w:tcW w:w="1412" w:type="pct"/>
            <w:tcBorders>
              <w:bottom w:val="single" w:sz="12" w:space="0" w:color="000000" w:themeColor="text1"/>
            </w:tcBorders>
            <w:vAlign w:val="bottom"/>
          </w:tcPr>
          <w:p w:rsidR="00EC0591" w:rsidRPr="00E32853" w:rsidRDefault="006E7854" w:rsidP="00EC0591">
            <w:pPr>
              <w:pStyle w:val="2021"/>
              <w:spacing w:before="0" w:after="60"/>
              <w:rPr>
                <w:spacing w:val="-10"/>
                <w:rtl/>
              </w:rPr>
            </w:pPr>
            <w:r w:rsidRPr="00E32853">
              <w:rPr>
                <w:rFonts w:hint="cs"/>
                <w:spacing w:val="-10"/>
                <w:rtl/>
              </w:rPr>
              <w:t>64</w:t>
            </w:r>
          </w:p>
        </w:tc>
        <w:tc>
          <w:tcPr>
            <w:tcW w:w="218" w:type="pct"/>
          </w:tcPr>
          <w:p w:rsidR="00EC0591" w:rsidRPr="00EC0591" w:rsidRDefault="00EC0591" w:rsidP="00EC0591">
            <w:pPr>
              <w:spacing w:before="120" w:after="60" w:line="240" w:lineRule="auto"/>
              <w:jc w:val="left"/>
              <w:rPr>
                <w:b/>
                <w:bCs/>
                <w:rtl/>
              </w:rPr>
            </w:pPr>
          </w:p>
        </w:tc>
        <w:tc>
          <w:tcPr>
            <w:tcW w:w="1567" w:type="pct"/>
            <w:tcBorders>
              <w:bottom w:val="single" w:sz="12" w:space="0" w:color="000000" w:themeColor="text1"/>
            </w:tcBorders>
            <w:vAlign w:val="bottom"/>
          </w:tcPr>
          <w:p w:rsidR="00EC0591" w:rsidRPr="00EC0591" w:rsidRDefault="006E7854" w:rsidP="00EC0591">
            <w:pPr>
              <w:pStyle w:val="2021"/>
              <w:spacing w:before="0" w:after="60"/>
              <w:rPr>
                <w:spacing w:val="-20"/>
                <w:sz w:val="24"/>
                <w:rtl/>
              </w:rPr>
            </w:pPr>
            <w:r w:rsidRPr="00E32853">
              <w:rPr>
                <w:rFonts w:hint="cs"/>
                <w:spacing w:val="-10"/>
                <w:rtl/>
              </w:rPr>
              <w:t>13.1</w:t>
            </w:r>
            <w:r w:rsidRPr="00EC0591">
              <w:rPr>
                <w:rFonts w:hint="cs"/>
                <w:spacing w:val="-10"/>
                <w:sz w:val="26"/>
                <w:szCs w:val="26"/>
                <w:rtl/>
              </w:rPr>
              <w:t xml:space="preserve"> </w:t>
            </w:r>
            <w:r w:rsidR="00E32853">
              <w:rPr>
                <w:spacing w:val="-10"/>
                <w:sz w:val="26"/>
                <w:szCs w:val="26"/>
                <w:rtl/>
              </w:rPr>
              <w:br/>
            </w:r>
            <w:r w:rsidRPr="00EC0591">
              <w:rPr>
                <w:rFonts w:hint="cs"/>
                <w:spacing w:val="-10"/>
                <w:sz w:val="26"/>
                <w:szCs w:val="26"/>
                <w:rtl/>
              </w:rPr>
              <w:t>מיליארד דולר</w:t>
            </w:r>
          </w:p>
        </w:tc>
      </w:tr>
      <w:tr w:rsidR="00E531D3" w:rsidTr="00EC0591">
        <w:tc>
          <w:tcPr>
            <w:tcW w:w="1584" w:type="pct"/>
            <w:tcBorders>
              <w:top w:val="single" w:sz="12" w:space="0" w:color="000000" w:themeColor="text1"/>
            </w:tcBorders>
          </w:tcPr>
          <w:p w:rsidR="00EC0591" w:rsidRPr="00E52143" w:rsidRDefault="006E7854" w:rsidP="00EC0591">
            <w:pPr>
              <w:pStyle w:val="732021"/>
              <w:spacing w:before="0" w:line="240" w:lineRule="auto"/>
              <w:rPr>
                <w:rtl/>
              </w:rPr>
            </w:pPr>
            <w:r w:rsidRPr="00882B34">
              <w:rPr>
                <w:rtl/>
              </w:rPr>
              <w:t>נוספה לחוק העונשין</w:t>
            </w:r>
            <w:r w:rsidRPr="00882B34">
              <w:rPr>
                <w:rFonts w:hint="cs"/>
                <w:rtl/>
              </w:rPr>
              <w:t xml:space="preserve"> </w:t>
            </w:r>
            <w:r w:rsidRPr="00882B34">
              <w:rPr>
                <w:rtl/>
              </w:rPr>
              <w:t xml:space="preserve">עבירה שעניינה מתן שוחד לעובד </w:t>
            </w:r>
            <w:r w:rsidRPr="00882B34">
              <w:rPr>
                <w:rtl/>
              </w:rPr>
              <w:t>ציבור של מדינה זרה או לעובד של ארגון ציבורי בין-לאומי</w:t>
            </w:r>
            <w:r w:rsidRPr="00882B34">
              <w:rPr>
                <w:rFonts w:hint="cs"/>
                <w:rtl/>
              </w:rPr>
              <w:t xml:space="preserve"> שעונשה המרבי עומד על שבע שנות מאסר</w:t>
            </w:r>
            <w:r>
              <w:rPr>
                <w:vertAlign w:val="superscript"/>
                <w:rtl/>
              </w:rPr>
              <w:footnoteReference w:id="14"/>
            </w:r>
            <w:r w:rsidRPr="00882B34">
              <w:rPr>
                <w:rtl/>
              </w:rPr>
              <w:t xml:space="preserve"> </w:t>
            </w:r>
          </w:p>
        </w:tc>
        <w:tc>
          <w:tcPr>
            <w:tcW w:w="219" w:type="pct"/>
          </w:tcPr>
          <w:p w:rsidR="00EC0591" w:rsidRPr="00E52143" w:rsidRDefault="00EC0591" w:rsidP="00EC0591">
            <w:pPr>
              <w:pStyle w:val="732021"/>
              <w:spacing w:before="0" w:line="240" w:lineRule="auto"/>
              <w:rPr>
                <w:rtl/>
              </w:rPr>
            </w:pPr>
          </w:p>
        </w:tc>
        <w:tc>
          <w:tcPr>
            <w:tcW w:w="1412" w:type="pct"/>
            <w:tcBorders>
              <w:top w:val="single" w:sz="12" w:space="0" w:color="000000" w:themeColor="text1"/>
            </w:tcBorders>
          </w:tcPr>
          <w:p w:rsidR="00EC0591" w:rsidRPr="00E52143" w:rsidRDefault="006E7854" w:rsidP="00EC0591">
            <w:pPr>
              <w:pStyle w:val="732021"/>
              <w:spacing w:before="0" w:line="240" w:lineRule="auto"/>
              <w:rPr>
                <w:rtl/>
              </w:rPr>
            </w:pPr>
            <w:r w:rsidRPr="00882B34">
              <w:rPr>
                <w:rFonts w:hint="cs"/>
                <w:rtl/>
              </w:rPr>
              <w:t xml:space="preserve">הציון של מדינת ישראל בשנת 2024 </w:t>
            </w:r>
            <w:r w:rsidRPr="00882B34">
              <w:rPr>
                <w:rtl/>
              </w:rPr>
              <w:t>במדד "תפיסת השחיתות"</w:t>
            </w:r>
            <w:r>
              <w:rPr>
                <w:vertAlign w:val="superscript"/>
                <w:rtl/>
              </w:rPr>
              <w:footnoteReference w:id="15"/>
            </w:r>
            <w:r w:rsidRPr="00882B34">
              <w:rPr>
                <w:rtl/>
              </w:rPr>
              <w:t>, בסולם של 0 (שחיתות גבוהה) ועד 100 (מדינה נקייה משחיתות)</w:t>
            </w:r>
            <w:r>
              <w:rPr>
                <w:vertAlign w:val="superscript"/>
                <w:rtl/>
              </w:rPr>
              <w:footnoteReference w:id="16"/>
            </w:r>
            <w:r w:rsidRPr="00882B34">
              <w:rPr>
                <w:rFonts w:hint="cs"/>
                <w:rtl/>
              </w:rPr>
              <w:t>. ישראל דורגה במקום ה-30 מתוך 180 מדינות</w:t>
            </w:r>
          </w:p>
        </w:tc>
        <w:tc>
          <w:tcPr>
            <w:tcW w:w="218" w:type="pct"/>
          </w:tcPr>
          <w:p w:rsidR="00EC0591" w:rsidRPr="00E52143" w:rsidRDefault="00EC0591" w:rsidP="00EC0591">
            <w:pPr>
              <w:pStyle w:val="732021"/>
              <w:spacing w:before="0" w:line="240" w:lineRule="auto"/>
              <w:rPr>
                <w:rtl/>
              </w:rPr>
            </w:pPr>
          </w:p>
        </w:tc>
        <w:tc>
          <w:tcPr>
            <w:tcW w:w="1567" w:type="pct"/>
            <w:tcBorders>
              <w:top w:val="single" w:sz="12" w:space="0" w:color="000000" w:themeColor="text1"/>
            </w:tcBorders>
          </w:tcPr>
          <w:p w:rsidR="00EC0591" w:rsidRPr="00E52143" w:rsidRDefault="006E7854" w:rsidP="00EC0591">
            <w:pPr>
              <w:pStyle w:val="732021"/>
              <w:spacing w:before="0" w:line="240" w:lineRule="auto"/>
              <w:rPr>
                <w:rtl/>
              </w:rPr>
            </w:pPr>
            <w:r w:rsidRPr="00882B34">
              <w:rPr>
                <w:rtl/>
              </w:rPr>
              <w:t>היקף היצוא ה</w:t>
            </w:r>
            <w:r w:rsidRPr="00882B34">
              <w:rPr>
                <w:rtl/>
              </w:rPr>
              <w:t xml:space="preserve">ביטחוני </w:t>
            </w:r>
            <w:r w:rsidRPr="00882B34">
              <w:rPr>
                <w:rFonts w:hint="cs"/>
                <w:rtl/>
              </w:rPr>
              <w:t xml:space="preserve">של מדינת ישראל </w:t>
            </w:r>
            <w:r w:rsidRPr="00882B34">
              <w:rPr>
                <w:rtl/>
              </w:rPr>
              <w:t>בשנת 2023</w:t>
            </w:r>
          </w:p>
        </w:tc>
      </w:tr>
      <w:tr w:rsidR="00E531D3" w:rsidTr="00EC0591">
        <w:trPr>
          <w:gridAfter w:val="1"/>
          <w:wAfter w:w="1567" w:type="pct"/>
        </w:trPr>
        <w:tc>
          <w:tcPr>
            <w:tcW w:w="1584" w:type="pct"/>
            <w:tcBorders>
              <w:bottom w:val="single" w:sz="12" w:space="0" w:color="000000" w:themeColor="text1"/>
            </w:tcBorders>
            <w:vAlign w:val="bottom"/>
          </w:tcPr>
          <w:p w:rsidR="00EC0591" w:rsidRPr="00E32853" w:rsidRDefault="006E7854" w:rsidP="00850059">
            <w:pPr>
              <w:spacing w:after="60" w:line="240" w:lineRule="auto"/>
              <w:jc w:val="left"/>
              <w:rPr>
                <w:rFonts w:ascii="Tahoma" w:eastAsiaTheme="minorEastAsia" w:hAnsi="Tahoma" w:cs="Tahoma"/>
                <w:b/>
                <w:bCs/>
                <w:color w:val="0D0D0D" w:themeColor="text1" w:themeTint="F2"/>
                <w:spacing w:val="-10"/>
                <w:sz w:val="26"/>
                <w:szCs w:val="26"/>
                <w:rtl/>
              </w:rPr>
            </w:pPr>
            <w:r w:rsidRPr="00E32853">
              <w:rPr>
                <w:rFonts w:ascii="Tahoma" w:eastAsiaTheme="minorEastAsia" w:hAnsi="Tahoma" w:cs="Tahoma" w:hint="cs"/>
                <w:b/>
                <w:bCs/>
                <w:color w:val="0D0D0D" w:themeColor="text1" w:themeTint="F2"/>
                <w:spacing w:val="-10"/>
                <w:sz w:val="36"/>
                <w:szCs w:val="36"/>
                <w:rtl/>
              </w:rPr>
              <w:t>מאות</w:t>
            </w:r>
            <w:r w:rsidRPr="00E32853">
              <w:rPr>
                <w:rFonts w:ascii="Tahoma" w:eastAsiaTheme="minorEastAsia" w:hAnsi="Tahoma" w:cs="Tahoma" w:hint="cs"/>
                <w:b/>
                <w:bCs/>
                <w:color w:val="0D0D0D" w:themeColor="text1" w:themeTint="F2"/>
                <w:spacing w:val="-10"/>
                <w:sz w:val="26"/>
                <w:szCs w:val="26"/>
                <w:rtl/>
              </w:rPr>
              <w:t xml:space="preserve"> </w:t>
            </w:r>
            <w:r w:rsidR="00E32853">
              <w:rPr>
                <w:rFonts w:ascii="Tahoma" w:eastAsiaTheme="minorEastAsia" w:hAnsi="Tahoma" w:cs="Tahoma"/>
                <w:b/>
                <w:bCs/>
                <w:color w:val="0D0D0D" w:themeColor="text1" w:themeTint="F2"/>
                <w:spacing w:val="-10"/>
                <w:sz w:val="26"/>
                <w:szCs w:val="26"/>
                <w:rtl/>
              </w:rPr>
              <w:br/>
            </w:r>
            <w:r w:rsidRPr="00E32853">
              <w:rPr>
                <w:rFonts w:ascii="Tahoma" w:eastAsiaTheme="minorEastAsia" w:hAnsi="Tahoma" w:cs="Tahoma" w:hint="cs"/>
                <w:b/>
                <w:bCs/>
                <w:color w:val="0D0D0D" w:themeColor="text1" w:themeTint="F2"/>
                <w:spacing w:val="-10"/>
                <w:sz w:val="26"/>
                <w:szCs w:val="26"/>
                <w:rtl/>
              </w:rPr>
              <w:t>מיליוני דולר</w:t>
            </w:r>
          </w:p>
        </w:tc>
        <w:tc>
          <w:tcPr>
            <w:tcW w:w="219" w:type="pct"/>
            <w:vAlign w:val="bottom"/>
          </w:tcPr>
          <w:p w:rsidR="00EC0591" w:rsidRPr="00E32853" w:rsidRDefault="00EC0591" w:rsidP="00850059">
            <w:pPr>
              <w:spacing w:after="60"/>
              <w:jc w:val="left"/>
              <w:rPr>
                <w:rFonts w:ascii="Tahoma" w:eastAsiaTheme="minorEastAsia" w:hAnsi="Tahoma" w:cs="Tahoma"/>
                <w:b/>
                <w:bCs/>
                <w:color w:val="0D0D0D" w:themeColor="text1" w:themeTint="F2"/>
                <w:spacing w:val="-10"/>
                <w:sz w:val="26"/>
                <w:szCs w:val="26"/>
                <w:rtl/>
              </w:rPr>
            </w:pPr>
          </w:p>
        </w:tc>
        <w:tc>
          <w:tcPr>
            <w:tcW w:w="1412" w:type="pct"/>
            <w:tcBorders>
              <w:bottom w:val="single" w:sz="12" w:space="0" w:color="000000" w:themeColor="text1"/>
            </w:tcBorders>
            <w:vAlign w:val="bottom"/>
          </w:tcPr>
          <w:p w:rsidR="00EC0591" w:rsidRPr="00E32853" w:rsidRDefault="006E7854" w:rsidP="00850059">
            <w:pPr>
              <w:pStyle w:val="2021"/>
              <w:spacing w:before="0" w:after="60"/>
              <w:rPr>
                <w:spacing w:val="-10"/>
                <w:sz w:val="26"/>
                <w:szCs w:val="26"/>
                <w:rtl/>
              </w:rPr>
            </w:pPr>
            <w:r w:rsidRPr="00E32853">
              <w:rPr>
                <w:rFonts w:hint="cs"/>
                <w:spacing w:val="-10"/>
                <w:sz w:val="26"/>
                <w:szCs w:val="26"/>
                <w:rtl/>
              </w:rPr>
              <w:t>בשיעור ניכר</w:t>
            </w:r>
          </w:p>
        </w:tc>
        <w:tc>
          <w:tcPr>
            <w:tcW w:w="218" w:type="pct"/>
            <w:vAlign w:val="bottom"/>
          </w:tcPr>
          <w:p w:rsidR="00EC0591" w:rsidRDefault="00EC0591" w:rsidP="00850059">
            <w:pPr>
              <w:spacing w:after="60" w:line="240" w:lineRule="auto"/>
              <w:jc w:val="left"/>
              <w:rPr>
                <w:rtl/>
              </w:rPr>
            </w:pPr>
          </w:p>
        </w:tc>
      </w:tr>
      <w:tr w:rsidR="00E531D3" w:rsidTr="00EC0591">
        <w:trPr>
          <w:gridAfter w:val="1"/>
          <w:wAfter w:w="1567" w:type="pct"/>
        </w:trPr>
        <w:tc>
          <w:tcPr>
            <w:tcW w:w="1584" w:type="pct"/>
            <w:tcBorders>
              <w:top w:val="single" w:sz="12" w:space="0" w:color="000000" w:themeColor="text1"/>
            </w:tcBorders>
          </w:tcPr>
          <w:p w:rsidR="00EC0591" w:rsidRPr="004562F8" w:rsidRDefault="006E7854" w:rsidP="00EC0591">
            <w:pPr>
              <w:pStyle w:val="732021"/>
              <w:spacing w:before="0" w:after="0" w:line="240" w:lineRule="auto"/>
              <w:rPr>
                <w:rtl/>
              </w:rPr>
            </w:pPr>
            <w:r w:rsidRPr="00882B34">
              <w:rPr>
                <w:rFonts w:hint="cs"/>
                <w:rtl/>
              </w:rPr>
              <w:t>סך ההיקף הכספי של עמלות שהתחייבו חברות ביטחוניות לשלם למקדמי שיווק בגין עסקאות בשנים 2022 - 2024</w:t>
            </w:r>
          </w:p>
        </w:tc>
        <w:tc>
          <w:tcPr>
            <w:tcW w:w="219" w:type="pct"/>
          </w:tcPr>
          <w:p w:rsidR="00EC0591" w:rsidRPr="008D750B" w:rsidRDefault="00EC0591" w:rsidP="00EC0591">
            <w:pPr>
              <w:pStyle w:val="732021"/>
              <w:spacing w:before="0" w:after="0" w:line="240" w:lineRule="auto"/>
              <w:rPr>
                <w:rtl/>
              </w:rPr>
            </w:pPr>
          </w:p>
        </w:tc>
        <w:tc>
          <w:tcPr>
            <w:tcW w:w="1412" w:type="pct"/>
            <w:tcBorders>
              <w:top w:val="single" w:sz="12" w:space="0" w:color="000000" w:themeColor="text1"/>
            </w:tcBorders>
          </w:tcPr>
          <w:p w:rsidR="00EC0591" w:rsidRPr="004562F8" w:rsidRDefault="006E7854" w:rsidP="00EC0591">
            <w:pPr>
              <w:pStyle w:val="732021"/>
              <w:spacing w:before="0" w:line="240" w:lineRule="auto"/>
              <w:rPr>
                <w:rtl/>
              </w:rPr>
            </w:pPr>
            <w:r w:rsidRPr="00882B34">
              <w:rPr>
                <w:rtl/>
              </w:rPr>
              <w:t>מעסקאות</w:t>
            </w:r>
            <w:r w:rsidRPr="00882B34">
              <w:rPr>
                <w:rFonts w:hint="cs"/>
                <w:rtl/>
              </w:rPr>
              <w:t xml:space="preserve"> של יצוא ביטחוני</w:t>
            </w:r>
            <w:r w:rsidRPr="00882B34">
              <w:rPr>
                <w:rtl/>
              </w:rPr>
              <w:t>, שנעשו בשנים 2022 - 2024 בהיקף כספי של מיליארד</w:t>
            </w:r>
            <w:r w:rsidRPr="00882B34">
              <w:rPr>
                <w:rFonts w:hint="cs"/>
                <w:rtl/>
              </w:rPr>
              <w:t>י</w:t>
            </w:r>
            <w:r w:rsidRPr="00882B34">
              <w:rPr>
                <w:rtl/>
              </w:rPr>
              <w:t xml:space="preserve"> דולר, היו מעורבים מקדמי שיווק</w:t>
            </w:r>
          </w:p>
        </w:tc>
        <w:tc>
          <w:tcPr>
            <w:tcW w:w="218" w:type="pct"/>
          </w:tcPr>
          <w:p w:rsidR="00EC0591" w:rsidRDefault="00EC0591" w:rsidP="00EC0591">
            <w:pPr>
              <w:pStyle w:val="732021"/>
              <w:spacing w:before="0" w:after="0" w:line="240" w:lineRule="auto"/>
              <w:rPr>
                <w:rtl/>
              </w:rPr>
            </w:pPr>
          </w:p>
        </w:tc>
      </w:tr>
    </w:tbl>
    <w:p w:rsidR="00420374" w:rsidRPr="00C62692" w:rsidRDefault="006E7854" w:rsidP="00420374">
      <w:pPr>
        <w:pStyle w:val="732"/>
        <w:rPr>
          <w:rtl/>
        </w:rPr>
      </w:pPr>
      <w:r w:rsidRPr="00C62692">
        <w:rPr>
          <w:rtl/>
        </w:rPr>
        <w:t>פעולות הביקורת</w:t>
      </w:r>
    </w:p>
    <w:p w:rsidR="00EC0591" w:rsidRPr="00882B34" w:rsidRDefault="006E7854" w:rsidP="00EC0591">
      <w:pPr>
        <w:pStyle w:val="73f7"/>
        <w:rPr>
          <w:noProof/>
          <w:rtl/>
        </w:rPr>
      </w:pPr>
      <w:r w:rsidRPr="001F3363">
        <w:rPr>
          <w:noProof/>
        </w:rPr>
        <w:drawing>
          <wp:anchor distT="0" distB="0" distL="71755" distR="71755" simplePos="0" relativeHeight="251678720" behindDoc="0" locked="0" layoutInCell="1" allowOverlap="1">
            <wp:simplePos x="0" y="0"/>
            <wp:positionH relativeFrom="column">
              <wp:posOffset>4505960</wp:posOffset>
            </wp:positionH>
            <wp:positionV relativeFrom="paragraph">
              <wp:posOffset>42757</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2B34">
        <w:rPr>
          <w:rFonts w:hint="cs"/>
          <w:noProof/>
          <w:rtl/>
        </w:rPr>
        <w:t>בחודשים</w:t>
      </w:r>
      <w:r w:rsidRPr="00882B34">
        <w:rPr>
          <w:noProof/>
          <w:rtl/>
        </w:rPr>
        <w:t xml:space="preserve"> אוגוסט</w:t>
      </w:r>
      <w:r w:rsidRPr="00882B34">
        <w:rPr>
          <w:rFonts w:hint="cs"/>
          <w:noProof/>
          <w:rtl/>
        </w:rPr>
        <w:t xml:space="preserve"> עד</w:t>
      </w:r>
      <w:r w:rsidRPr="00882B34">
        <w:rPr>
          <w:noProof/>
          <w:rtl/>
        </w:rPr>
        <w:t xml:space="preserve"> דצמבר 2024 בדק משרד מבקר המדינה היבטים בבקרה של משהב"ט על השימוש של </w:t>
      </w:r>
      <w:r w:rsidRPr="00882B34">
        <w:rPr>
          <w:rFonts w:hint="cs"/>
          <w:noProof/>
          <w:rtl/>
        </w:rPr>
        <w:t>החברות</w:t>
      </w:r>
      <w:r w:rsidRPr="00882B34">
        <w:rPr>
          <w:noProof/>
          <w:rtl/>
        </w:rPr>
        <w:t xml:space="preserve"> הביטחוניות במקדמי שיווק במסגרת עסקאות יצוא ביטחוני, ובכלל זה - את המדיניות של משהב"ט בנושא; את הממשק שבין </w:t>
      </w:r>
      <w:r w:rsidRPr="00882B34">
        <w:rPr>
          <w:rFonts w:hint="cs"/>
          <w:noProof/>
          <w:rtl/>
        </w:rPr>
        <w:t>החברות</w:t>
      </w:r>
      <w:r w:rsidRPr="00882B34">
        <w:rPr>
          <w:noProof/>
          <w:rtl/>
        </w:rPr>
        <w:t xml:space="preserve"> ה</w:t>
      </w:r>
      <w:r w:rsidRPr="00882B34">
        <w:rPr>
          <w:noProof/>
          <w:rtl/>
        </w:rPr>
        <w:t xml:space="preserve">ביטחוניות לבין משהב"ט בכל הנוגע לפעילות מקדמי השיווק, לרבות הבקרה שהוא </w:t>
      </w:r>
      <w:r w:rsidRPr="00882B34">
        <w:rPr>
          <w:rFonts w:hint="cs"/>
          <w:noProof/>
          <w:rtl/>
        </w:rPr>
        <w:t>מקיים</w:t>
      </w:r>
      <w:r w:rsidRPr="00882B34">
        <w:rPr>
          <w:noProof/>
          <w:rtl/>
        </w:rPr>
        <w:t xml:space="preserve"> על הנושא; ואת הסדרת פעילות משהב"ט בהקשרים הנוגעים לנושא זה במסגרת הוראותיו ונהליו. בדיקות השלמה </w:t>
      </w:r>
      <w:r w:rsidRPr="00882B34">
        <w:rPr>
          <w:rFonts w:hint="cs"/>
          <w:noProof/>
          <w:rtl/>
        </w:rPr>
        <w:t>בוצעו</w:t>
      </w:r>
      <w:r w:rsidRPr="00882B34">
        <w:rPr>
          <w:noProof/>
          <w:rtl/>
        </w:rPr>
        <w:t xml:space="preserve"> </w:t>
      </w:r>
      <w:r w:rsidRPr="00882B34">
        <w:rPr>
          <w:rFonts w:hint="cs"/>
          <w:noProof/>
          <w:rtl/>
        </w:rPr>
        <w:t xml:space="preserve">עד </w:t>
      </w:r>
      <w:r w:rsidRPr="00882B34">
        <w:rPr>
          <w:rFonts w:hint="eastAsia"/>
          <w:noProof/>
          <w:rtl/>
        </w:rPr>
        <w:t>פברואר</w:t>
      </w:r>
      <w:r w:rsidRPr="00882B34">
        <w:rPr>
          <w:noProof/>
          <w:rtl/>
        </w:rPr>
        <w:t xml:space="preserve"> 2025. הביקורת בוצעה במשהב"ט: בלשכת מנכ"ל משהב"ט, באגף היועץ המשפטי </w:t>
      </w:r>
      <w:r w:rsidRPr="00882B34">
        <w:rPr>
          <w:noProof/>
          <w:rtl/>
        </w:rPr>
        <w:t xml:space="preserve">למערכת הביטחון (היועמ"ש למעהב"ט), בסיבט, </w:t>
      </w:r>
      <w:r w:rsidRPr="00882B34">
        <w:rPr>
          <w:rFonts w:hint="cs"/>
          <w:noProof/>
          <w:rtl/>
        </w:rPr>
        <w:t>במנהל למחקר ופיתוח אמצעי לחימה ותשתית טכנולוגית</w:t>
      </w:r>
      <w:r w:rsidRPr="00882B34">
        <w:rPr>
          <w:noProof/>
          <w:rtl/>
        </w:rPr>
        <w:t xml:space="preserve">, באגף לפיקוח על היצוא הביטחוני (אפ"י), באגף הביטחוני מדיני, ובאגף התכנון. </w:t>
      </w:r>
      <w:r w:rsidRPr="00882B34">
        <w:rPr>
          <w:rFonts w:hint="cs"/>
          <w:noProof/>
          <w:rtl/>
        </w:rPr>
        <w:t>ביקורת</w:t>
      </w:r>
      <w:r w:rsidRPr="00882B34">
        <w:rPr>
          <w:noProof/>
          <w:rtl/>
        </w:rPr>
        <w:t xml:space="preserve"> השלמה בוצע</w:t>
      </w:r>
      <w:r w:rsidRPr="00882B34">
        <w:rPr>
          <w:rFonts w:hint="cs"/>
          <w:noProof/>
          <w:rtl/>
        </w:rPr>
        <w:t>ה</w:t>
      </w:r>
      <w:r w:rsidRPr="00882B34">
        <w:rPr>
          <w:noProof/>
          <w:rtl/>
        </w:rPr>
        <w:t xml:space="preserve"> במשרד </w:t>
      </w:r>
      <w:r w:rsidRPr="00882B34">
        <w:rPr>
          <w:noProof/>
          <w:rtl/>
        </w:rPr>
        <w:lastRenderedPageBreak/>
        <w:t>המשפטים.</w:t>
      </w:r>
      <w:r w:rsidRPr="00882B34">
        <w:rPr>
          <w:rFonts w:hint="cs"/>
          <w:noProof/>
          <w:rtl/>
        </w:rPr>
        <w:t xml:space="preserve"> הביקורת לא עסקה בחשד להפרות של הדין והעמדה לדין בגין עבירות</w:t>
      </w:r>
      <w:r w:rsidRPr="00882B34">
        <w:rPr>
          <w:rFonts w:hint="cs"/>
          <w:noProof/>
          <w:rtl/>
        </w:rPr>
        <w:t xml:space="preserve"> של שוחד לעובדי ציבור זרים.</w:t>
      </w:r>
    </w:p>
    <w:p w:rsidR="00EC0591" w:rsidRPr="00882B34" w:rsidRDefault="006E7854" w:rsidP="00EC0591">
      <w:pPr>
        <w:pStyle w:val="73f7"/>
        <w:rPr>
          <w:noProof/>
          <w:rtl/>
        </w:rPr>
      </w:pPr>
      <w:r w:rsidRPr="00882B34">
        <w:rPr>
          <w:noProof/>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p>
    <w:p w:rsidR="00EB672B" w:rsidRPr="00275281" w:rsidRDefault="006E7854" w:rsidP="00EB672B">
      <w:pPr>
        <w:pStyle w:val="732"/>
        <w:rPr>
          <w:rtl/>
        </w:rPr>
      </w:pPr>
      <w:r w:rsidRPr="00275281">
        <w:rPr>
          <w:rFonts w:hint="cs"/>
          <w:rtl/>
        </w:rPr>
        <w:t>תמונת המצב העולה מ</w:t>
      </w:r>
      <w:r w:rsidRPr="00275281">
        <w:rPr>
          <w:rFonts w:hint="cs"/>
          <w:rtl/>
        </w:rPr>
        <w:t>ן הביקורת</w:t>
      </w:r>
    </w:p>
    <w:p w:rsidR="00EB672B" w:rsidRPr="00CF6518" w:rsidRDefault="006E7854"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EC0591" w:rsidRPr="00EC0591" w:rsidRDefault="006E7854" w:rsidP="00EC0591">
      <w:pPr>
        <w:pStyle w:val="7390"/>
        <w:rPr>
          <w:rtl/>
        </w:rPr>
      </w:pPr>
      <w:r w:rsidRPr="00EC0591">
        <w:rPr>
          <w:rStyle w:val="7372"/>
          <w:rFonts w:hint="cs"/>
          <w:b/>
          <w:rtl/>
        </w:rPr>
        <w:drawing>
          <wp:anchor distT="0" distB="0" distL="71755" distR="0" simplePos="0" relativeHeight="2516848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2" w:name="_Hlk189037426"/>
      <w:r w:rsidRPr="00EC0591">
        <w:rPr>
          <w:rtl/>
        </w:rPr>
        <w:t>מעורבות משהב"ט בשימוש החברות הביטחוניות במקדמי שיווק</w:t>
      </w:r>
      <w:bookmarkEnd w:id="2"/>
    </w:p>
    <w:p w:rsidR="00EC0591" w:rsidRPr="00882B34" w:rsidRDefault="006E7854" w:rsidP="006E7854">
      <w:pPr>
        <w:pStyle w:val="73f7"/>
        <w:numPr>
          <w:ilvl w:val="0"/>
          <w:numId w:val="10"/>
        </w:numPr>
      </w:pPr>
      <w:r w:rsidRPr="00882B34">
        <w:rPr>
          <w:rFonts w:hint="cs"/>
          <w:rtl/>
        </w:rPr>
        <w:t xml:space="preserve">שלא בהתאם להנחיית מנכ"ל </w:t>
      </w:r>
      <w:proofErr w:type="spellStart"/>
      <w:r w:rsidRPr="00882B34">
        <w:rPr>
          <w:rFonts w:hint="cs"/>
          <w:rtl/>
        </w:rPr>
        <w:t>משהב"ט</w:t>
      </w:r>
      <w:proofErr w:type="spellEnd"/>
      <w:r w:rsidRPr="00882B34">
        <w:rPr>
          <w:rFonts w:hint="cs"/>
          <w:rtl/>
        </w:rPr>
        <w:t xml:space="preserve"> מנובמבר 2017, אין באגף היועמ"ש </w:t>
      </w:r>
      <w:proofErr w:type="spellStart"/>
      <w:r w:rsidRPr="00882B34">
        <w:rPr>
          <w:rFonts w:hint="cs"/>
          <w:rtl/>
        </w:rPr>
        <w:t>למעהב"ט</w:t>
      </w:r>
      <w:proofErr w:type="spellEnd"/>
      <w:r w:rsidRPr="00882B34">
        <w:rPr>
          <w:rFonts w:hint="cs"/>
          <w:rtl/>
        </w:rPr>
        <w:t xml:space="preserve"> ובלשכת המנכ"ל מסמכים המעידים שנבחנה הקמת מנגנון ביצוע ביקורות עיתיות לשם בדיקת עמידתן של החברות הביטחוניות בכללי הציות, </w:t>
      </w:r>
      <w:r w:rsidRPr="00882B34">
        <w:rPr>
          <w:rFonts w:hint="cs"/>
          <w:rtl/>
        </w:rPr>
        <w:t>וממילא לא הוקם מנגנון כזה.</w:t>
      </w:r>
    </w:p>
    <w:p w:rsidR="00EC0591" w:rsidRPr="00882B34" w:rsidRDefault="006E7854" w:rsidP="006E7854">
      <w:pPr>
        <w:pStyle w:val="73f7"/>
        <w:numPr>
          <w:ilvl w:val="0"/>
          <w:numId w:val="10"/>
        </w:numPr>
      </w:pPr>
      <w:r w:rsidRPr="00882B34">
        <w:rPr>
          <w:rFonts w:hint="eastAsia"/>
          <w:rtl/>
        </w:rPr>
        <w:t>לא</w:t>
      </w:r>
      <w:r w:rsidRPr="00882B34">
        <w:rPr>
          <w:rtl/>
        </w:rPr>
        <w:t xml:space="preserve"> נמצא</w:t>
      </w:r>
      <w:r w:rsidRPr="00882B34">
        <w:rPr>
          <w:rFonts w:hint="cs"/>
          <w:rtl/>
        </w:rPr>
        <w:t>ו</w:t>
      </w:r>
      <w:r w:rsidRPr="00882B34">
        <w:rPr>
          <w:rtl/>
        </w:rPr>
        <w:t xml:space="preserve"> בלשכת מנכ"ל </w:t>
      </w:r>
      <w:proofErr w:type="spellStart"/>
      <w:r w:rsidRPr="00882B34">
        <w:rPr>
          <w:rFonts w:hint="eastAsia"/>
          <w:rtl/>
        </w:rPr>
        <w:t>משהב</w:t>
      </w:r>
      <w:r w:rsidRPr="00882B34">
        <w:rPr>
          <w:rtl/>
        </w:rPr>
        <w:t>"ט</w:t>
      </w:r>
      <w:proofErr w:type="spellEnd"/>
      <w:r w:rsidRPr="00882B34">
        <w:rPr>
          <w:rtl/>
        </w:rPr>
        <w:t xml:space="preserve"> </w:t>
      </w:r>
      <w:proofErr w:type="spellStart"/>
      <w:r w:rsidRPr="00882B34">
        <w:rPr>
          <w:rFonts w:hint="eastAsia"/>
          <w:rtl/>
        </w:rPr>
        <w:t>ובסיבט</w:t>
      </w:r>
      <w:proofErr w:type="spellEnd"/>
      <w:r w:rsidRPr="00882B34">
        <w:rPr>
          <w:rtl/>
        </w:rPr>
        <w:t xml:space="preserve"> </w:t>
      </w:r>
      <w:r w:rsidRPr="00882B34">
        <w:rPr>
          <w:rFonts w:hint="cs"/>
          <w:rtl/>
        </w:rPr>
        <w:t xml:space="preserve">מסמכי </w:t>
      </w:r>
      <w:r w:rsidRPr="00882B34">
        <w:rPr>
          <w:rtl/>
        </w:rPr>
        <w:t xml:space="preserve">עבודת המטה שהוצגה לאישור המנכ"ל בנושא מקדמי שיווק ואף לא ידוע לגורמי </w:t>
      </w:r>
      <w:proofErr w:type="spellStart"/>
      <w:r w:rsidRPr="00882B34">
        <w:rPr>
          <w:rFonts w:hint="eastAsia"/>
          <w:rtl/>
        </w:rPr>
        <w:t>משהב</w:t>
      </w:r>
      <w:r w:rsidRPr="00882B34">
        <w:rPr>
          <w:rtl/>
        </w:rPr>
        <w:t>"ט</w:t>
      </w:r>
      <w:proofErr w:type="spellEnd"/>
      <w:r w:rsidRPr="00882B34">
        <w:rPr>
          <w:rtl/>
        </w:rPr>
        <w:t xml:space="preserve"> המכהנים כיום בתפקיד על עבודת מטה זו. היעדר תיעוד </w:t>
      </w:r>
      <w:r w:rsidRPr="00882B34">
        <w:rPr>
          <w:rFonts w:hint="cs"/>
          <w:rtl/>
        </w:rPr>
        <w:t>ש</w:t>
      </w:r>
      <w:r w:rsidRPr="00882B34">
        <w:rPr>
          <w:rtl/>
        </w:rPr>
        <w:t>ל</w:t>
      </w:r>
      <w:r w:rsidRPr="00882B34">
        <w:rPr>
          <w:rFonts w:hint="cs"/>
          <w:rtl/>
        </w:rPr>
        <w:t xml:space="preserve"> </w:t>
      </w:r>
      <w:r w:rsidRPr="00882B34">
        <w:rPr>
          <w:rtl/>
        </w:rPr>
        <w:t>עבודת מט</w:t>
      </w:r>
      <w:r w:rsidRPr="00882B34">
        <w:rPr>
          <w:rFonts w:hint="eastAsia"/>
          <w:rtl/>
        </w:rPr>
        <w:t>ה</w:t>
      </w:r>
      <w:r w:rsidRPr="00882B34">
        <w:rPr>
          <w:rtl/>
        </w:rPr>
        <w:t xml:space="preserve"> שנעש</w:t>
      </w:r>
      <w:r w:rsidRPr="00882B34">
        <w:rPr>
          <w:rFonts w:hint="cs"/>
          <w:rtl/>
        </w:rPr>
        <w:t>תה</w:t>
      </w:r>
      <w:r w:rsidRPr="00882B34">
        <w:rPr>
          <w:rtl/>
        </w:rPr>
        <w:t xml:space="preserve"> </w:t>
      </w:r>
      <w:r w:rsidRPr="00882B34">
        <w:rPr>
          <w:rFonts w:hint="eastAsia"/>
          <w:rtl/>
        </w:rPr>
        <w:t>בהתאם</w:t>
      </w:r>
      <w:r w:rsidRPr="00882B34">
        <w:rPr>
          <w:rtl/>
        </w:rPr>
        <w:t xml:space="preserve"> להנחיית מנכ"ל </w:t>
      </w:r>
      <w:proofErr w:type="spellStart"/>
      <w:r w:rsidRPr="00882B34">
        <w:rPr>
          <w:rFonts w:hint="eastAsia"/>
          <w:rtl/>
        </w:rPr>
        <w:t>משהב</w:t>
      </w:r>
      <w:r w:rsidRPr="00882B34">
        <w:rPr>
          <w:rtl/>
        </w:rPr>
        <w:t>"ט</w:t>
      </w:r>
      <w:proofErr w:type="spellEnd"/>
      <w:r w:rsidRPr="00882B34">
        <w:rPr>
          <w:rtl/>
        </w:rPr>
        <w:t xml:space="preserve"> פוגם במעקב ובפיק</w:t>
      </w:r>
      <w:r w:rsidRPr="00882B34">
        <w:rPr>
          <w:rtl/>
        </w:rPr>
        <w:t xml:space="preserve">וח </w:t>
      </w:r>
      <w:r w:rsidRPr="00882B34">
        <w:rPr>
          <w:rFonts w:hint="cs"/>
          <w:rtl/>
        </w:rPr>
        <w:t xml:space="preserve">בנושא. </w:t>
      </w:r>
      <w:bookmarkStart w:id="3" w:name="_Hlk190162640"/>
      <w:r w:rsidRPr="00882B34">
        <w:rPr>
          <w:rFonts w:hint="cs"/>
          <w:rtl/>
        </w:rPr>
        <w:t xml:space="preserve">כמו כן, אין בידי לשכת המנכ"ל ואגף התכנון </w:t>
      </w:r>
      <w:proofErr w:type="spellStart"/>
      <w:r w:rsidRPr="00882B34">
        <w:rPr>
          <w:rFonts w:hint="cs"/>
          <w:rtl/>
        </w:rPr>
        <w:t>במשהב"ט</w:t>
      </w:r>
      <w:proofErr w:type="spellEnd"/>
      <w:r w:rsidRPr="00882B34">
        <w:rPr>
          <w:rFonts w:hint="cs"/>
          <w:rtl/>
        </w:rPr>
        <w:t xml:space="preserve"> תיעוד לכך שנשקלה הפעלת יחידת מבקר </w:t>
      </w:r>
      <w:proofErr w:type="spellStart"/>
      <w:r w:rsidRPr="00882B34">
        <w:rPr>
          <w:rFonts w:hint="cs"/>
          <w:rtl/>
        </w:rPr>
        <w:t>מעהב"ט</w:t>
      </w:r>
      <w:proofErr w:type="spellEnd"/>
      <w:r w:rsidRPr="00882B34">
        <w:rPr>
          <w:rFonts w:hint="cs"/>
          <w:rtl/>
        </w:rPr>
        <w:t xml:space="preserve"> לבחינת תהליכי העבודה בחברות הביטחוניות בכל הנוגע לשימוש במקדמי שיווק. היעדר התיעוד מעלה ספק בדבר ביצוע מעקב אפקטיבי אחר מימוש ההנחיות של מנכ"ל </w:t>
      </w:r>
      <w:proofErr w:type="spellStart"/>
      <w:r w:rsidRPr="00882B34">
        <w:rPr>
          <w:rFonts w:hint="cs"/>
          <w:rtl/>
        </w:rPr>
        <w:t>משהב"ט</w:t>
      </w:r>
      <w:proofErr w:type="spellEnd"/>
      <w:r w:rsidRPr="00882B34">
        <w:rPr>
          <w:rFonts w:hint="cs"/>
          <w:rtl/>
        </w:rPr>
        <w:t>.</w:t>
      </w:r>
      <w:bookmarkEnd w:id="3"/>
    </w:p>
    <w:p w:rsidR="00EC0591" w:rsidRPr="00882B34" w:rsidRDefault="006E7854" w:rsidP="006E7854">
      <w:pPr>
        <w:pStyle w:val="73f7"/>
        <w:numPr>
          <w:ilvl w:val="0"/>
          <w:numId w:val="10"/>
        </w:numPr>
      </w:pPr>
      <w:r w:rsidRPr="00882B34">
        <w:rPr>
          <w:rFonts w:hint="cs"/>
          <w:rtl/>
        </w:rPr>
        <w:t>במהלך</w:t>
      </w:r>
      <w:r w:rsidRPr="00882B34">
        <w:rPr>
          <w:rFonts w:hint="cs"/>
          <w:rtl/>
        </w:rPr>
        <w:t xml:space="preserve"> קידום עסקה מסוימת, שהחלה להתגבש בשנת 2020, נחשפו גורמים </w:t>
      </w:r>
      <w:proofErr w:type="spellStart"/>
      <w:r w:rsidRPr="00882B34">
        <w:rPr>
          <w:rFonts w:hint="cs"/>
          <w:rtl/>
        </w:rPr>
        <w:t>במשהב"ט</w:t>
      </w:r>
      <w:proofErr w:type="spellEnd"/>
      <w:r w:rsidRPr="00882B34">
        <w:rPr>
          <w:rFonts w:hint="cs"/>
          <w:rtl/>
        </w:rPr>
        <w:t xml:space="preserve"> באופן מקרי למקדם השיווק במסגרת העסקה ולעמלה הגבוהה שהייתה אמורה להיות משולמת לו במסגרתה, ומנעו את ביצועה בתנאים אלו.</w:t>
      </w:r>
      <w:r w:rsidRPr="00882B34">
        <w:rPr>
          <w:rtl/>
        </w:rPr>
        <w:t xml:space="preserve"> מקרה זה מחדד את הצורך </w:t>
      </w:r>
      <w:proofErr w:type="spellStart"/>
      <w:r w:rsidRPr="00882B34">
        <w:rPr>
          <w:rtl/>
        </w:rPr>
        <w:t>שמשהב"ט</w:t>
      </w:r>
      <w:proofErr w:type="spellEnd"/>
      <w:r w:rsidRPr="00882B34">
        <w:rPr>
          <w:rtl/>
        </w:rPr>
        <w:t xml:space="preserve"> </w:t>
      </w:r>
      <w:r w:rsidRPr="00882B34">
        <w:rPr>
          <w:rFonts w:hint="cs"/>
          <w:rtl/>
        </w:rPr>
        <w:t>יי</w:t>
      </w:r>
      <w:r w:rsidRPr="00882B34">
        <w:rPr>
          <w:rtl/>
        </w:rPr>
        <w:t xml:space="preserve">קבע באיזה אופן עליו </w:t>
      </w:r>
      <w:r w:rsidRPr="00882B34">
        <w:rPr>
          <w:rFonts w:hint="cs"/>
          <w:rtl/>
        </w:rPr>
        <w:t>לפקח</w:t>
      </w:r>
      <w:r w:rsidRPr="00882B34">
        <w:rPr>
          <w:rtl/>
        </w:rPr>
        <w:t xml:space="preserve"> על </w:t>
      </w:r>
      <w:r w:rsidRPr="00882B34">
        <w:rPr>
          <w:rFonts w:hint="cs"/>
          <w:rtl/>
        </w:rPr>
        <w:t>ה</w:t>
      </w:r>
      <w:r w:rsidRPr="00882B34">
        <w:rPr>
          <w:rtl/>
        </w:rPr>
        <w:t>שימוש של החבר</w:t>
      </w:r>
      <w:r w:rsidRPr="00882B34">
        <w:rPr>
          <w:rtl/>
        </w:rPr>
        <w:t>ות הביטחוניות במקדמי שיווק במסגרת עסקאות יצוא ביטחוני. ובכלל זה - בכל הנוגע לזהות מקדמי השיווק; ל</w:t>
      </w:r>
      <w:r w:rsidRPr="00882B34">
        <w:rPr>
          <w:rFonts w:hint="cs"/>
          <w:rtl/>
        </w:rPr>
        <w:t>סכומי</w:t>
      </w:r>
      <w:r w:rsidRPr="00882B34">
        <w:rPr>
          <w:rtl/>
        </w:rPr>
        <w:t xml:space="preserve"> העמלות שהם מקבלים, בכלל וביחס להיקף עבודתם; ולאופן אישור</w:t>
      </w:r>
      <w:r w:rsidRPr="00882B34">
        <w:rPr>
          <w:rFonts w:hint="cs"/>
          <w:rtl/>
        </w:rPr>
        <w:t xml:space="preserve"> העמלות</w:t>
      </w:r>
      <w:r w:rsidRPr="00882B34">
        <w:rPr>
          <w:rtl/>
        </w:rPr>
        <w:t xml:space="preserve"> בחברה הביטחונית הרלוונטית.</w:t>
      </w:r>
    </w:p>
    <w:p w:rsidR="00EC0591" w:rsidRPr="00882B34" w:rsidRDefault="006E7854" w:rsidP="006E7854">
      <w:pPr>
        <w:pStyle w:val="73f7"/>
        <w:numPr>
          <w:ilvl w:val="0"/>
          <w:numId w:val="10"/>
        </w:numPr>
      </w:pPr>
      <w:r w:rsidRPr="00882B34">
        <w:rPr>
          <w:rtl/>
        </w:rPr>
        <w:t xml:space="preserve">למרות </w:t>
      </w:r>
      <w:r w:rsidRPr="00882B34">
        <w:rPr>
          <w:rFonts w:hint="cs"/>
          <w:rtl/>
        </w:rPr>
        <w:t xml:space="preserve">ההבנה שהתגבשה אצל מנכ"לי </w:t>
      </w:r>
      <w:proofErr w:type="spellStart"/>
      <w:r w:rsidRPr="00882B34">
        <w:rPr>
          <w:rFonts w:hint="cs"/>
          <w:rtl/>
        </w:rPr>
        <w:t>משהב"ט</w:t>
      </w:r>
      <w:proofErr w:type="spellEnd"/>
      <w:r w:rsidRPr="00882B34">
        <w:rPr>
          <w:rFonts w:hint="cs"/>
          <w:rtl/>
        </w:rPr>
        <w:t xml:space="preserve"> לפחות מיולי 2022 בדבר הצ</w:t>
      </w:r>
      <w:r w:rsidRPr="00882B34">
        <w:rPr>
          <w:rFonts w:hint="cs"/>
          <w:rtl/>
        </w:rPr>
        <w:t xml:space="preserve">ורך לגבש עמדה לגבי אופן מעורבותו של המשרד בפיקוח על השימוש של החברות הביטחוניות במקדמי שיווק במסגרת עסקאות של יצוא ביטחוני, ועל אף </w:t>
      </w:r>
      <w:r w:rsidRPr="00882B34">
        <w:rPr>
          <w:rtl/>
        </w:rPr>
        <w:t xml:space="preserve">הנחיות </w:t>
      </w:r>
      <w:r w:rsidRPr="00882B34">
        <w:rPr>
          <w:rFonts w:hint="cs"/>
          <w:rtl/>
        </w:rPr>
        <w:t>חוזרות ונשנות שלהם החל מ</w:t>
      </w:r>
      <w:r w:rsidRPr="00882B34">
        <w:rPr>
          <w:rtl/>
        </w:rPr>
        <w:t>יולי 2022</w:t>
      </w:r>
      <w:r w:rsidRPr="00882B34">
        <w:rPr>
          <w:rFonts w:hint="cs"/>
          <w:rtl/>
        </w:rPr>
        <w:t xml:space="preserve"> כי הסמנכ"ל וראש אגף התכנון וה</w:t>
      </w:r>
      <w:r w:rsidRPr="00882B34">
        <w:rPr>
          <w:rtl/>
        </w:rPr>
        <w:t xml:space="preserve">יועמ"ש </w:t>
      </w:r>
      <w:proofErr w:type="spellStart"/>
      <w:r w:rsidRPr="00882B34">
        <w:rPr>
          <w:rtl/>
        </w:rPr>
        <w:t>למעהב"ט</w:t>
      </w:r>
      <w:proofErr w:type="spellEnd"/>
      <w:r w:rsidRPr="00882B34">
        <w:rPr>
          <w:rtl/>
        </w:rPr>
        <w:t xml:space="preserve"> </w:t>
      </w:r>
      <w:r w:rsidRPr="00882B34">
        <w:rPr>
          <w:rFonts w:hint="cs"/>
          <w:rtl/>
        </w:rPr>
        <w:t>יסדירו את הכללים הנוגעים לפיקוח על השימו</w:t>
      </w:r>
      <w:r w:rsidRPr="00882B34">
        <w:rPr>
          <w:rFonts w:hint="cs"/>
          <w:rtl/>
        </w:rPr>
        <w:t xml:space="preserve">ש במקדמי שיווק עד למועד השלמת הביקורת (פברואר 2025) לא גיבש </w:t>
      </w:r>
      <w:proofErr w:type="spellStart"/>
      <w:r w:rsidRPr="00882B34">
        <w:rPr>
          <w:rFonts w:hint="cs"/>
          <w:rtl/>
        </w:rPr>
        <w:t>משהב"ט</w:t>
      </w:r>
      <w:proofErr w:type="spellEnd"/>
      <w:r w:rsidRPr="00882B34">
        <w:rPr>
          <w:rFonts w:hint="cs"/>
          <w:rtl/>
        </w:rPr>
        <w:t xml:space="preserve"> עמדה בנושא זה. מאחר שמנכ"ל </w:t>
      </w:r>
      <w:proofErr w:type="spellStart"/>
      <w:r w:rsidRPr="00882B34">
        <w:rPr>
          <w:rFonts w:hint="cs"/>
          <w:rtl/>
        </w:rPr>
        <w:t>משהב"ט</w:t>
      </w:r>
      <w:proofErr w:type="spellEnd"/>
      <w:r w:rsidRPr="00882B34">
        <w:rPr>
          <w:rFonts w:hint="cs"/>
          <w:rtl/>
        </w:rPr>
        <w:t xml:space="preserve"> לא קבע את מידת הפיקוח הראויה של המשרד בעניין מקדמי השיווק </w:t>
      </w:r>
      <w:r w:rsidRPr="00882B34">
        <w:rPr>
          <w:rFonts w:hint="cs"/>
          <w:rtl/>
        </w:rPr>
        <w:lastRenderedPageBreak/>
        <w:t xml:space="preserve">בעסקאות יצוא ביטחוני, </w:t>
      </w:r>
      <w:proofErr w:type="spellStart"/>
      <w:r w:rsidRPr="00882B34">
        <w:rPr>
          <w:rFonts w:hint="cs"/>
          <w:rtl/>
        </w:rPr>
        <w:t>משהב"ט</w:t>
      </w:r>
      <w:proofErr w:type="spellEnd"/>
      <w:r w:rsidRPr="00882B34">
        <w:rPr>
          <w:rFonts w:hint="cs"/>
          <w:rtl/>
        </w:rPr>
        <w:t xml:space="preserve"> לא מקיים פיקוח סדור בעניין זה, וסיכוני הציות שגלומים בו אינם מנוהלים</w:t>
      </w:r>
      <w:r w:rsidRPr="00882B34">
        <w:rPr>
          <w:rFonts w:hint="cs"/>
          <w:rtl/>
        </w:rPr>
        <w:t xml:space="preserve"> על ידו באופן המיטבי. </w:t>
      </w:r>
    </w:p>
    <w:p w:rsidR="00EB672B" w:rsidRPr="00AF3B73" w:rsidRDefault="006E7854" w:rsidP="006E7854">
      <w:pPr>
        <w:pStyle w:val="73f7"/>
        <w:numPr>
          <w:ilvl w:val="0"/>
          <w:numId w:val="10"/>
        </w:numPr>
        <w:rPr>
          <w:rtl/>
        </w:rPr>
      </w:pPr>
      <w:r w:rsidRPr="00882B34">
        <w:rPr>
          <w:rFonts w:hint="cs"/>
          <w:rtl/>
        </w:rPr>
        <w:t xml:space="preserve">למרות החלטות מנכ"לי </w:t>
      </w:r>
      <w:proofErr w:type="spellStart"/>
      <w:r w:rsidRPr="00882B34">
        <w:rPr>
          <w:rFonts w:hint="cs"/>
          <w:rtl/>
        </w:rPr>
        <w:t>משהב"ט</w:t>
      </w:r>
      <w:proofErr w:type="spellEnd"/>
      <w:r w:rsidRPr="00882B34">
        <w:rPr>
          <w:rFonts w:hint="cs"/>
          <w:rtl/>
        </w:rPr>
        <w:t xml:space="preserve"> מנובמבר 2017 ואוקטובר 2020 כי </w:t>
      </w:r>
      <w:proofErr w:type="spellStart"/>
      <w:r w:rsidRPr="00882B34">
        <w:rPr>
          <w:rFonts w:hint="cs"/>
          <w:rtl/>
        </w:rPr>
        <w:t>משהב"ט</w:t>
      </w:r>
      <w:proofErr w:type="spellEnd"/>
      <w:r w:rsidRPr="00882B34">
        <w:rPr>
          <w:rFonts w:hint="cs"/>
          <w:rtl/>
        </w:rPr>
        <w:t xml:space="preserve"> ידרוש מחברה ביטחונית הצהרה שלפיה העסקה, לרבות העמלה המשולמת למקדם השיווק, אושרה על ידי דירקטוריון החברה </w:t>
      </w:r>
      <w:r w:rsidRPr="00882B34">
        <w:rPr>
          <w:rtl/>
        </w:rPr>
        <w:t>-</w:t>
      </w:r>
      <w:r w:rsidRPr="00882B34">
        <w:rPr>
          <w:rFonts w:hint="cs"/>
          <w:rtl/>
        </w:rPr>
        <w:t xml:space="preserve"> ככלל, </w:t>
      </w:r>
      <w:proofErr w:type="spellStart"/>
      <w:r w:rsidRPr="00882B34">
        <w:rPr>
          <w:rFonts w:hint="cs"/>
          <w:rtl/>
        </w:rPr>
        <w:t>משהב"ט</w:t>
      </w:r>
      <w:proofErr w:type="spellEnd"/>
      <w:r w:rsidRPr="00882B34">
        <w:rPr>
          <w:rFonts w:hint="cs"/>
          <w:rtl/>
        </w:rPr>
        <w:t xml:space="preserve"> אינו דורש הצהרה זו מהחברות</w:t>
      </w:r>
      <w:r w:rsidRPr="00AF3B73">
        <w:rPr>
          <w:rtl/>
        </w:rPr>
        <w:t>.</w:t>
      </w:r>
    </w:p>
    <w:p w:rsidR="00AB1054" w:rsidRPr="00AB1054" w:rsidRDefault="006E7854" w:rsidP="00AB1054">
      <w:pPr>
        <w:pStyle w:val="7390"/>
        <w:rPr>
          <w:rtl/>
        </w:rPr>
      </w:pPr>
      <w:r w:rsidRPr="00AB1054">
        <w:rPr>
          <w:rStyle w:val="7372"/>
          <w:rFonts w:hint="cs"/>
          <w:bCs/>
          <w:rtl/>
        </w:rPr>
        <w:drawing>
          <wp:anchor distT="0" distB="0" distL="114300" distR="114300" simplePos="0" relativeHeight="2516858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4" w:name="_Hlk189041142"/>
      <w:r w:rsidRPr="00AB1054">
        <w:rPr>
          <w:rtl/>
        </w:rPr>
        <w:t xml:space="preserve">הפיקוח של משהב"ט </w:t>
      </w:r>
      <w:r w:rsidRPr="00AB1054">
        <w:rPr>
          <w:rFonts w:hint="cs"/>
          <w:rtl/>
        </w:rPr>
        <w:t>על</w:t>
      </w:r>
      <w:r w:rsidRPr="00AB1054">
        <w:rPr>
          <w:rtl/>
        </w:rPr>
        <w:t xml:space="preserve"> ע</w:t>
      </w:r>
      <w:r w:rsidRPr="00AB1054">
        <w:rPr>
          <w:rtl/>
        </w:rPr>
        <w:t>מידתן של ה</w:t>
      </w:r>
      <w:r w:rsidRPr="00AB1054">
        <w:rPr>
          <w:rFonts w:hint="cs"/>
          <w:rtl/>
        </w:rPr>
        <w:t>חברות</w:t>
      </w:r>
      <w:r w:rsidRPr="00AB1054">
        <w:rPr>
          <w:rtl/>
        </w:rPr>
        <w:t xml:space="preserve"> הביטחוניות בהנחיות ה-</w:t>
      </w:r>
      <w:r w:rsidRPr="00AB1054">
        <w:rPr>
          <w:b/>
          <w:bCs w:val="0"/>
        </w:rPr>
        <w:t>OECD</w:t>
      </w:r>
      <w:r w:rsidRPr="00AB1054">
        <w:rPr>
          <w:rtl/>
        </w:rPr>
        <w:t xml:space="preserve"> למניעת שוחד ושחיתות </w:t>
      </w:r>
      <w:bookmarkEnd w:id="4"/>
    </w:p>
    <w:p w:rsidR="00AB1054" w:rsidRPr="00FB29D8" w:rsidRDefault="006E7854" w:rsidP="006E7854">
      <w:pPr>
        <w:pStyle w:val="73f7"/>
        <w:numPr>
          <w:ilvl w:val="0"/>
          <w:numId w:val="10"/>
        </w:numPr>
      </w:pPr>
      <w:proofErr w:type="spellStart"/>
      <w:r w:rsidRPr="00AB1054">
        <w:rPr>
          <w:b/>
          <w:bCs/>
          <w:rtl/>
        </w:rPr>
        <w:t>תוכנית</w:t>
      </w:r>
      <w:proofErr w:type="spellEnd"/>
      <w:r w:rsidRPr="00AB1054">
        <w:rPr>
          <w:b/>
          <w:bCs/>
          <w:rtl/>
        </w:rPr>
        <w:t xml:space="preserve"> ציות למניעת שחיתות -</w:t>
      </w:r>
      <w:r w:rsidRPr="00FB29D8">
        <w:rPr>
          <w:rtl/>
        </w:rPr>
        <w:t xml:space="preserve"> אף </w:t>
      </w:r>
      <w:hyperlink r:id="rId26" w:history="1">
        <w:r w:rsidRPr="00FB29D8">
          <w:rPr>
            <w:rtl/>
          </w:rPr>
          <w:t>ש</w:t>
        </w:r>
        <w:r w:rsidRPr="00FB29D8">
          <w:rPr>
            <w:rFonts w:hint="cs"/>
            <w:rtl/>
          </w:rPr>
          <w:t>ב</w:t>
        </w:r>
        <w:r w:rsidRPr="00FB29D8">
          <w:rPr>
            <w:rtl/>
          </w:rPr>
          <w:t>שנת 2017</w:t>
        </w:r>
        <w:r w:rsidRPr="00FB29D8">
          <w:rPr>
            <w:rFonts w:hint="cs"/>
            <w:rtl/>
          </w:rPr>
          <w:t xml:space="preserve"> דווח </w:t>
        </w:r>
        <w:r w:rsidRPr="00FB29D8">
          <w:rPr>
            <w:rtl/>
          </w:rPr>
          <w:t>לקבוצת העבודה</w:t>
        </w:r>
      </w:hyperlink>
      <w:r w:rsidRPr="00FB29D8">
        <w:rPr>
          <w:rtl/>
        </w:rPr>
        <w:t xml:space="preserve"> </w:t>
      </w:r>
      <w:r w:rsidRPr="00FB29D8">
        <w:rPr>
          <w:rFonts w:hint="cs"/>
          <w:rtl/>
        </w:rPr>
        <w:t xml:space="preserve">של </w:t>
      </w:r>
      <w:r w:rsidR="00E32853">
        <w:rPr>
          <w:rtl/>
        </w:rPr>
        <w:br/>
      </w:r>
      <w:r w:rsidRPr="00FB29D8">
        <w:rPr>
          <w:rFonts w:hint="cs"/>
          <w:rtl/>
        </w:rPr>
        <w:t>ה-</w:t>
      </w:r>
      <w:r w:rsidRPr="00FB29D8">
        <w:rPr>
          <w:rFonts w:hint="cs"/>
        </w:rPr>
        <w:t>OECD</w:t>
      </w:r>
      <w:r w:rsidRPr="00FB29D8">
        <w:rPr>
          <w:rFonts w:hint="cs"/>
          <w:rtl/>
        </w:rPr>
        <w:t xml:space="preserve"> העוסקת בשחיתות בעסקאות בין-לאומיות</w:t>
      </w:r>
      <w:r w:rsidRPr="00FB29D8">
        <w:rPr>
          <w:rtl/>
        </w:rPr>
        <w:t xml:space="preserve"> כי</w:t>
      </w:r>
      <w:r w:rsidRPr="00FB29D8">
        <w:rPr>
          <w:rFonts w:hint="cs"/>
          <w:rtl/>
        </w:rPr>
        <w:t xml:space="preserve"> מכתבי מנכ"ל </w:t>
      </w:r>
      <w:proofErr w:type="spellStart"/>
      <w:r w:rsidRPr="00FB29D8">
        <w:rPr>
          <w:rFonts w:hint="cs"/>
          <w:rtl/>
        </w:rPr>
        <w:t>משהב"ט</w:t>
      </w:r>
      <w:proofErr w:type="spellEnd"/>
      <w:r w:rsidRPr="00FB29D8">
        <w:rPr>
          <w:rFonts w:hint="cs"/>
          <w:rtl/>
        </w:rPr>
        <w:t xml:space="preserve"> בעניין זה מופצים מידי שנה לכלל היצואנים הביטחוניים - לאחר המכתבים שהופצו בשנים 2015, 2016 ו-2017 הופצו מכתבים נוספים של מנכ"ל </w:t>
      </w:r>
      <w:proofErr w:type="spellStart"/>
      <w:r w:rsidRPr="00FB29D8">
        <w:rPr>
          <w:rFonts w:hint="cs"/>
          <w:rtl/>
        </w:rPr>
        <w:t>משהב"ט</w:t>
      </w:r>
      <w:proofErr w:type="spellEnd"/>
      <w:r w:rsidRPr="00FB29D8">
        <w:rPr>
          <w:rFonts w:hint="cs"/>
          <w:rtl/>
        </w:rPr>
        <w:t xml:space="preserve"> רק בשנת 2020 ובמהלך הביקורת (בספטמבר 2024). </w:t>
      </w:r>
    </w:p>
    <w:p w:rsidR="00AB1054" w:rsidRPr="00FB29D8" w:rsidRDefault="006E7854" w:rsidP="006E7854">
      <w:pPr>
        <w:pStyle w:val="73f7"/>
        <w:numPr>
          <w:ilvl w:val="0"/>
          <w:numId w:val="10"/>
        </w:numPr>
        <w:rPr>
          <w:rtl/>
        </w:rPr>
      </w:pPr>
      <w:r w:rsidRPr="00AB1054">
        <w:rPr>
          <w:rFonts w:hint="cs"/>
          <w:b/>
          <w:bCs/>
          <w:rtl/>
        </w:rPr>
        <w:t>דרישה ליישום אמצעי ציות למניעת שחיתות בחברות ביטחוניות בינ</w:t>
      </w:r>
      <w:r w:rsidRPr="00AB1054">
        <w:rPr>
          <w:rFonts w:hint="cs"/>
          <w:b/>
          <w:bCs/>
          <w:rtl/>
        </w:rPr>
        <w:t>וניות וקטנות -</w:t>
      </w:r>
      <w:r w:rsidRPr="00FB29D8">
        <w:rPr>
          <w:rFonts w:hint="cs"/>
          <w:rtl/>
        </w:rPr>
        <w:t xml:space="preserve"> החברות הביטחוניות הבינוניות והקטנות חתמו בשנים 2018 - 2023 על חוזי יצוא ביטחוני בהיקף כולל של מיליארדי דולר. חברות אלו חתמו בשנים האמורות על חוזים רבים ליצוא ביטחוני. יצוין כי בשנת 2023 עשרות חברות בינוניות וקטנות חתמו על חוזי יצוא ביטחוני.</w:t>
      </w:r>
    </w:p>
    <w:p w:rsidR="00AB1054" w:rsidRPr="00FB29D8" w:rsidRDefault="006E7854" w:rsidP="00AB1054">
      <w:pPr>
        <w:pStyle w:val="73f7"/>
        <w:ind w:left="794"/>
        <w:rPr>
          <w:rtl/>
        </w:rPr>
      </w:pPr>
      <w:r w:rsidRPr="00FB29D8">
        <w:rPr>
          <w:rFonts w:hint="cs"/>
          <w:rtl/>
        </w:rPr>
        <w:t xml:space="preserve">משנת 2011 דרש </w:t>
      </w:r>
      <w:proofErr w:type="spellStart"/>
      <w:r w:rsidRPr="00FB29D8">
        <w:rPr>
          <w:rFonts w:hint="cs"/>
          <w:rtl/>
        </w:rPr>
        <w:t>משהב"ט</w:t>
      </w:r>
      <w:proofErr w:type="spellEnd"/>
      <w:r w:rsidRPr="00FB29D8">
        <w:rPr>
          <w:rFonts w:hint="cs"/>
          <w:rtl/>
        </w:rPr>
        <w:t xml:space="preserve"> מהחברות הביטחוניות הגדולות ליישם </w:t>
      </w:r>
      <w:proofErr w:type="spellStart"/>
      <w:r w:rsidRPr="00FB29D8">
        <w:rPr>
          <w:rFonts w:hint="cs"/>
          <w:rtl/>
        </w:rPr>
        <w:t>תוכניות</w:t>
      </w:r>
      <w:proofErr w:type="spellEnd"/>
      <w:r w:rsidRPr="00FB29D8">
        <w:rPr>
          <w:rFonts w:hint="cs"/>
          <w:rtl/>
        </w:rPr>
        <w:t xml:space="preserve"> ציות למניעת שחיתות ובהמשך עודד את שאר החברות הביטחוניות לאמץ אף הן </w:t>
      </w:r>
      <w:proofErr w:type="spellStart"/>
      <w:r w:rsidRPr="00FB29D8">
        <w:rPr>
          <w:rFonts w:hint="cs"/>
          <w:rtl/>
        </w:rPr>
        <w:t>תוכנית</w:t>
      </w:r>
      <w:proofErr w:type="spellEnd"/>
      <w:r w:rsidRPr="00FB29D8">
        <w:rPr>
          <w:rFonts w:hint="cs"/>
          <w:rtl/>
        </w:rPr>
        <w:t xml:space="preserve"> שכזו. החברות הביטחוניות הבינוניות והקטנות חותמות מדי שנה על עסקאות רבות של יצוא ביטחוני; עסקאות שבהן גלום סיכון</w:t>
      </w:r>
      <w:r w:rsidRPr="00FB29D8">
        <w:rPr>
          <w:rtl/>
        </w:rPr>
        <w:t xml:space="preserve"> בהיבטי צ</w:t>
      </w:r>
      <w:r w:rsidRPr="00FB29D8">
        <w:rPr>
          <w:rtl/>
        </w:rPr>
        <w:t>יות</w:t>
      </w:r>
      <w:r w:rsidRPr="00FB29D8">
        <w:rPr>
          <w:rFonts w:hint="cs"/>
          <w:rtl/>
        </w:rPr>
        <w:t xml:space="preserve"> ואסדרה (רגולציה) בהקשרי שוחד ושחיתות. עם זאת, מנכ"ל </w:t>
      </w:r>
      <w:proofErr w:type="spellStart"/>
      <w:r w:rsidRPr="00FB29D8">
        <w:rPr>
          <w:rFonts w:hint="cs"/>
          <w:rtl/>
        </w:rPr>
        <w:t>משהב"ט</w:t>
      </w:r>
      <w:proofErr w:type="spellEnd"/>
      <w:r w:rsidRPr="00FB29D8">
        <w:rPr>
          <w:rFonts w:hint="cs"/>
          <w:rtl/>
        </w:rPr>
        <w:t xml:space="preserve"> </w:t>
      </w:r>
      <w:proofErr w:type="spellStart"/>
      <w:r w:rsidRPr="00FB29D8">
        <w:rPr>
          <w:rFonts w:hint="cs"/>
          <w:rtl/>
        </w:rPr>
        <w:t>וראשת</w:t>
      </w:r>
      <w:proofErr w:type="spellEnd"/>
      <w:r w:rsidRPr="00FB29D8">
        <w:rPr>
          <w:rFonts w:hint="cs"/>
          <w:rtl/>
        </w:rPr>
        <w:t xml:space="preserve"> </w:t>
      </w:r>
      <w:proofErr w:type="spellStart"/>
      <w:r w:rsidRPr="00FB29D8">
        <w:rPr>
          <w:rFonts w:hint="cs"/>
          <w:rtl/>
        </w:rPr>
        <w:t>אפ"י</w:t>
      </w:r>
      <w:proofErr w:type="spellEnd"/>
      <w:r w:rsidRPr="00FB29D8">
        <w:rPr>
          <w:rFonts w:hint="cs"/>
          <w:rtl/>
        </w:rPr>
        <w:t xml:space="preserve"> לא קבעו אילו אמצעים ראוי כי חברות ביטחוניות בינוניות וקטנות יאמצו על מנת למנוע שחיתות במסגרת עסקאות של יצוא ביטחוני - סוגיה שהם עדיין לא גיבשו לגביה עמדה. בהיעדר הגדרת האמצעים האמורי</w:t>
      </w:r>
      <w:r w:rsidRPr="00FB29D8">
        <w:rPr>
          <w:rFonts w:hint="cs"/>
          <w:rtl/>
        </w:rPr>
        <w:t>ם אין ודאות כי החברות היצואניות הבינוניות והקטנות ינקטו פעולות מספקות לצמצום סיכוני שוחד ושחיתות במסגרת עסקאות היצוא שלהן.</w:t>
      </w:r>
    </w:p>
    <w:p w:rsidR="00AB1054" w:rsidRPr="00FB29D8" w:rsidRDefault="006E7854" w:rsidP="006E7854">
      <w:pPr>
        <w:pStyle w:val="73f7"/>
        <w:numPr>
          <w:ilvl w:val="0"/>
          <w:numId w:val="10"/>
        </w:numPr>
      </w:pPr>
      <w:r w:rsidRPr="00AB1054">
        <w:rPr>
          <w:b/>
          <w:bCs/>
          <w:rtl/>
        </w:rPr>
        <w:t xml:space="preserve">בקרה על </w:t>
      </w:r>
      <w:proofErr w:type="spellStart"/>
      <w:r w:rsidRPr="00AB1054">
        <w:rPr>
          <w:b/>
          <w:bCs/>
          <w:rtl/>
        </w:rPr>
        <w:t>תוכניות</w:t>
      </w:r>
      <w:proofErr w:type="spellEnd"/>
      <w:r w:rsidRPr="00AB1054">
        <w:rPr>
          <w:b/>
          <w:bCs/>
          <w:rtl/>
        </w:rPr>
        <w:t xml:space="preserve"> ציות למניעת שחיתות -</w:t>
      </w:r>
      <w:r w:rsidRPr="00FB29D8">
        <w:rPr>
          <w:rtl/>
        </w:rPr>
        <w:t xml:space="preserve"> למרות היותם של מנכ"ל </w:t>
      </w:r>
      <w:proofErr w:type="spellStart"/>
      <w:r w:rsidRPr="00FB29D8">
        <w:rPr>
          <w:rtl/>
        </w:rPr>
        <w:t>משהב"ט</w:t>
      </w:r>
      <w:proofErr w:type="spellEnd"/>
      <w:r w:rsidRPr="00FB29D8">
        <w:rPr>
          <w:rtl/>
        </w:rPr>
        <w:t xml:space="preserve"> </w:t>
      </w:r>
      <w:proofErr w:type="spellStart"/>
      <w:r w:rsidRPr="00FB29D8">
        <w:rPr>
          <w:rtl/>
        </w:rPr>
        <w:t>וראשת</w:t>
      </w:r>
      <w:proofErr w:type="spellEnd"/>
      <w:r w:rsidRPr="00FB29D8">
        <w:rPr>
          <w:rtl/>
        </w:rPr>
        <w:t xml:space="preserve"> </w:t>
      </w:r>
      <w:proofErr w:type="spellStart"/>
      <w:r w:rsidRPr="00FB29D8">
        <w:rPr>
          <w:rtl/>
        </w:rPr>
        <w:t>אפ"י</w:t>
      </w:r>
      <w:proofErr w:type="spellEnd"/>
      <w:r w:rsidRPr="00FB29D8">
        <w:rPr>
          <w:rtl/>
        </w:rPr>
        <w:t xml:space="preserve"> הגורמים</w:t>
      </w:r>
      <w:r w:rsidRPr="00FB29D8">
        <w:rPr>
          <w:rFonts w:hint="cs"/>
          <w:rtl/>
        </w:rPr>
        <w:t xml:space="preserve"> המפקחים על היצוא הביטחוני בהתאם לחוק הפיקוח, לא ג</w:t>
      </w:r>
      <w:r w:rsidRPr="00FB29D8">
        <w:rPr>
          <w:rFonts w:hint="cs"/>
          <w:rtl/>
        </w:rPr>
        <w:t xml:space="preserve">ובשה </w:t>
      </w:r>
      <w:proofErr w:type="spellStart"/>
      <w:r w:rsidRPr="00FB29D8">
        <w:rPr>
          <w:rFonts w:hint="cs"/>
          <w:rtl/>
        </w:rPr>
        <w:t>במשהב"ט</w:t>
      </w:r>
      <w:proofErr w:type="spellEnd"/>
      <w:r w:rsidRPr="00FB29D8">
        <w:rPr>
          <w:rFonts w:hint="cs"/>
          <w:rtl/>
        </w:rPr>
        <w:t xml:space="preserve"> החלטה בעניין בקרה על </w:t>
      </w:r>
      <w:proofErr w:type="spellStart"/>
      <w:r w:rsidRPr="00FB29D8">
        <w:rPr>
          <w:rFonts w:hint="cs"/>
          <w:rtl/>
        </w:rPr>
        <w:t>תוכניות</w:t>
      </w:r>
      <w:proofErr w:type="spellEnd"/>
      <w:r w:rsidRPr="00FB29D8">
        <w:rPr>
          <w:rFonts w:hint="cs"/>
          <w:rtl/>
        </w:rPr>
        <w:t xml:space="preserve"> הציות של החברות הביטחוניות, וממילא גם לא בדבר אופיי</w:t>
      </w:r>
      <w:r w:rsidRPr="00FB29D8">
        <w:rPr>
          <w:rFonts w:hint="eastAsia"/>
          <w:rtl/>
        </w:rPr>
        <w:t>ה</w:t>
      </w:r>
      <w:r w:rsidRPr="00FB29D8">
        <w:rPr>
          <w:rFonts w:hint="cs"/>
          <w:rtl/>
        </w:rPr>
        <w:t xml:space="preserve"> והיקפה.</w:t>
      </w:r>
      <w:bookmarkStart w:id="5" w:name="_Hlk190603163"/>
      <w:r w:rsidRPr="00FB29D8">
        <w:rPr>
          <w:rFonts w:hint="cs"/>
          <w:rtl/>
        </w:rPr>
        <w:t xml:space="preserve"> </w:t>
      </w:r>
      <w:bookmarkStart w:id="6" w:name="_Hlk196733335"/>
      <w:r w:rsidRPr="00FB29D8">
        <w:rPr>
          <w:rFonts w:hint="cs"/>
          <w:rtl/>
        </w:rPr>
        <w:t xml:space="preserve">במצב הנוכחי הבקרה של </w:t>
      </w:r>
      <w:proofErr w:type="spellStart"/>
      <w:r w:rsidRPr="00FB29D8">
        <w:rPr>
          <w:rFonts w:hint="cs"/>
          <w:rtl/>
        </w:rPr>
        <w:t>משהב"ט</w:t>
      </w:r>
      <w:proofErr w:type="spellEnd"/>
      <w:r w:rsidRPr="00FB29D8">
        <w:rPr>
          <w:rFonts w:hint="cs"/>
          <w:rtl/>
        </w:rPr>
        <w:t xml:space="preserve"> בעניין זה נמוכה.</w:t>
      </w:r>
      <w:bookmarkEnd w:id="6"/>
      <w:r w:rsidRPr="00FB29D8">
        <w:rPr>
          <w:rFonts w:hint="cs"/>
          <w:rtl/>
        </w:rPr>
        <w:t xml:space="preserve"> </w:t>
      </w:r>
      <w:bookmarkStart w:id="7" w:name="_Hlk190327539"/>
      <w:r w:rsidRPr="00FB29D8">
        <w:rPr>
          <w:rFonts w:hint="cs"/>
          <w:rtl/>
        </w:rPr>
        <w:t xml:space="preserve">בהיעדר החלטה, אין ודאות כי הפיקוח של </w:t>
      </w:r>
      <w:proofErr w:type="spellStart"/>
      <w:r w:rsidRPr="00FB29D8">
        <w:rPr>
          <w:rFonts w:hint="cs"/>
          <w:rtl/>
        </w:rPr>
        <w:t>משהב"ט</w:t>
      </w:r>
      <w:proofErr w:type="spellEnd"/>
      <w:r w:rsidRPr="00FB29D8">
        <w:rPr>
          <w:rFonts w:hint="cs"/>
          <w:rtl/>
        </w:rPr>
        <w:t xml:space="preserve"> על יישום המלצות </w:t>
      </w:r>
      <w:r w:rsidR="00E32853">
        <w:rPr>
          <w:rtl/>
        </w:rPr>
        <w:br/>
      </w:r>
      <w:r w:rsidRPr="00FB29D8">
        <w:rPr>
          <w:rFonts w:hint="cs"/>
          <w:rtl/>
        </w:rPr>
        <w:t>ה-</w:t>
      </w:r>
      <w:r w:rsidRPr="00FB29D8">
        <w:rPr>
          <w:rFonts w:hint="cs"/>
        </w:rPr>
        <w:t>OECD</w:t>
      </w:r>
      <w:r w:rsidRPr="00FB29D8">
        <w:rPr>
          <w:rFonts w:hint="cs"/>
          <w:rtl/>
        </w:rPr>
        <w:t xml:space="preserve"> בעניין שוחד</w:t>
      </w:r>
      <w:bookmarkEnd w:id="7"/>
      <w:r w:rsidRPr="00FB29D8">
        <w:rPr>
          <w:rFonts w:hint="cs"/>
          <w:rtl/>
        </w:rPr>
        <w:t xml:space="preserve"> הוא מיטבי.</w:t>
      </w:r>
      <w:bookmarkEnd w:id="5"/>
    </w:p>
    <w:p w:rsidR="00AB1054" w:rsidRPr="00FB29D8" w:rsidRDefault="006E7854" w:rsidP="006E7854">
      <w:pPr>
        <w:pStyle w:val="73f7"/>
        <w:numPr>
          <w:ilvl w:val="0"/>
          <w:numId w:val="10"/>
        </w:numPr>
        <w:rPr>
          <w:rtl/>
        </w:rPr>
      </w:pPr>
      <w:r w:rsidRPr="00AB1054">
        <w:rPr>
          <w:b/>
          <w:bCs/>
          <w:rtl/>
        </w:rPr>
        <w:t>הצהרה במסגרת הסכמ</w:t>
      </w:r>
      <w:r w:rsidRPr="00AB1054">
        <w:rPr>
          <w:b/>
          <w:bCs/>
          <w:rtl/>
        </w:rPr>
        <w:t>י</w:t>
      </w:r>
      <w:r w:rsidRPr="00AB1054">
        <w:rPr>
          <w:rFonts w:hint="cs"/>
          <w:b/>
          <w:bCs/>
          <w:rtl/>
        </w:rPr>
        <w:t>ם הנוגעים לייצוא ביטחוני</w:t>
      </w:r>
      <w:r w:rsidRPr="00AB1054">
        <w:rPr>
          <w:b/>
          <w:bCs/>
          <w:rtl/>
        </w:rPr>
        <w:t xml:space="preserve"> -</w:t>
      </w:r>
      <w:r w:rsidRPr="00FB29D8">
        <w:rPr>
          <w:rtl/>
        </w:rPr>
        <w:t xml:space="preserve"> </w:t>
      </w:r>
      <w:proofErr w:type="spellStart"/>
      <w:r w:rsidRPr="00FB29D8">
        <w:rPr>
          <w:rtl/>
        </w:rPr>
        <w:t>משהב"ט</w:t>
      </w:r>
      <w:proofErr w:type="spellEnd"/>
      <w:r w:rsidRPr="00FB29D8">
        <w:rPr>
          <w:rtl/>
        </w:rPr>
        <w:t xml:space="preserve"> אינו דורש מהחברות הביטחוניות היצואניות מידע </w:t>
      </w:r>
      <w:r w:rsidRPr="00FB29D8">
        <w:rPr>
          <w:rFonts w:hint="cs"/>
          <w:rtl/>
        </w:rPr>
        <w:t>בכל הנוגע ל</w:t>
      </w:r>
      <w:r w:rsidRPr="00FB29D8">
        <w:rPr>
          <w:rtl/>
        </w:rPr>
        <w:t>מקדם שיווק בעסק</w:t>
      </w:r>
      <w:r w:rsidRPr="00FB29D8">
        <w:rPr>
          <w:rFonts w:hint="cs"/>
          <w:rtl/>
        </w:rPr>
        <w:t>או</w:t>
      </w:r>
      <w:r w:rsidRPr="00FB29D8">
        <w:rPr>
          <w:rtl/>
        </w:rPr>
        <w:t>ת</w:t>
      </w:r>
      <w:r w:rsidRPr="00FB29D8">
        <w:rPr>
          <w:rFonts w:hint="cs"/>
          <w:rtl/>
        </w:rPr>
        <w:t xml:space="preserve"> אלה.</w:t>
      </w:r>
      <w:r w:rsidRPr="00FB29D8">
        <w:rPr>
          <w:rtl/>
        </w:rPr>
        <w:t xml:space="preserve">  </w:t>
      </w:r>
    </w:p>
    <w:p w:rsidR="00AB1054" w:rsidRPr="00FB29D8" w:rsidRDefault="006E7854" w:rsidP="006E7854">
      <w:pPr>
        <w:pStyle w:val="73f7"/>
        <w:numPr>
          <w:ilvl w:val="0"/>
          <w:numId w:val="10"/>
        </w:numPr>
        <w:rPr>
          <w:rtl/>
        </w:rPr>
      </w:pPr>
      <w:r w:rsidRPr="00AB1054">
        <w:rPr>
          <w:rFonts w:hint="cs"/>
          <w:b/>
          <w:bCs/>
          <w:rtl/>
        </w:rPr>
        <w:t xml:space="preserve">הגשת </w:t>
      </w:r>
      <w:r w:rsidRPr="00AB1054">
        <w:rPr>
          <w:b/>
          <w:bCs/>
          <w:rtl/>
        </w:rPr>
        <w:t xml:space="preserve">הצהרה פרטנית ליועמ"ש </w:t>
      </w:r>
      <w:proofErr w:type="spellStart"/>
      <w:r w:rsidRPr="00AB1054">
        <w:rPr>
          <w:b/>
          <w:bCs/>
          <w:rtl/>
        </w:rPr>
        <w:t>למעהב"ט</w:t>
      </w:r>
      <w:proofErr w:type="spellEnd"/>
      <w:r w:rsidRPr="00AB1054">
        <w:rPr>
          <w:b/>
          <w:bCs/>
          <w:rtl/>
        </w:rPr>
        <w:t xml:space="preserve"> -</w:t>
      </w:r>
      <w:r w:rsidRPr="00FB29D8">
        <w:rPr>
          <w:rtl/>
        </w:rPr>
        <w:t xml:space="preserve"> אין </w:t>
      </w:r>
      <w:proofErr w:type="spellStart"/>
      <w:r w:rsidRPr="00FB29D8">
        <w:rPr>
          <w:rtl/>
        </w:rPr>
        <w:t>במשהב"ט</w:t>
      </w:r>
      <w:proofErr w:type="spellEnd"/>
      <w:r w:rsidRPr="00FB29D8">
        <w:rPr>
          <w:rtl/>
        </w:rPr>
        <w:t xml:space="preserve"> כללים המבהירים את הנסיבות שבהן יש לפנות</w:t>
      </w:r>
      <w:r w:rsidRPr="00FB29D8">
        <w:rPr>
          <w:rFonts w:hint="cs"/>
          <w:rtl/>
        </w:rPr>
        <w:t xml:space="preserve"> ולקבל מהיועמ"ש או מקצין הציות של החברה היצואנית הצהר</w:t>
      </w:r>
      <w:r w:rsidRPr="00FB29D8">
        <w:rPr>
          <w:rFonts w:hint="cs"/>
          <w:rtl/>
        </w:rPr>
        <w:t xml:space="preserve">ות פרטניות לגבי מקדמי השיווק  </w:t>
      </w:r>
    </w:p>
    <w:p w:rsidR="00AB1054" w:rsidRPr="00FB29D8" w:rsidRDefault="006E7854" w:rsidP="006E7854">
      <w:pPr>
        <w:pStyle w:val="73f7"/>
        <w:numPr>
          <w:ilvl w:val="0"/>
          <w:numId w:val="10"/>
        </w:numPr>
      </w:pPr>
      <w:r w:rsidRPr="00AB1054">
        <w:rPr>
          <w:b/>
          <w:bCs/>
          <w:rtl/>
        </w:rPr>
        <w:lastRenderedPageBreak/>
        <w:t>מידע על מקדם השיווק -</w:t>
      </w:r>
      <w:r w:rsidRPr="00FB29D8">
        <w:rPr>
          <w:rtl/>
        </w:rPr>
        <w:t xml:space="preserve"> </w:t>
      </w:r>
      <w:r w:rsidRPr="00FB29D8">
        <w:rPr>
          <w:rFonts w:hint="cs"/>
          <w:rtl/>
        </w:rPr>
        <w:t xml:space="preserve">נתגלו פערים בפיקוח של </w:t>
      </w:r>
      <w:proofErr w:type="spellStart"/>
      <w:r w:rsidRPr="00FB29D8">
        <w:rPr>
          <w:rFonts w:hint="cs"/>
          <w:rtl/>
        </w:rPr>
        <w:t>משהב"ט</w:t>
      </w:r>
      <w:proofErr w:type="spellEnd"/>
      <w:r w:rsidRPr="00FB29D8">
        <w:rPr>
          <w:rFonts w:hint="cs"/>
          <w:rtl/>
        </w:rPr>
        <w:t xml:space="preserve"> על נושא זה.</w:t>
      </w:r>
    </w:p>
    <w:p w:rsidR="00AB1054" w:rsidRPr="00AB1054" w:rsidRDefault="006E7854" w:rsidP="00AB1054">
      <w:pPr>
        <w:pStyle w:val="7390"/>
      </w:pPr>
      <w:r w:rsidRPr="00AB1054">
        <w:rPr>
          <w:rStyle w:val="7372"/>
          <w:rFonts w:hint="cs"/>
          <w:bCs/>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B1054">
        <w:rPr>
          <w:rtl/>
        </w:rPr>
        <w:t xml:space="preserve">מעורבות הדירקטוריון של חברות ביטחוניות באישור התקשרויות עם מקדמי שיווק, לרבות העמלה המשולמת להם </w:t>
      </w:r>
    </w:p>
    <w:p w:rsidR="00AB1054" w:rsidRPr="00FB29D8" w:rsidRDefault="006E7854" w:rsidP="006E7854">
      <w:pPr>
        <w:pStyle w:val="73f7"/>
        <w:numPr>
          <w:ilvl w:val="0"/>
          <w:numId w:val="10"/>
        </w:numPr>
      </w:pPr>
      <w:r w:rsidRPr="00FB29D8">
        <w:rPr>
          <w:rtl/>
        </w:rPr>
        <w:t>נדרש לשפר את הכללים שקבע הדירקטוריון בנושא זה.</w:t>
      </w:r>
    </w:p>
    <w:p w:rsidR="00AB1054" w:rsidRPr="00AB1054" w:rsidRDefault="006E7854" w:rsidP="00AB1054">
      <w:pPr>
        <w:pStyle w:val="7390"/>
        <w:rPr>
          <w:rtl/>
        </w:rPr>
      </w:pPr>
      <w:r w:rsidRPr="00AB1054">
        <w:rPr>
          <w:rStyle w:val="7372"/>
          <w:rFonts w:hint="cs"/>
          <w:bCs/>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B1054">
        <w:rPr>
          <w:rtl/>
        </w:rPr>
        <w:t xml:space="preserve">הסדרה נורמטיבית </w:t>
      </w:r>
      <w:r w:rsidRPr="00AB1054">
        <w:rPr>
          <w:rtl/>
        </w:rPr>
        <w:t>במשהב"ט של נושא מקדמי השיווק</w:t>
      </w:r>
    </w:p>
    <w:p w:rsidR="00AB1054" w:rsidRPr="00FB29D8" w:rsidRDefault="006E7854" w:rsidP="006E7854">
      <w:pPr>
        <w:pStyle w:val="73f7"/>
        <w:numPr>
          <w:ilvl w:val="0"/>
          <w:numId w:val="10"/>
        </w:numPr>
      </w:pPr>
      <w:r w:rsidRPr="00AB1054">
        <w:rPr>
          <w:b/>
          <w:bCs/>
          <w:rtl/>
        </w:rPr>
        <w:t xml:space="preserve">הסדרת פעילות </w:t>
      </w:r>
      <w:proofErr w:type="spellStart"/>
      <w:r w:rsidRPr="00AB1054">
        <w:rPr>
          <w:b/>
          <w:bCs/>
          <w:rtl/>
        </w:rPr>
        <w:t>משהב"ט</w:t>
      </w:r>
      <w:proofErr w:type="spellEnd"/>
      <w:r w:rsidRPr="00AB1054">
        <w:rPr>
          <w:b/>
          <w:bCs/>
          <w:rtl/>
        </w:rPr>
        <w:t xml:space="preserve"> להבטחת עמידת ה</w:t>
      </w:r>
      <w:r w:rsidRPr="00AB1054">
        <w:rPr>
          <w:rFonts w:hint="cs"/>
          <w:b/>
          <w:bCs/>
          <w:rtl/>
        </w:rPr>
        <w:t>חברות</w:t>
      </w:r>
      <w:r w:rsidRPr="00AB1054">
        <w:rPr>
          <w:b/>
          <w:bCs/>
          <w:rtl/>
        </w:rPr>
        <w:t xml:space="preserve"> הביטחוניות בהנחיות </w:t>
      </w:r>
      <w:r w:rsidR="00E32853">
        <w:rPr>
          <w:b/>
          <w:bCs/>
          <w:rtl/>
        </w:rPr>
        <w:br/>
      </w:r>
      <w:r w:rsidRPr="00AB1054">
        <w:rPr>
          <w:b/>
          <w:bCs/>
          <w:rtl/>
        </w:rPr>
        <w:t>ה-</w:t>
      </w:r>
      <w:r w:rsidRPr="00AB1054">
        <w:rPr>
          <w:b/>
          <w:bCs/>
        </w:rPr>
        <w:t>OECD</w:t>
      </w:r>
      <w:r w:rsidRPr="00AB1054">
        <w:rPr>
          <w:b/>
          <w:bCs/>
          <w:rtl/>
        </w:rPr>
        <w:t xml:space="preserve"> -</w:t>
      </w:r>
      <w:r w:rsidRPr="00FB29D8">
        <w:rPr>
          <w:rtl/>
        </w:rPr>
        <w:t xml:space="preserve"> אין בין</w:t>
      </w:r>
      <w:r w:rsidRPr="00FB29D8">
        <w:rPr>
          <w:rFonts w:hint="cs"/>
          <w:rtl/>
        </w:rPr>
        <w:t xml:space="preserve"> הוראות </w:t>
      </w:r>
      <w:proofErr w:type="spellStart"/>
      <w:r w:rsidRPr="00FB29D8">
        <w:rPr>
          <w:rFonts w:hint="cs"/>
          <w:rtl/>
        </w:rPr>
        <w:t>משהב"ט</w:t>
      </w:r>
      <w:proofErr w:type="spellEnd"/>
      <w:r w:rsidRPr="00FB29D8">
        <w:rPr>
          <w:rFonts w:hint="cs"/>
          <w:rtl/>
        </w:rPr>
        <w:t xml:space="preserve"> הוראה המסדירה את הפעולות שעל אגפי </w:t>
      </w:r>
      <w:proofErr w:type="spellStart"/>
      <w:r w:rsidRPr="00FB29D8">
        <w:rPr>
          <w:rFonts w:hint="cs"/>
          <w:rtl/>
        </w:rPr>
        <w:t>משהב"ט</w:t>
      </w:r>
      <w:proofErr w:type="spellEnd"/>
      <w:r w:rsidRPr="00FB29D8">
        <w:rPr>
          <w:rFonts w:hint="cs"/>
          <w:rtl/>
        </w:rPr>
        <w:t xml:space="preserve"> הרלוונטיים לנקוט על מנת ליישם את הפיקוח על היצוא הביטחוני בהקשרי מניעת שוחד ושחיתות, לרבות לא ב</w:t>
      </w:r>
      <w:r w:rsidRPr="00FB29D8">
        <w:rPr>
          <w:rFonts w:hint="cs"/>
          <w:rtl/>
        </w:rPr>
        <w:t xml:space="preserve">הוראה בעניין הפיקוח על היצוא הביטחוני. בהיעדר הסדרה של הנושא קיים חשש שהפעולות הנדרשות לא תבוצענה כסדרן, והפיקוח של </w:t>
      </w:r>
      <w:proofErr w:type="spellStart"/>
      <w:r w:rsidRPr="00FB29D8">
        <w:rPr>
          <w:rFonts w:hint="cs"/>
          <w:rtl/>
        </w:rPr>
        <w:t>משהב"ט</w:t>
      </w:r>
      <w:proofErr w:type="spellEnd"/>
      <w:r w:rsidRPr="00FB29D8">
        <w:rPr>
          <w:rFonts w:hint="cs"/>
          <w:rtl/>
        </w:rPr>
        <w:t>, לרבות ביחס להתחייבויות המדינה על פי אמנת ה-</w:t>
      </w:r>
      <w:r w:rsidRPr="00FB29D8">
        <w:rPr>
          <w:rFonts w:hint="cs"/>
        </w:rPr>
        <w:t>OECD</w:t>
      </w:r>
      <w:r w:rsidRPr="00FB29D8">
        <w:rPr>
          <w:rFonts w:hint="cs"/>
          <w:rtl/>
        </w:rPr>
        <w:t>, לא יהיה מספק.</w:t>
      </w:r>
    </w:p>
    <w:p w:rsidR="00AB1054" w:rsidRPr="00FB29D8" w:rsidRDefault="006E7854" w:rsidP="006E7854">
      <w:pPr>
        <w:pStyle w:val="73f7"/>
        <w:numPr>
          <w:ilvl w:val="0"/>
          <w:numId w:val="10"/>
        </w:numPr>
      </w:pPr>
      <w:r w:rsidRPr="00AB1054">
        <w:rPr>
          <w:b/>
          <w:bCs/>
          <w:rtl/>
        </w:rPr>
        <w:t>הסדרת ניגודי עניינים בפעילותם של מקדמי השיווק במסגרת עסקאות יצוא ביטח</w:t>
      </w:r>
      <w:r w:rsidRPr="00AB1054">
        <w:rPr>
          <w:b/>
          <w:bCs/>
          <w:rtl/>
        </w:rPr>
        <w:t>וני -</w:t>
      </w:r>
      <w:r w:rsidRPr="00FB29D8">
        <w:rPr>
          <w:rtl/>
        </w:rPr>
        <w:t xml:space="preserve"> </w:t>
      </w:r>
      <w:r w:rsidRPr="00FB29D8">
        <w:rPr>
          <w:rFonts w:hint="cs"/>
          <w:rtl/>
        </w:rPr>
        <w:t>מקדמי השיווק הם אנשי</w:t>
      </w:r>
      <w:r w:rsidRPr="00FB29D8">
        <w:rPr>
          <w:rtl/>
        </w:rPr>
        <w:t xml:space="preserve"> עסקים </w:t>
      </w:r>
      <w:r w:rsidRPr="00FB29D8">
        <w:rPr>
          <w:rFonts w:hint="cs"/>
          <w:rtl/>
        </w:rPr>
        <w:t xml:space="preserve">רלוונטיים </w:t>
      </w:r>
      <w:r w:rsidRPr="00FB29D8">
        <w:rPr>
          <w:rtl/>
        </w:rPr>
        <w:t xml:space="preserve">או </w:t>
      </w:r>
      <w:r w:rsidRPr="00FB29D8">
        <w:rPr>
          <w:rFonts w:hint="cs"/>
          <w:rtl/>
        </w:rPr>
        <w:t xml:space="preserve">מי ששימשו בעבר </w:t>
      </w:r>
      <w:r w:rsidRPr="00FB29D8">
        <w:rPr>
          <w:rtl/>
        </w:rPr>
        <w:t>בתפקיד בכיר ב</w:t>
      </w:r>
      <w:r w:rsidRPr="00FB29D8">
        <w:rPr>
          <w:rFonts w:hint="cs"/>
          <w:rtl/>
        </w:rPr>
        <w:t>"</w:t>
      </w:r>
      <w:r w:rsidRPr="00FB29D8">
        <w:rPr>
          <w:rtl/>
        </w:rPr>
        <w:t>עולמות ה</w:t>
      </w:r>
      <w:r w:rsidRPr="00FB29D8">
        <w:rPr>
          <w:rFonts w:hint="cs"/>
          <w:rtl/>
        </w:rPr>
        <w:t>ביטחון"</w:t>
      </w:r>
      <w:r w:rsidRPr="00FB29D8">
        <w:rPr>
          <w:rtl/>
        </w:rPr>
        <w:t xml:space="preserve"> </w:t>
      </w:r>
      <w:r w:rsidRPr="00FB29D8">
        <w:rPr>
          <w:rFonts w:hint="cs"/>
          <w:rtl/>
        </w:rPr>
        <w:t xml:space="preserve">בארץ או בחו"ל </w:t>
      </w:r>
      <w:r w:rsidRPr="00FB29D8">
        <w:rPr>
          <w:rtl/>
        </w:rPr>
        <w:t>או</w:t>
      </w:r>
      <w:r w:rsidRPr="00FB29D8">
        <w:rPr>
          <w:rFonts w:hint="cs"/>
          <w:rtl/>
        </w:rPr>
        <w:t xml:space="preserve"> </w:t>
      </w:r>
      <w:r w:rsidRPr="00FB29D8">
        <w:rPr>
          <w:rtl/>
        </w:rPr>
        <w:t>גו</w:t>
      </w:r>
      <w:r w:rsidRPr="00FB29D8">
        <w:rPr>
          <w:rFonts w:hint="cs"/>
          <w:rtl/>
        </w:rPr>
        <w:t xml:space="preserve">רמים </w:t>
      </w:r>
      <w:r w:rsidRPr="00FB29D8">
        <w:rPr>
          <w:rtl/>
        </w:rPr>
        <w:t>שמכיר</w:t>
      </w:r>
      <w:r w:rsidRPr="00FB29D8">
        <w:rPr>
          <w:rFonts w:hint="cs"/>
          <w:rtl/>
        </w:rPr>
        <w:t>ים</w:t>
      </w:r>
      <w:r w:rsidRPr="00FB29D8">
        <w:rPr>
          <w:rtl/>
        </w:rPr>
        <w:t xml:space="preserve"> את מקבלי ההחלטות </w:t>
      </w:r>
      <w:r w:rsidRPr="00FB29D8">
        <w:rPr>
          <w:rFonts w:hint="cs"/>
          <w:rtl/>
        </w:rPr>
        <w:t xml:space="preserve">במדינת היעד. </w:t>
      </w:r>
      <w:proofErr w:type="spellStart"/>
      <w:r w:rsidRPr="00FB29D8">
        <w:rPr>
          <w:rtl/>
        </w:rPr>
        <w:t>משהב"ט</w:t>
      </w:r>
      <w:proofErr w:type="spellEnd"/>
      <w:r w:rsidRPr="00FB29D8">
        <w:rPr>
          <w:rtl/>
        </w:rPr>
        <w:t xml:space="preserve"> </w:t>
      </w:r>
      <w:r w:rsidRPr="00FB29D8">
        <w:rPr>
          <w:rFonts w:hint="cs"/>
          <w:rtl/>
        </w:rPr>
        <w:t>אינו</w:t>
      </w:r>
      <w:r w:rsidRPr="00FB29D8">
        <w:rPr>
          <w:rtl/>
        </w:rPr>
        <w:t xml:space="preserve"> מקיים בקרה על זהות מקדמי השיווק</w:t>
      </w:r>
      <w:r w:rsidRPr="00FB29D8">
        <w:rPr>
          <w:rFonts w:hint="cs"/>
          <w:rtl/>
        </w:rPr>
        <w:t>, ובכך חושף את עצמו לסיכון בכל הנוגע למקדמי שיווק ישראלים אש</w:t>
      </w:r>
      <w:r w:rsidRPr="00FB29D8">
        <w:rPr>
          <w:rFonts w:hint="cs"/>
          <w:rtl/>
        </w:rPr>
        <w:t xml:space="preserve">ר היכרותם עם גורמים בכירים </w:t>
      </w:r>
      <w:proofErr w:type="spellStart"/>
      <w:r w:rsidRPr="00FB29D8">
        <w:rPr>
          <w:rFonts w:hint="cs"/>
          <w:rtl/>
        </w:rPr>
        <w:t>במשהב"ט</w:t>
      </w:r>
      <w:proofErr w:type="spellEnd"/>
      <w:r w:rsidRPr="00FB29D8">
        <w:rPr>
          <w:rFonts w:hint="cs"/>
          <w:rtl/>
        </w:rPr>
        <w:t xml:space="preserve"> עלולה להביא לניגודי עניינים וכתוצאה מכך - לטובות הנאה, לקבלת החלטות לא מיטביות </w:t>
      </w:r>
      <w:proofErr w:type="spellStart"/>
      <w:r w:rsidRPr="00FB29D8">
        <w:rPr>
          <w:rFonts w:hint="cs"/>
          <w:rtl/>
        </w:rPr>
        <w:t>במשהב"ט</w:t>
      </w:r>
      <w:proofErr w:type="spellEnd"/>
      <w:r w:rsidRPr="00FB29D8">
        <w:rPr>
          <w:rFonts w:hint="cs"/>
          <w:rtl/>
        </w:rPr>
        <w:t xml:space="preserve"> בכל הנוגע לעסקאות אלו ולפגיעה בזכות להזדמנות שווה. מימושו של סיכון זה עלול אף להביא לפגיעה באמון הציבור </w:t>
      </w:r>
      <w:proofErr w:type="spellStart"/>
      <w:r w:rsidRPr="00FB29D8">
        <w:rPr>
          <w:rFonts w:hint="cs"/>
          <w:rtl/>
        </w:rPr>
        <w:t>במינהל</w:t>
      </w:r>
      <w:proofErr w:type="spellEnd"/>
      <w:r w:rsidRPr="00FB29D8">
        <w:rPr>
          <w:rFonts w:hint="cs"/>
          <w:rtl/>
        </w:rPr>
        <w:t xml:space="preserve"> הציבורי. </w:t>
      </w:r>
    </w:p>
    <w:p w:rsidR="00AB1054" w:rsidRPr="00FB29D8" w:rsidRDefault="006E7854" w:rsidP="00AB1054">
      <w:pPr>
        <w:pStyle w:val="73f7"/>
        <w:ind w:left="794"/>
      </w:pPr>
      <w:r w:rsidRPr="00FB29D8">
        <w:rPr>
          <w:rFonts w:hint="cs"/>
          <w:rtl/>
        </w:rPr>
        <w:t>בשונה מההוראה</w:t>
      </w:r>
      <w:r w:rsidRPr="00FB29D8">
        <w:rPr>
          <w:rFonts w:hint="cs"/>
          <w:rtl/>
        </w:rPr>
        <w:t xml:space="preserve"> בעניין מעורבות של סוכנים הפועלים בעסקאות רכש </w:t>
      </w:r>
      <w:proofErr w:type="spellStart"/>
      <w:r w:rsidRPr="00FB29D8">
        <w:rPr>
          <w:rFonts w:hint="cs"/>
          <w:rtl/>
        </w:rPr>
        <w:t>במשהב"ט</w:t>
      </w:r>
      <w:proofErr w:type="spellEnd"/>
      <w:r w:rsidRPr="00FB29D8">
        <w:rPr>
          <w:rFonts w:hint="cs"/>
          <w:rtl/>
        </w:rPr>
        <w:t xml:space="preserve">, אין </w:t>
      </w:r>
      <w:proofErr w:type="spellStart"/>
      <w:r w:rsidRPr="00FB29D8">
        <w:rPr>
          <w:rFonts w:hint="cs"/>
          <w:rtl/>
        </w:rPr>
        <w:t>במשהב"ט</w:t>
      </w:r>
      <w:proofErr w:type="spellEnd"/>
      <w:r w:rsidRPr="00FB29D8">
        <w:rPr>
          <w:rFonts w:hint="cs"/>
          <w:rtl/>
        </w:rPr>
        <w:t xml:space="preserve"> הוראה המסדירה את אופן ההתנהלות של עובדי </w:t>
      </w:r>
      <w:proofErr w:type="spellStart"/>
      <w:r w:rsidRPr="00FB29D8">
        <w:rPr>
          <w:rFonts w:hint="cs"/>
          <w:rtl/>
        </w:rPr>
        <w:t>משהב"ט</w:t>
      </w:r>
      <w:proofErr w:type="spellEnd"/>
      <w:r w:rsidRPr="00FB29D8">
        <w:rPr>
          <w:rFonts w:hint="cs"/>
          <w:rtl/>
        </w:rPr>
        <w:t xml:space="preserve"> מול מקדמי השיווק בעסקאות של יצוא ביטחוני, לרבות בסוגיית ניגוד העניינים. אי-הסדרת סוגיה זו עלולה לגרום להטיות בתהליכי קבלת ההחלטות לגבי עסקאות </w:t>
      </w:r>
      <w:r w:rsidRPr="00FB29D8">
        <w:rPr>
          <w:rFonts w:hint="cs"/>
          <w:rtl/>
        </w:rPr>
        <w:t xml:space="preserve">של יצוא ביטחוני, לרבות חשש לניצול קשרים לקידום אינטרסים אישיים שאינם עולים בקנה אחד עם האינטרסים של </w:t>
      </w:r>
      <w:proofErr w:type="spellStart"/>
      <w:r w:rsidRPr="00FB29D8">
        <w:rPr>
          <w:rFonts w:hint="cs"/>
          <w:rtl/>
        </w:rPr>
        <w:t>משהב"ט</w:t>
      </w:r>
      <w:proofErr w:type="spellEnd"/>
      <w:r w:rsidRPr="00FB29D8">
        <w:rPr>
          <w:rFonts w:hint="cs"/>
          <w:rtl/>
        </w:rPr>
        <w:t>.</w:t>
      </w:r>
    </w:p>
    <w:p w:rsidR="00AB1054" w:rsidRPr="00FB29D8" w:rsidRDefault="006E7854" w:rsidP="006E7854">
      <w:pPr>
        <w:pStyle w:val="73f7"/>
        <w:numPr>
          <w:ilvl w:val="0"/>
          <w:numId w:val="10"/>
        </w:numPr>
        <w:rPr>
          <w:rtl/>
        </w:rPr>
      </w:pPr>
      <w:r w:rsidRPr="00AB1054">
        <w:rPr>
          <w:b/>
          <w:bCs/>
          <w:rtl/>
        </w:rPr>
        <w:t xml:space="preserve">הסדרת העמלות למקדמי השיווק בעסקאות יצוא ביטחוני - </w:t>
      </w:r>
      <w:r w:rsidRPr="00FB29D8">
        <w:rPr>
          <w:rFonts w:hint="cs"/>
          <w:rtl/>
        </w:rPr>
        <w:t xml:space="preserve">ממועד שינוי הוראת </w:t>
      </w:r>
      <w:proofErr w:type="spellStart"/>
      <w:r w:rsidRPr="00FB29D8">
        <w:rPr>
          <w:rFonts w:hint="cs"/>
          <w:rtl/>
        </w:rPr>
        <w:t>משהב"ט</w:t>
      </w:r>
      <w:proofErr w:type="spellEnd"/>
      <w:r w:rsidRPr="00FB29D8">
        <w:rPr>
          <w:rFonts w:hint="cs"/>
          <w:rtl/>
        </w:rPr>
        <w:t xml:space="preserve"> בנושא "עמלות בעסקאות יצוא" בשנת 2014, לא נעשית </w:t>
      </w:r>
      <w:proofErr w:type="spellStart"/>
      <w:r w:rsidRPr="00FB29D8">
        <w:rPr>
          <w:rFonts w:hint="cs"/>
          <w:rtl/>
        </w:rPr>
        <w:t>במשהב"ט</w:t>
      </w:r>
      <w:proofErr w:type="spellEnd"/>
      <w:r w:rsidRPr="00FB29D8">
        <w:rPr>
          <w:rFonts w:hint="cs"/>
          <w:rtl/>
        </w:rPr>
        <w:t xml:space="preserve"> בקרה סדורה על שימושן של החברות הביטחוניות במקדמי שיווק, לרבות העמלה המשולמת להם. </w:t>
      </w:r>
    </w:p>
    <w:p w:rsidR="00AB1054" w:rsidRDefault="006E7854" w:rsidP="00E32853">
      <w:pPr>
        <w:pStyle w:val="73f7"/>
        <w:ind w:left="794"/>
        <w:rPr>
          <w:rtl/>
        </w:rPr>
      </w:pPr>
      <w:r w:rsidRPr="00FB29D8">
        <w:rPr>
          <w:rFonts w:hint="cs"/>
          <w:rtl/>
        </w:rPr>
        <w:t xml:space="preserve">עם ביטול ההוראה בנושא "עמלות בעסקאות יצוא" בשנת 2018, לא גובשה הוראה חלופית </w:t>
      </w:r>
      <w:proofErr w:type="spellStart"/>
      <w:r w:rsidRPr="00FB29D8">
        <w:rPr>
          <w:rFonts w:hint="cs"/>
          <w:rtl/>
        </w:rPr>
        <w:t>במשהב"ט</w:t>
      </w:r>
      <w:proofErr w:type="spellEnd"/>
      <w:r w:rsidRPr="00FB29D8">
        <w:rPr>
          <w:rFonts w:hint="cs"/>
          <w:rtl/>
        </w:rPr>
        <w:t xml:space="preserve"> בעניין עמל</w:t>
      </w:r>
      <w:r w:rsidRPr="00FB29D8">
        <w:rPr>
          <w:rFonts w:hint="cs"/>
          <w:rtl/>
        </w:rPr>
        <w:t xml:space="preserve">ות למקדמי שיווק בעסקאות שבהן מעורבות חברות ביטחוניות; זאת גם לא לאחר שמנכ"לי </w:t>
      </w:r>
      <w:proofErr w:type="spellStart"/>
      <w:r w:rsidRPr="00FB29D8">
        <w:rPr>
          <w:rFonts w:hint="cs"/>
          <w:rtl/>
        </w:rPr>
        <w:t>משהב"ט</w:t>
      </w:r>
      <w:proofErr w:type="spellEnd"/>
      <w:r w:rsidRPr="00FB29D8">
        <w:rPr>
          <w:rFonts w:hint="cs"/>
          <w:rtl/>
        </w:rPr>
        <w:t xml:space="preserve"> ציינו את הצורך בהסדרת הנושא. </w:t>
      </w:r>
    </w:p>
    <w:p w:rsidR="00AB1054" w:rsidRPr="00AB1054" w:rsidRDefault="006E7854" w:rsidP="006E7854">
      <w:pPr>
        <w:pStyle w:val="73f7"/>
        <w:numPr>
          <w:ilvl w:val="0"/>
          <w:numId w:val="10"/>
        </w:numPr>
        <w:rPr>
          <w:rtl/>
        </w:rPr>
      </w:pPr>
      <w:r w:rsidRPr="00AB1054">
        <w:rPr>
          <w:b/>
          <w:bCs/>
          <w:rtl/>
        </w:rPr>
        <w:t xml:space="preserve">הסדרת הממשק של עובדי </w:t>
      </w:r>
      <w:proofErr w:type="spellStart"/>
      <w:r w:rsidRPr="00AB1054">
        <w:rPr>
          <w:b/>
          <w:bCs/>
          <w:rtl/>
        </w:rPr>
        <w:t>משהב"ט</w:t>
      </w:r>
      <w:proofErr w:type="spellEnd"/>
      <w:r w:rsidRPr="00AB1054">
        <w:rPr>
          <w:b/>
          <w:bCs/>
          <w:rtl/>
        </w:rPr>
        <w:t xml:space="preserve"> עם מקדמי השיווק של ה</w:t>
      </w:r>
      <w:r w:rsidRPr="00AB1054">
        <w:rPr>
          <w:rFonts w:hint="cs"/>
          <w:b/>
          <w:bCs/>
          <w:rtl/>
        </w:rPr>
        <w:t>חברות</w:t>
      </w:r>
      <w:r w:rsidRPr="00AB1054">
        <w:rPr>
          <w:b/>
          <w:bCs/>
          <w:rtl/>
        </w:rPr>
        <w:t xml:space="preserve"> הביטחוניות</w:t>
      </w:r>
      <w:r w:rsidRPr="00AB1054">
        <w:rPr>
          <w:rFonts w:hint="cs"/>
          <w:b/>
          <w:bCs/>
          <w:rtl/>
        </w:rPr>
        <w:t xml:space="preserve"> -</w:t>
      </w:r>
      <w:r w:rsidRPr="00AB1054">
        <w:rPr>
          <w:b/>
          <w:bCs/>
          <w:rtl/>
        </w:rPr>
        <w:t xml:space="preserve"> </w:t>
      </w:r>
      <w:r w:rsidRPr="00FB29D8">
        <w:rPr>
          <w:rFonts w:hint="cs"/>
          <w:rtl/>
        </w:rPr>
        <w:t xml:space="preserve">אין </w:t>
      </w:r>
      <w:proofErr w:type="spellStart"/>
      <w:r w:rsidRPr="00FB29D8">
        <w:rPr>
          <w:rFonts w:hint="cs"/>
          <w:rtl/>
        </w:rPr>
        <w:t>במשהב"ט</w:t>
      </w:r>
      <w:proofErr w:type="spellEnd"/>
      <w:r w:rsidRPr="00FB29D8">
        <w:rPr>
          <w:rFonts w:hint="cs"/>
          <w:rtl/>
        </w:rPr>
        <w:t xml:space="preserve"> הוראה המסדירה את אופן ההתנהלות בכל הנוגע למקדמי שיווק. בהיעדר ה</w:t>
      </w:r>
      <w:r w:rsidRPr="00FB29D8">
        <w:rPr>
          <w:rFonts w:hint="cs"/>
          <w:rtl/>
        </w:rPr>
        <w:t>סדרה זו, עולה</w:t>
      </w:r>
      <w:r w:rsidRPr="00AB1054">
        <w:rPr>
          <w:rFonts w:hint="cs"/>
          <w:rtl/>
        </w:rPr>
        <w:t xml:space="preserve"> הסיכון כי אנשי </w:t>
      </w:r>
      <w:proofErr w:type="spellStart"/>
      <w:r w:rsidRPr="00AB1054">
        <w:rPr>
          <w:rFonts w:hint="cs"/>
          <w:rtl/>
        </w:rPr>
        <w:t>משהב"ט</w:t>
      </w:r>
      <w:proofErr w:type="spellEnd"/>
      <w:r w:rsidRPr="00AB1054">
        <w:rPr>
          <w:rFonts w:hint="cs"/>
          <w:rtl/>
        </w:rPr>
        <w:t xml:space="preserve"> יתנהלו אל מול מקדמי השיווק באופן שיחשוף את המשרד לסיכוני ציות מוגברים.</w:t>
      </w:r>
    </w:p>
    <w:p w:rsidR="00EB672B" w:rsidRPr="006F49D3" w:rsidRDefault="006E7854" w:rsidP="006F49D3">
      <w:pPr>
        <w:pStyle w:val="73fd"/>
        <w:rPr>
          <w:rtl/>
        </w:rPr>
      </w:pPr>
      <w:r w:rsidRPr="006F49D3">
        <w:rPr>
          <w:rFonts w:hint="cs"/>
          <w:rtl/>
        </w:rPr>
        <w:lastRenderedPageBreak/>
        <w:t>עיקרי המלצות הביקורת</w:t>
      </w:r>
    </w:p>
    <w:p w:rsidR="00EB672B" w:rsidRPr="007C7D40" w:rsidRDefault="006E7854" w:rsidP="00EB672B">
      <w:pPr>
        <w:pStyle w:val="73f7"/>
      </w:pPr>
      <w:r w:rsidRPr="00AB1054">
        <w:rPr>
          <w:rStyle w:val="7391"/>
          <w:rFonts w:hint="cs"/>
          <w:rtl/>
        </w:rPr>
        <w:drawing>
          <wp:anchor distT="0" distB="1440180" distL="107950" distR="114300" simplePos="0" relativeHeight="25168076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AB1054" w:rsidRPr="00AB1054">
        <w:rPr>
          <w:rStyle w:val="7391"/>
          <w:rFonts w:hint="cs"/>
          <w:rtl/>
        </w:rPr>
        <w:t>מעורבות משהב"ט בשימוש החברות הביטחוניות במקדמי שיווק -</w:t>
      </w:r>
      <w:r w:rsidR="00AB1054" w:rsidRPr="00FB29D8">
        <w:rPr>
          <w:rFonts w:hint="cs"/>
          <w:rtl/>
        </w:rPr>
        <w:t xml:space="preserve"> על מנכ"ל </w:t>
      </w:r>
      <w:proofErr w:type="spellStart"/>
      <w:r w:rsidR="00AB1054" w:rsidRPr="00FB29D8">
        <w:rPr>
          <w:rFonts w:hint="cs"/>
          <w:rtl/>
        </w:rPr>
        <w:t>משהב"ט</w:t>
      </w:r>
      <w:proofErr w:type="spellEnd"/>
      <w:r w:rsidR="00AB1054" w:rsidRPr="00FB29D8">
        <w:rPr>
          <w:rFonts w:hint="cs"/>
          <w:rtl/>
        </w:rPr>
        <w:t xml:space="preserve"> לוודא כי ראש אגף התכנון והיועמ"ש </w:t>
      </w:r>
      <w:proofErr w:type="spellStart"/>
      <w:r w:rsidR="00AB1054" w:rsidRPr="00FB29D8">
        <w:rPr>
          <w:rFonts w:hint="cs"/>
          <w:rtl/>
        </w:rPr>
        <w:t>למעהב"ט</w:t>
      </w:r>
      <w:proofErr w:type="spellEnd"/>
      <w:r w:rsidR="00AB1054" w:rsidRPr="00FB29D8">
        <w:rPr>
          <w:rFonts w:hint="cs"/>
          <w:rtl/>
        </w:rPr>
        <w:t xml:space="preserve"> יפעלו בהקדם לגיבוש המלצותיהם לגבי מידת </w:t>
      </w:r>
      <w:r w:rsidR="00AB1054" w:rsidRPr="00AB1054">
        <w:rPr>
          <w:rFonts w:hint="cs"/>
          <w:rtl/>
        </w:rPr>
        <w:t>מעורבות</w:t>
      </w:r>
      <w:r w:rsidR="00AB1054" w:rsidRPr="00FB29D8">
        <w:rPr>
          <w:rFonts w:hint="cs"/>
          <w:rtl/>
        </w:rPr>
        <w:t xml:space="preserve"> המשרד בפיקוח על השימוש של החברות הביטחוניות במקדמי שיווק, לרבות בסוגיית העמלות. מומלץ, כי הדבר ייעשה בהיוועצות עם מחלקת ייעוץ וחקיקה במשרד המשפטים. צורך זה מקבל משנה תוקף נוכח הגידול הניכר בהיקף עסקאות בשנים האחרונות, פעילות שעוד צפויה להתרחב בשנים הקרובות</w:t>
      </w:r>
      <w:r w:rsidRPr="007C7D40">
        <w:rPr>
          <w:rFonts w:hint="cs"/>
          <w:rtl/>
        </w:rPr>
        <w:t xml:space="preserve">. </w:t>
      </w:r>
    </w:p>
    <w:p w:rsidR="00AB1054" w:rsidRPr="00AB1054" w:rsidRDefault="006E7854" w:rsidP="00AB1054">
      <w:pPr>
        <w:pStyle w:val="7390"/>
      </w:pPr>
      <w:r w:rsidRPr="00AB1054">
        <w:rPr>
          <w:rStyle w:val="7372"/>
          <w:rFonts w:hint="cs"/>
          <w:bCs/>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AB1054">
        <w:rPr>
          <w:rFonts w:hint="cs"/>
          <w:rtl/>
        </w:rPr>
        <w:t>הפיקוח של</w:t>
      </w:r>
      <w:r w:rsidRPr="00AB1054">
        <w:rPr>
          <w:rtl/>
        </w:rPr>
        <w:t xml:space="preserve"> משהב"ט </w:t>
      </w:r>
      <w:r w:rsidRPr="00AB1054">
        <w:rPr>
          <w:rFonts w:hint="cs"/>
          <w:rtl/>
        </w:rPr>
        <w:t>ע</w:t>
      </w:r>
      <w:r w:rsidRPr="00AB1054">
        <w:rPr>
          <w:rtl/>
        </w:rPr>
        <w:t>ל עמידתן של ה</w:t>
      </w:r>
      <w:r w:rsidRPr="00AB1054">
        <w:rPr>
          <w:rFonts w:hint="cs"/>
          <w:rtl/>
        </w:rPr>
        <w:t>חברות</w:t>
      </w:r>
      <w:r w:rsidRPr="00AB1054">
        <w:rPr>
          <w:rtl/>
        </w:rPr>
        <w:t xml:space="preserve"> הביטחוניות בהנחיות ה-</w:t>
      </w:r>
      <w:r w:rsidRPr="00AB1054">
        <w:rPr>
          <w:b/>
          <w:bCs w:val="0"/>
        </w:rPr>
        <w:t>OECD</w:t>
      </w:r>
      <w:r w:rsidRPr="00AB1054">
        <w:rPr>
          <w:rtl/>
        </w:rPr>
        <w:t xml:space="preserve"> למניעת שוחד ושחיתות </w:t>
      </w:r>
    </w:p>
    <w:p w:rsidR="00AB1054" w:rsidRPr="00AB1054" w:rsidRDefault="006E7854" w:rsidP="006E7854">
      <w:pPr>
        <w:pStyle w:val="714"/>
        <w:numPr>
          <w:ilvl w:val="0"/>
          <w:numId w:val="11"/>
        </w:numPr>
        <w:rPr>
          <w:color w:val="auto"/>
        </w:rPr>
      </w:pPr>
      <w:bookmarkStart w:id="8" w:name="_Hlk189041245"/>
      <w:r w:rsidRPr="00E32853">
        <w:rPr>
          <w:rStyle w:val="7391"/>
          <w:rtl/>
        </w:rPr>
        <w:t>דרישה לאימוץ וליישום תוכנית ציות למניעת שחיתות</w:t>
      </w:r>
      <w:bookmarkEnd w:id="8"/>
      <w:r w:rsidRPr="00E32853">
        <w:rPr>
          <w:rStyle w:val="7391"/>
          <w:rFonts w:hint="cs"/>
          <w:rtl/>
        </w:rPr>
        <w:t xml:space="preserve"> -</w:t>
      </w:r>
      <w:r w:rsidRPr="00AB1054">
        <w:rPr>
          <w:rFonts w:hint="cs"/>
          <w:color w:val="auto"/>
          <w:rtl/>
        </w:rPr>
        <w:t xml:space="preserve"> מומלץ כי מנכ"ל</w:t>
      </w:r>
      <w:r w:rsidRPr="00AB1054">
        <w:rPr>
          <w:rFonts w:hint="cs"/>
          <w:color w:val="auto"/>
          <w:rtl/>
        </w:rPr>
        <w:t xml:space="preserve"> </w:t>
      </w:r>
      <w:proofErr w:type="spellStart"/>
      <w:r w:rsidRPr="00AB1054">
        <w:rPr>
          <w:rFonts w:hint="cs"/>
          <w:color w:val="auto"/>
          <w:rtl/>
        </w:rPr>
        <w:t>משהב"ט</w:t>
      </w:r>
      <w:proofErr w:type="spellEnd"/>
      <w:r w:rsidRPr="00AB1054">
        <w:rPr>
          <w:rFonts w:hint="cs"/>
          <w:color w:val="auto"/>
          <w:rtl/>
        </w:rPr>
        <w:t xml:space="preserve"> ינחה לבחון ולהביא לאישורו המלצה בעניין כללי הציות המינימליים שעל החברות הבינוניות והקטנו</w:t>
      </w:r>
      <w:r w:rsidRPr="00AB1054">
        <w:rPr>
          <w:rFonts w:hint="eastAsia"/>
          <w:color w:val="auto"/>
          <w:rtl/>
        </w:rPr>
        <w:t>ת</w:t>
      </w:r>
      <w:r w:rsidRPr="00AB1054">
        <w:rPr>
          <w:rFonts w:hint="cs"/>
          <w:color w:val="auto"/>
          <w:rtl/>
        </w:rPr>
        <w:t xml:space="preserve"> לאמץ וליישם כדי לצמצם סיכוני שוחד ושחיתות בעסקאות יצוא ביטחוני</w:t>
      </w:r>
      <w:r w:rsidRPr="00AB1054">
        <w:rPr>
          <w:color w:val="auto"/>
          <w:rtl/>
        </w:rPr>
        <w:t xml:space="preserve">, לרבות </w:t>
      </w:r>
      <w:r w:rsidRPr="00AB1054">
        <w:rPr>
          <w:rFonts w:hint="cs"/>
          <w:color w:val="auto"/>
          <w:rtl/>
        </w:rPr>
        <w:t>בנוגע</w:t>
      </w:r>
      <w:r w:rsidRPr="00AB1054">
        <w:rPr>
          <w:color w:val="auto"/>
          <w:rtl/>
        </w:rPr>
        <w:t xml:space="preserve"> </w:t>
      </w:r>
      <w:r w:rsidRPr="00AB1054">
        <w:rPr>
          <w:rFonts w:hint="cs"/>
          <w:color w:val="auto"/>
          <w:rtl/>
        </w:rPr>
        <w:t>לבדיקות נאותות של מקדמי השיווק, זאת בייחוד נוכח מספרן הגבוה של העסקאות שעליהן חותמ</w:t>
      </w:r>
      <w:r w:rsidRPr="00AB1054">
        <w:rPr>
          <w:rFonts w:hint="cs"/>
          <w:color w:val="auto"/>
          <w:rtl/>
        </w:rPr>
        <w:t>ות חברות אלו מידי שנה, הסיכון להפרות של כללי הציות ולהטלת אחריות פלילית על הגורמים המעורבים ונוכח מאפייני המדינות שאליהן מייצאים.</w:t>
      </w:r>
    </w:p>
    <w:p w:rsidR="00AB1054" w:rsidRPr="00AB1054" w:rsidRDefault="006E7854" w:rsidP="006E7854">
      <w:pPr>
        <w:pStyle w:val="714"/>
        <w:numPr>
          <w:ilvl w:val="0"/>
          <w:numId w:val="11"/>
        </w:numPr>
        <w:rPr>
          <w:color w:val="auto"/>
        </w:rPr>
      </w:pPr>
      <w:bookmarkStart w:id="9" w:name="_Hlk189041297"/>
      <w:r w:rsidRPr="00AB1054">
        <w:rPr>
          <w:rStyle w:val="7391"/>
          <w:rtl/>
        </w:rPr>
        <w:t>בקרה על תוכניות ציות למניעת שחיתות</w:t>
      </w:r>
      <w:bookmarkEnd w:id="9"/>
      <w:r w:rsidRPr="00AB1054">
        <w:rPr>
          <w:rStyle w:val="7391"/>
          <w:rFonts w:hint="cs"/>
          <w:rtl/>
        </w:rPr>
        <w:t xml:space="preserve"> -</w:t>
      </w:r>
      <w:r w:rsidRPr="00AB1054">
        <w:rPr>
          <w:rFonts w:hint="cs"/>
          <w:color w:val="auto"/>
          <w:rtl/>
        </w:rPr>
        <w:t xml:space="preserve"> מנכ"ל </w:t>
      </w:r>
      <w:proofErr w:type="spellStart"/>
      <w:r w:rsidRPr="00AB1054">
        <w:rPr>
          <w:rFonts w:hint="cs"/>
          <w:color w:val="auto"/>
          <w:rtl/>
        </w:rPr>
        <w:t>משהב"ט</w:t>
      </w:r>
      <w:proofErr w:type="spellEnd"/>
      <w:r w:rsidRPr="00AB1054">
        <w:rPr>
          <w:rFonts w:hint="cs"/>
          <w:color w:val="auto"/>
          <w:rtl/>
        </w:rPr>
        <w:t xml:space="preserve"> </w:t>
      </w:r>
      <w:proofErr w:type="spellStart"/>
      <w:r w:rsidRPr="00AB1054">
        <w:rPr>
          <w:rFonts w:hint="cs"/>
          <w:color w:val="auto"/>
          <w:rtl/>
        </w:rPr>
        <w:t>וראשת</w:t>
      </w:r>
      <w:proofErr w:type="spellEnd"/>
      <w:r w:rsidRPr="00AB1054">
        <w:rPr>
          <w:rFonts w:hint="cs"/>
          <w:color w:val="auto"/>
          <w:rtl/>
        </w:rPr>
        <w:t xml:space="preserve"> </w:t>
      </w:r>
      <w:proofErr w:type="spellStart"/>
      <w:r w:rsidRPr="00AB1054">
        <w:rPr>
          <w:rFonts w:hint="cs"/>
          <w:color w:val="auto"/>
          <w:rtl/>
        </w:rPr>
        <w:t>אפ"י</w:t>
      </w:r>
      <w:proofErr w:type="spellEnd"/>
      <w:r w:rsidRPr="00AB1054">
        <w:rPr>
          <w:rFonts w:hint="cs"/>
          <w:color w:val="auto"/>
          <w:rtl/>
        </w:rPr>
        <w:t xml:space="preserve"> הם הרשות המוסמכת לפיקוח על היצוא הביטחוני מטעמים של</w:t>
      </w:r>
      <w:r w:rsidRPr="00AB1054">
        <w:rPr>
          <w:color w:val="auto"/>
          <w:rtl/>
        </w:rPr>
        <w:t xml:space="preserve"> </w:t>
      </w:r>
      <w:r w:rsidRPr="00AB1054">
        <w:rPr>
          <w:rFonts w:hint="cs"/>
          <w:color w:val="auto"/>
          <w:rtl/>
        </w:rPr>
        <w:t>בי</w:t>
      </w:r>
      <w:r w:rsidRPr="00AB1054">
        <w:rPr>
          <w:color w:val="auto"/>
          <w:rtl/>
        </w:rPr>
        <w:t>טחון</w:t>
      </w:r>
      <w:r w:rsidRPr="00AB1054">
        <w:rPr>
          <w:rFonts w:hint="cs"/>
          <w:color w:val="auto"/>
          <w:rtl/>
        </w:rPr>
        <w:t xml:space="preserve"> לאומי</w:t>
      </w:r>
      <w:r w:rsidRPr="00AB1054">
        <w:rPr>
          <w:color w:val="auto"/>
          <w:rtl/>
        </w:rPr>
        <w:t>,</w:t>
      </w:r>
      <w:r w:rsidRPr="00AB1054">
        <w:rPr>
          <w:color w:val="auto"/>
          <w:rtl/>
        </w:rPr>
        <w:t xml:space="preserve"> יחסי החוץ של המדינה</w:t>
      </w:r>
      <w:r w:rsidRPr="00AB1054">
        <w:rPr>
          <w:rFonts w:hint="cs"/>
          <w:color w:val="auto"/>
          <w:rtl/>
        </w:rPr>
        <w:t xml:space="preserve"> והתחייבויותיה</w:t>
      </w:r>
      <w:r>
        <w:rPr>
          <w:rFonts w:hint="cs"/>
          <w:color w:val="auto"/>
          <w:rtl/>
        </w:rPr>
        <w:t xml:space="preserve"> </w:t>
      </w:r>
      <w:r w:rsidRPr="00AB1054">
        <w:rPr>
          <w:rFonts w:hint="cs"/>
          <w:color w:val="auto"/>
          <w:rtl/>
        </w:rPr>
        <w:t>הבין-לאומיות ולשם</w:t>
      </w:r>
      <w:r w:rsidRPr="00AB1054">
        <w:rPr>
          <w:color w:val="auto"/>
          <w:rtl/>
        </w:rPr>
        <w:t xml:space="preserve"> </w:t>
      </w:r>
      <w:r w:rsidRPr="00AB1054">
        <w:rPr>
          <w:rFonts w:hint="cs"/>
          <w:color w:val="auto"/>
          <w:rtl/>
        </w:rPr>
        <w:t xml:space="preserve">שמירה על </w:t>
      </w:r>
      <w:r w:rsidRPr="00AB1054">
        <w:rPr>
          <w:color w:val="auto"/>
          <w:rtl/>
        </w:rPr>
        <w:t>אינטרסים חיוניים אחרים שלה</w:t>
      </w:r>
      <w:r w:rsidRPr="00AB1054">
        <w:rPr>
          <w:rFonts w:hint="cs"/>
          <w:color w:val="auto"/>
          <w:rtl/>
        </w:rPr>
        <w:t>; ובסמכותם לאכוף על היצואנים הביטחוניים את יישום אמנת ה-</w:t>
      </w:r>
      <w:r w:rsidRPr="00AB1054">
        <w:rPr>
          <w:rFonts w:hint="cs"/>
          <w:color w:val="auto"/>
        </w:rPr>
        <w:t>OECD</w:t>
      </w:r>
      <w:r w:rsidRPr="00AB1054">
        <w:rPr>
          <w:rFonts w:hint="cs"/>
          <w:color w:val="auto"/>
          <w:rtl/>
        </w:rPr>
        <w:t xml:space="preserve"> </w:t>
      </w:r>
      <w:r w:rsidRPr="00AB1054">
        <w:rPr>
          <w:color w:val="auto"/>
          <w:rtl/>
        </w:rPr>
        <w:t>למאבק ב</w:t>
      </w:r>
      <w:r w:rsidRPr="00AB1054">
        <w:rPr>
          <w:rFonts w:hint="cs"/>
          <w:color w:val="auto"/>
          <w:rtl/>
        </w:rPr>
        <w:t xml:space="preserve">מתן </w:t>
      </w:r>
      <w:r w:rsidRPr="00AB1054">
        <w:rPr>
          <w:color w:val="auto"/>
          <w:rtl/>
        </w:rPr>
        <w:t xml:space="preserve">שוחד </w:t>
      </w:r>
      <w:r w:rsidRPr="00AB1054">
        <w:rPr>
          <w:rFonts w:hint="cs"/>
          <w:color w:val="auto"/>
          <w:rtl/>
        </w:rPr>
        <w:t>ל</w:t>
      </w:r>
      <w:r w:rsidRPr="00AB1054">
        <w:rPr>
          <w:color w:val="auto"/>
          <w:rtl/>
        </w:rPr>
        <w:t>עובדי ציבור זרים</w:t>
      </w:r>
      <w:r w:rsidRPr="00AB1054">
        <w:rPr>
          <w:rFonts w:hint="cs"/>
          <w:color w:val="auto"/>
          <w:rtl/>
        </w:rPr>
        <w:t xml:space="preserve"> בעסקאות בין-לאומיות ולפקח על יישומה. נוכח זאת, על מנכ"ל </w:t>
      </w:r>
      <w:proofErr w:type="spellStart"/>
      <w:r w:rsidRPr="00AB1054">
        <w:rPr>
          <w:rFonts w:hint="cs"/>
          <w:color w:val="auto"/>
          <w:rtl/>
        </w:rPr>
        <w:t>משהב"ט</w:t>
      </w:r>
      <w:proofErr w:type="spellEnd"/>
      <w:r w:rsidRPr="00AB1054">
        <w:rPr>
          <w:rFonts w:hint="cs"/>
          <w:color w:val="auto"/>
          <w:rtl/>
        </w:rPr>
        <w:t xml:space="preserve"> לקבוע האם </w:t>
      </w:r>
      <w:r w:rsidRPr="00AB1054">
        <w:rPr>
          <w:rFonts w:hint="cs"/>
          <w:color w:val="auto"/>
          <w:rtl/>
        </w:rPr>
        <w:t xml:space="preserve">ובאיזה אופן יפקח </w:t>
      </w:r>
      <w:proofErr w:type="spellStart"/>
      <w:r w:rsidRPr="00AB1054">
        <w:rPr>
          <w:rFonts w:hint="cs"/>
          <w:color w:val="auto"/>
          <w:rtl/>
        </w:rPr>
        <w:t>משהב"ט</w:t>
      </w:r>
      <w:proofErr w:type="spellEnd"/>
      <w:r w:rsidRPr="00AB1054">
        <w:rPr>
          <w:rFonts w:hint="cs"/>
          <w:color w:val="auto"/>
          <w:rtl/>
        </w:rPr>
        <w:t xml:space="preserve"> על </w:t>
      </w:r>
      <w:proofErr w:type="spellStart"/>
      <w:r w:rsidRPr="00AB1054">
        <w:rPr>
          <w:color w:val="auto"/>
          <w:rtl/>
        </w:rPr>
        <w:t>תוכני</w:t>
      </w:r>
      <w:r w:rsidRPr="00AB1054">
        <w:rPr>
          <w:rFonts w:hint="cs"/>
          <w:color w:val="auto"/>
          <w:rtl/>
        </w:rPr>
        <w:t>ו</w:t>
      </w:r>
      <w:r w:rsidRPr="00AB1054">
        <w:rPr>
          <w:color w:val="auto"/>
          <w:rtl/>
        </w:rPr>
        <w:t>ת</w:t>
      </w:r>
      <w:proofErr w:type="spellEnd"/>
      <w:r w:rsidRPr="00AB1054">
        <w:rPr>
          <w:color w:val="auto"/>
          <w:rtl/>
        </w:rPr>
        <w:t xml:space="preserve"> </w:t>
      </w:r>
      <w:r w:rsidRPr="00AB1054">
        <w:rPr>
          <w:rFonts w:hint="cs"/>
          <w:color w:val="auto"/>
          <w:rtl/>
        </w:rPr>
        <w:t>ה</w:t>
      </w:r>
      <w:r w:rsidRPr="00AB1054">
        <w:rPr>
          <w:color w:val="auto"/>
          <w:rtl/>
        </w:rPr>
        <w:t>ציות</w:t>
      </w:r>
      <w:r w:rsidRPr="00AB1054">
        <w:rPr>
          <w:rFonts w:hint="cs"/>
          <w:color w:val="auto"/>
          <w:rtl/>
        </w:rPr>
        <w:t xml:space="preserve"> של החברות הביטחוניות</w:t>
      </w:r>
      <w:r w:rsidRPr="00AB1054">
        <w:rPr>
          <w:color w:val="auto"/>
          <w:rtl/>
        </w:rPr>
        <w:t xml:space="preserve"> ו</w:t>
      </w:r>
      <w:r w:rsidRPr="00AB1054">
        <w:rPr>
          <w:rFonts w:hint="cs"/>
          <w:color w:val="auto"/>
          <w:rtl/>
        </w:rPr>
        <w:t xml:space="preserve">על </w:t>
      </w:r>
      <w:r w:rsidRPr="00AB1054">
        <w:rPr>
          <w:color w:val="auto"/>
          <w:rtl/>
        </w:rPr>
        <w:t>אופן יישומ</w:t>
      </w:r>
      <w:r w:rsidRPr="00AB1054">
        <w:rPr>
          <w:rFonts w:hint="cs"/>
          <w:color w:val="auto"/>
          <w:rtl/>
        </w:rPr>
        <w:t xml:space="preserve">ן; ומה יהיו אמצעי הציות שיידרשו ליישם חברות ביטחוניות בינוניות וקטנות. עוד מומלץ כי </w:t>
      </w:r>
      <w:proofErr w:type="spellStart"/>
      <w:r w:rsidRPr="00AB1054">
        <w:rPr>
          <w:rFonts w:hint="cs"/>
          <w:color w:val="auto"/>
          <w:rtl/>
        </w:rPr>
        <w:t>אפ"י</w:t>
      </w:r>
      <w:proofErr w:type="spellEnd"/>
      <w:r w:rsidRPr="00AB1054">
        <w:rPr>
          <w:rFonts w:hint="cs"/>
          <w:color w:val="auto"/>
          <w:rtl/>
        </w:rPr>
        <w:t xml:space="preserve"> ינהל מאגר ממוחשב המרכז מידע לגבי קיומן של </w:t>
      </w:r>
      <w:proofErr w:type="spellStart"/>
      <w:r w:rsidRPr="00AB1054">
        <w:rPr>
          <w:rFonts w:hint="cs"/>
          <w:color w:val="auto"/>
          <w:rtl/>
        </w:rPr>
        <w:t>תוכניות</w:t>
      </w:r>
      <w:proofErr w:type="spellEnd"/>
      <w:r w:rsidRPr="00AB1054">
        <w:rPr>
          <w:rFonts w:hint="cs"/>
          <w:color w:val="auto"/>
          <w:rtl/>
        </w:rPr>
        <w:t xml:space="preserve"> ציות בחברות הביטחוניות, כעולה מהביקורות ש</w:t>
      </w:r>
      <w:r w:rsidRPr="00AB1054">
        <w:rPr>
          <w:rFonts w:hint="cs"/>
          <w:color w:val="auto"/>
          <w:rtl/>
        </w:rPr>
        <w:t>מבצעת יחידת האכיפה שבאגף, כאמצעי עזר לפיקוח.</w:t>
      </w:r>
    </w:p>
    <w:p w:rsidR="00AB1054" w:rsidRPr="00AB1054" w:rsidRDefault="006E7854" w:rsidP="006E7854">
      <w:pPr>
        <w:pStyle w:val="714"/>
        <w:numPr>
          <w:ilvl w:val="0"/>
          <w:numId w:val="11"/>
        </w:numPr>
        <w:rPr>
          <w:color w:val="auto"/>
        </w:rPr>
      </w:pPr>
      <w:bookmarkStart w:id="10" w:name="_Hlk189041403"/>
      <w:r w:rsidRPr="00AB1054">
        <w:rPr>
          <w:rStyle w:val="7391"/>
          <w:rFonts w:hint="cs"/>
          <w:rtl/>
        </w:rPr>
        <w:t>הצהרה במסגרת הסכמים הנוגעים לייצוא ביטחוני</w:t>
      </w:r>
      <w:bookmarkEnd w:id="10"/>
      <w:r w:rsidRPr="00AB1054">
        <w:rPr>
          <w:rStyle w:val="7391"/>
          <w:rFonts w:hint="cs"/>
          <w:rtl/>
        </w:rPr>
        <w:t xml:space="preserve"> -</w:t>
      </w:r>
      <w:r w:rsidRPr="00AB1054">
        <w:rPr>
          <w:rFonts w:hint="cs"/>
          <w:color w:val="auto"/>
          <w:rtl/>
        </w:rPr>
        <w:t xml:space="preserve"> </w:t>
      </w:r>
      <w:r w:rsidRPr="00AB1054">
        <w:rPr>
          <w:rFonts w:hint="eastAsia"/>
          <w:color w:val="auto"/>
          <w:rtl/>
        </w:rPr>
        <w:t>מומלץ</w:t>
      </w:r>
      <w:r w:rsidRPr="00AB1054">
        <w:rPr>
          <w:color w:val="auto"/>
          <w:rtl/>
        </w:rPr>
        <w:t xml:space="preserve"> </w:t>
      </w:r>
      <w:r w:rsidRPr="00AB1054">
        <w:rPr>
          <w:rFonts w:hint="eastAsia"/>
          <w:color w:val="auto"/>
          <w:rtl/>
        </w:rPr>
        <w:t>כי</w:t>
      </w:r>
      <w:r w:rsidRPr="00AB1054">
        <w:rPr>
          <w:color w:val="auto"/>
          <w:rtl/>
        </w:rPr>
        <w:t xml:space="preserve"> </w:t>
      </w:r>
      <w:r w:rsidRPr="00AB1054">
        <w:rPr>
          <w:rFonts w:hint="eastAsia"/>
          <w:color w:val="auto"/>
          <w:rtl/>
        </w:rPr>
        <w:t>בהסכמים</w:t>
      </w:r>
      <w:r w:rsidRPr="00AB1054">
        <w:rPr>
          <w:color w:val="auto"/>
          <w:rtl/>
        </w:rPr>
        <w:t xml:space="preserve"> </w:t>
      </w:r>
      <w:r w:rsidRPr="00AB1054">
        <w:rPr>
          <w:rFonts w:hint="cs"/>
          <w:color w:val="auto"/>
          <w:rtl/>
        </w:rPr>
        <w:t>אלה</w:t>
      </w:r>
      <w:r w:rsidRPr="00AB1054">
        <w:rPr>
          <w:color w:val="auto"/>
          <w:rtl/>
        </w:rPr>
        <w:t xml:space="preserve"> הקשור</w:t>
      </w:r>
      <w:r w:rsidRPr="00AB1054">
        <w:rPr>
          <w:rFonts w:hint="eastAsia"/>
          <w:color w:val="auto"/>
          <w:rtl/>
        </w:rPr>
        <w:t>ים</w:t>
      </w:r>
      <w:r w:rsidRPr="00AB1054">
        <w:rPr>
          <w:color w:val="auto"/>
          <w:rtl/>
        </w:rPr>
        <w:t xml:space="preserve"> לעסק</w:t>
      </w:r>
      <w:r w:rsidRPr="00AB1054">
        <w:rPr>
          <w:rFonts w:hint="eastAsia"/>
          <w:color w:val="auto"/>
          <w:rtl/>
        </w:rPr>
        <w:t>אות</w:t>
      </w:r>
      <w:r w:rsidRPr="00AB1054">
        <w:rPr>
          <w:color w:val="auto"/>
          <w:rtl/>
        </w:rPr>
        <w:t xml:space="preserve"> </w:t>
      </w:r>
      <w:proofErr w:type="spellStart"/>
      <w:r w:rsidRPr="00AB1054">
        <w:rPr>
          <w:rFonts w:hint="cs"/>
          <w:color w:val="auto"/>
          <w:rtl/>
        </w:rPr>
        <w:t>משהב"ט</w:t>
      </w:r>
      <w:proofErr w:type="spellEnd"/>
      <w:r w:rsidRPr="00AB1054">
        <w:rPr>
          <w:rFonts w:hint="cs"/>
          <w:color w:val="auto"/>
          <w:rtl/>
        </w:rPr>
        <w:t xml:space="preserve"> יבחן מהם הפרטים שברצונו לקבל על אודות מקדם השיווק.</w:t>
      </w:r>
    </w:p>
    <w:p w:rsidR="00AB1054" w:rsidRPr="00AB1054" w:rsidRDefault="006E7854" w:rsidP="006E7854">
      <w:pPr>
        <w:pStyle w:val="714"/>
        <w:numPr>
          <w:ilvl w:val="0"/>
          <w:numId w:val="11"/>
        </w:numPr>
        <w:rPr>
          <w:color w:val="auto"/>
        </w:rPr>
      </w:pPr>
      <w:bookmarkStart w:id="11" w:name="_Hlk189041472"/>
      <w:r w:rsidRPr="00AB1054">
        <w:rPr>
          <w:rStyle w:val="7391"/>
          <w:rFonts w:hint="cs"/>
          <w:rtl/>
        </w:rPr>
        <w:t>הצהרה פרטנית ליועמ"ש למעהב"ט</w:t>
      </w:r>
      <w:bookmarkEnd w:id="11"/>
      <w:r w:rsidRPr="00AB1054">
        <w:rPr>
          <w:rStyle w:val="7391"/>
          <w:rFonts w:hint="cs"/>
          <w:rtl/>
        </w:rPr>
        <w:t xml:space="preserve"> -</w:t>
      </w:r>
      <w:r w:rsidRPr="00AB1054">
        <w:rPr>
          <w:rFonts w:hint="cs"/>
          <w:color w:val="auto"/>
          <w:rtl/>
        </w:rPr>
        <w:t xml:space="preserve"> על היועמ"ש </w:t>
      </w:r>
      <w:proofErr w:type="spellStart"/>
      <w:r w:rsidRPr="00AB1054">
        <w:rPr>
          <w:rFonts w:hint="cs"/>
          <w:color w:val="auto"/>
          <w:rtl/>
        </w:rPr>
        <w:t>למעהב"ט</w:t>
      </w:r>
      <w:proofErr w:type="spellEnd"/>
      <w:r w:rsidRPr="00AB1054">
        <w:rPr>
          <w:rFonts w:hint="cs"/>
          <w:color w:val="auto"/>
          <w:rtl/>
        </w:rPr>
        <w:t xml:space="preserve"> להביא לאישור מנכ"ל </w:t>
      </w:r>
      <w:proofErr w:type="spellStart"/>
      <w:r w:rsidRPr="00AB1054">
        <w:rPr>
          <w:rFonts w:hint="cs"/>
          <w:color w:val="auto"/>
          <w:rtl/>
        </w:rPr>
        <w:t>מש</w:t>
      </w:r>
      <w:r w:rsidRPr="00AB1054">
        <w:rPr>
          <w:rFonts w:hint="cs"/>
          <w:color w:val="auto"/>
          <w:rtl/>
        </w:rPr>
        <w:t>הב"ט</w:t>
      </w:r>
      <w:proofErr w:type="spellEnd"/>
      <w:r w:rsidRPr="00AB1054">
        <w:rPr>
          <w:rFonts w:hint="cs"/>
          <w:color w:val="auto"/>
          <w:rtl/>
        </w:rPr>
        <w:t xml:space="preserve"> קריטריונים מוגדרים לדרישת הצהרות פרטניות מבעלי תפקידים רלוונטיים בחברות הביטחוניות היצואניות בכל הנוגע לשימוש במקדמי שיווק</w:t>
      </w:r>
      <w:r w:rsidRPr="00AB1054">
        <w:rPr>
          <w:color w:val="auto"/>
          <w:rtl/>
        </w:rPr>
        <w:t>.</w:t>
      </w:r>
    </w:p>
    <w:p w:rsidR="00AB1054" w:rsidRPr="00AB1054" w:rsidRDefault="006E7854" w:rsidP="006E7854">
      <w:pPr>
        <w:pStyle w:val="714"/>
        <w:numPr>
          <w:ilvl w:val="0"/>
          <w:numId w:val="11"/>
        </w:numPr>
        <w:rPr>
          <w:color w:val="auto"/>
        </w:rPr>
      </w:pPr>
      <w:bookmarkStart w:id="12" w:name="_Hlk189041541"/>
      <w:r w:rsidRPr="00AB1054">
        <w:rPr>
          <w:rStyle w:val="7391"/>
          <w:rFonts w:hint="eastAsia"/>
          <w:rtl/>
        </w:rPr>
        <w:t>מידע</w:t>
      </w:r>
      <w:r w:rsidRPr="00AB1054">
        <w:rPr>
          <w:rStyle w:val="7391"/>
          <w:rtl/>
        </w:rPr>
        <w:t xml:space="preserve"> </w:t>
      </w:r>
      <w:r w:rsidRPr="00AB1054">
        <w:rPr>
          <w:rStyle w:val="7391"/>
          <w:rFonts w:hint="eastAsia"/>
          <w:rtl/>
        </w:rPr>
        <w:t>על</w:t>
      </w:r>
      <w:r w:rsidRPr="00AB1054">
        <w:rPr>
          <w:rStyle w:val="7391"/>
          <w:rtl/>
        </w:rPr>
        <w:t xml:space="preserve"> </w:t>
      </w:r>
      <w:r w:rsidRPr="00AB1054">
        <w:rPr>
          <w:rStyle w:val="7391"/>
          <w:rFonts w:hint="eastAsia"/>
          <w:rtl/>
        </w:rPr>
        <w:t>אודות</w:t>
      </w:r>
      <w:r w:rsidRPr="00AB1054">
        <w:rPr>
          <w:rStyle w:val="7391"/>
          <w:rtl/>
        </w:rPr>
        <w:t xml:space="preserve"> </w:t>
      </w:r>
      <w:r w:rsidRPr="00AB1054">
        <w:rPr>
          <w:rStyle w:val="7391"/>
          <w:rFonts w:hint="eastAsia"/>
          <w:rtl/>
        </w:rPr>
        <w:t>מקדם</w:t>
      </w:r>
      <w:r w:rsidRPr="00AB1054">
        <w:rPr>
          <w:rStyle w:val="7391"/>
          <w:rtl/>
        </w:rPr>
        <w:t xml:space="preserve"> </w:t>
      </w:r>
      <w:r w:rsidRPr="00AB1054">
        <w:rPr>
          <w:rStyle w:val="7391"/>
          <w:rFonts w:hint="eastAsia"/>
          <w:rtl/>
        </w:rPr>
        <w:t>השיווק</w:t>
      </w:r>
      <w:bookmarkEnd w:id="12"/>
      <w:r w:rsidRPr="00AB1054">
        <w:rPr>
          <w:rStyle w:val="7391"/>
          <w:rtl/>
        </w:rPr>
        <w:t xml:space="preserve"> -</w:t>
      </w:r>
      <w:r w:rsidRPr="00AB1054">
        <w:rPr>
          <w:color w:val="auto"/>
          <w:rtl/>
        </w:rPr>
        <w:t xml:space="preserve"> </w:t>
      </w:r>
      <w:r w:rsidRPr="00AB1054">
        <w:rPr>
          <w:rFonts w:hint="eastAsia"/>
          <w:color w:val="auto"/>
          <w:rtl/>
        </w:rPr>
        <w:t>כדי</w:t>
      </w:r>
      <w:r w:rsidRPr="00AB1054">
        <w:rPr>
          <w:color w:val="auto"/>
          <w:rtl/>
        </w:rPr>
        <w:t xml:space="preserve"> </w:t>
      </w:r>
      <w:r w:rsidRPr="00AB1054">
        <w:rPr>
          <w:rFonts w:hint="eastAsia"/>
          <w:color w:val="auto"/>
          <w:rtl/>
        </w:rPr>
        <w:t>לקיים</w:t>
      </w:r>
      <w:r w:rsidRPr="00AB1054">
        <w:rPr>
          <w:color w:val="auto"/>
          <w:rtl/>
        </w:rPr>
        <w:t xml:space="preserve"> </w:t>
      </w:r>
      <w:r w:rsidRPr="00AB1054">
        <w:rPr>
          <w:rFonts w:hint="eastAsia"/>
          <w:color w:val="auto"/>
          <w:rtl/>
        </w:rPr>
        <w:t>פיקוח</w:t>
      </w:r>
      <w:r w:rsidRPr="00AB1054">
        <w:rPr>
          <w:color w:val="auto"/>
          <w:rtl/>
        </w:rPr>
        <w:t xml:space="preserve"> </w:t>
      </w:r>
      <w:r w:rsidRPr="00AB1054">
        <w:rPr>
          <w:rFonts w:hint="eastAsia"/>
          <w:color w:val="auto"/>
          <w:rtl/>
        </w:rPr>
        <w:t>ובקרה</w:t>
      </w:r>
      <w:r w:rsidRPr="00AB1054">
        <w:rPr>
          <w:rFonts w:hint="cs"/>
          <w:color w:val="auto"/>
          <w:rtl/>
        </w:rPr>
        <w:t xml:space="preserve"> מיטביים בעניין מקדמי השיווק, על </w:t>
      </w:r>
      <w:proofErr w:type="spellStart"/>
      <w:r w:rsidRPr="00AB1054">
        <w:rPr>
          <w:rFonts w:hint="cs"/>
          <w:color w:val="auto"/>
          <w:rtl/>
        </w:rPr>
        <w:t>אפ"י</w:t>
      </w:r>
      <w:proofErr w:type="spellEnd"/>
      <w:r w:rsidRPr="00AB1054">
        <w:rPr>
          <w:rFonts w:hint="cs"/>
          <w:color w:val="auto"/>
          <w:rtl/>
        </w:rPr>
        <w:t xml:space="preserve"> לבנות מאגר מידע מלא ומפורט לגבי הגורמים הפועלים כמקדמי שיווק של החברות הביטחוניות - ישראלים וזרים - לרבות רישיונות השיווק שקיבלו או רישיונות השיווק והיצוא שבהם צוין שמם. </w:t>
      </w:r>
    </w:p>
    <w:p w:rsidR="00AB1054" w:rsidRPr="00FB29D8" w:rsidRDefault="006E7854" w:rsidP="00AB1054">
      <w:pPr>
        <w:pStyle w:val="7390"/>
      </w:pPr>
      <w:r w:rsidRPr="0063556C">
        <w:rPr>
          <w:rStyle w:val="7372"/>
          <w:rFonts w:hint="cs"/>
          <w:rtl/>
        </w:rPr>
        <w:lastRenderedPageBreak/>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bookmarkStart w:id="13" w:name="_Hlk196648969"/>
      <w:r w:rsidRPr="00FB29D8">
        <w:rPr>
          <w:rFonts w:hint="cs"/>
          <w:rtl/>
        </w:rPr>
        <w:t>מעורבות ה</w:t>
      </w:r>
      <w:r w:rsidRPr="00FB29D8">
        <w:rPr>
          <w:rtl/>
        </w:rPr>
        <w:t>דירקטוריון</w:t>
      </w:r>
      <w:r w:rsidRPr="00FB29D8">
        <w:rPr>
          <w:rFonts w:hint="cs"/>
          <w:rtl/>
        </w:rPr>
        <w:t xml:space="preserve"> של חברות ביטחוניות באישור </w:t>
      </w:r>
      <w:r w:rsidRPr="00FB29D8">
        <w:rPr>
          <w:rFonts w:hint="cs"/>
          <w:rtl/>
        </w:rPr>
        <w:t>התקשרויות עם מקדמי שיווק, לרבות העמלה המשולמת להם</w:t>
      </w:r>
      <w:bookmarkEnd w:id="13"/>
      <w:r w:rsidRPr="00FB29D8">
        <w:rPr>
          <w:rFonts w:hint="cs"/>
          <w:rtl/>
        </w:rPr>
        <w:t xml:space="preserve"> </w:t>
      </w:r>
    </w:p>
    <w:p w:rsidR="00AB1054" w:rsidRPr="00480FF5" w:rsidRDefault="006E7854" w:rsidP="006E7854">
      <w:pPr>
        <w:pStyle w:val="714"/>
        <w:numPr>
          <w:ilvl w:val="0"/>
          <w:numId w:val="11"/>
        </w:numPr>
        <w:rPr>
          <w:rStyle w:val="7391"/>
          <w:b/>
          <w:bCs w:val="0"/>
        </w:rPr>
      </w:pPr>
      <w:r w:rsidRPr="00480FF5">
        <w:rPr>
          <w:rStyle w:val="7391"/>
          <w:rFonts w:hint="cs"/>
          <w:b/>
          <w:bCs w:val="0"/>
          <w:rtl/>
        </w:rPr>
        <w:t xml:space="preserve">מומלץ כי הדירקטוריון יתקן את הפערים שעלו בנושא.  </w:t>
      </w:r>
    </w:p>
    <w:p w:rsidR="00AB1054" w:rsidRPr="00480FF5" w:rsidRDefault="006E7854" w:rsidP="006E7854">
      <w:pPr>
        <w:pStyle w:val="714"/>
        <w:numPr>
          <w:ilvl w:val="0"/>
          <w:numId w:val="11"/>
        </w:numPr>
        <w:rPr>
          <w:rStyle w:val="7391"/>
          <w:b/>
          <w:bCs w:val="0"/>
        </w:rPr>
      </w:pPr>
      <w:r w:rsidRPr="00480FF5">
        <w:rPr>
          <w:rStyle w:val="7391"/>
          <w:rFonts w:hint="cs"/>
          <w:b/>
          <w:bCs w:val="0"/>
          <w:rtl/>
        </w:rPr>
        <w:t>נוכח סיכוני הציות הגלומים בשימוש במקדמי שיווק בעסקאות יצוא, מומלץ שמנכ"ל משהב"ט יקבע מהי מידת המעורבות הרצויה של הדירקטוריון בחברה ביטחונית בכל הנוגע לשימו</w:t>
      </w:r>
      <w:r w:rsidRPr="00480FF5">
        <w:rPr>
          <w:rStyle w:val="7391"/>
          <w:rFonts w:hint="cs"/>
          <w:b/>
          <w:bCs w:val="0"/>
          <w:rtl/>
        </w:rPr>
        <w:t>ש במקדמי שיווק ולעמלה המשולמת להם, ולכל הפחות בעסקאות שבהן זהות מקדם השיווק מחייבת בקרה הדוקה יותר, בהתאם להגדרות שיקבע, ובעסקאות שבהן היקף העמלה - כשיעור מסכום העסקה או נומינלית - חריג. זאת, לשם קיום בקרה הדוקה יותר על הנהלת החברה בנושא זה כדי לצמצם את הס</w:t>
      </w:r>
      <w:r w:rsidRPr="00480FF5">
        <w:rPr>
          <w:rStyle w:val="7391"/>
          <w:rFonts w:hint="cs"/>
          <w:b/>
          <w:bCs w:val="0"/>
          <w:rtl/>
        </w:rPr>
        <w:t>יכון שבהפרת כללי הציות למניעת שוחד ושחיתות.</w:t>
      </w:r>
    </w:p>
    <w:p w:rsidR="00EB672B" w:rsidRPr="00AB1054" w:rsidRDefault="006E7854" w:rsidP="00EB672B">
      <w:pPr>
        <w:pStyle w:val="73f7"/>
        <w:rPr>
          <w:b/>
          <w:rtl/>
        </w:rPr>
      </w:pPr>
      <w:r w:rsidRPr="00AB1054">
        <w:rPr>
          <w:rStyle w:val="7372"/>
          <w:rFonts w:hint="cs"/>
          <w:b/>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bookmarkStart w:id="14" w:name="_Hlk189044022"/>
      <w:r w:rsidR="00AB1054" w:rsidRPr="00AB1054">
        <w:rPr>
          <w:rStyle w:val="7372"/>
          <w:rFonts w:hint="cs"/>
          <w:b/>
          <w:rtl/>
        </w:rPr>
        <w:t xml:space="preserve">הסדרה נורמטיבית </w:t>
      </w:r>
      <w:proofErr w:type="spellStart"/>
      <w:r w:rsidR="00AB1054" w:rsidRPr="00AB1054">
        <w:rPr>
          <w:rStyle w:val="7372"/>
          <w:rFonts w:hint="cs"/>
          <w:b/>
          <w:rtl/>
        </w:rPr>
        <w:t>במשהב"ט</w:t>
      </w:r>
      <w:proofErr w:type="spellEnd"/>
      <w:r w:rsidR="00AB1054" w:rsidRPr="00AB1054">
        <w:rPr>
          <w:rStyle w:val="7372"/>
          <w:rFonts w:hint="cs"/>
          <w:b/>
          <w:rtl/>
        </w:rPr>
        <w:t xml:space="preserve"> של נושא מקדמי השיווק</w:t>
      </w:r>
      <w:bookmarkEnd w:id="14"/>
    </w:p>
    <w:p w:rsidR="00AB1054" w:rsidRDefault="006E7854" w:rsidP="006E7854">
      <w:pPr>
        <w:pStyle w:val="714"/>
        <w:numPr>
          <w:ilvl w:val="0"/>
          <w:numId w:val="11"/>
        </w:numPr>
        <w:rPr>
          <w:rStyle w:val="7391"/>
          <w:b/>
          <w:bCs w:val="0"/>
        </w:rPr>
      </w:pPr>
      <w:r w:rsidRPr="00480FF5">
        <w:rPr>
          <w:rStyle w:val="7391"/>
          <w:rFonts w:hint="cs"/>
          <w:rtl/>
        </w:rPr>
        <w:t>הסדרת ניגודי עניינים בפעילותם של מקדמי השיווק במסגרת עסקאות יצוא ביטחוני -</w:t>
      </w:r>
      <w:r w:rsidRPr="00FB29D8">
        <w:rPr>
          <w:rStyle w:val="7391"/>
          <w:rFonts w:hint="cs"/>
          <w:b/>
          <w:bCs w:val="0"/>
          <w:rtl/>
        </w:rPr>
        <w:t xml:space="preserve"> היצואניות הביטחוניות מעסיקות מקדמי שיווק כדי שיגדילו את הסיכויים להבשלת הזדמנויות עסקיות לכ</w:t>
      </w:r>
      <w:r w:rsidRPr="00FB29D8">
        <w:rPr>
          <w:rStyle w:val="7391"/>
          <w:rFonts w:hint="cs"/>
          <w:b/>
          <w:bCs w:val="0"/>
          <w:rtl/>
        </w:rPr>
        <w:t>די עסקה, והן מתקשרות לשם כך גם עם גורמים בכירים לשעבר במעהב"ט המקושרים עם בעלי תפקידים מכהנים במשהב"ט. מומלץ כי בכל הנוגע לניגודי עניינים בין מקדמי השיווק הפועלים מטעם החברות הביטחוניות לבין גורמים במשהב"ט, יקבל המשרד מידע רלוונטי ישירות ממקדמי השיווק במסג</w:t>
      </w:r>
      <w:r w:rsidRPr="00FB29D8">
        <w:rPr>
          <w:rStyle w:val="7391"/>
          <w:rFonts w:hint="cs"/>
          <w:b/>
          <w:bCs w:val="0"/>
          <w:rtl/>
        </w:rPr>
        <w:t xml:space="preserve">רת הליך רישומם במרשם היצואנים ובכל בקשה מטעמם לרישיון שיווק, לרבות עמידתם בחוק </w:t>
      </w:r>
      <w:r w:rsidRPr="00FB29D8">
        <w:rPr>
          <w:rStyle w:val="7391"/>
          <w:b/>
          <w:bCs w:val="0"/>
          <w:rtl/>
        </w:rPr>
        <w:t xml:space="preserve">שירות הציבור (הגבלות לאחר פרישה), </w:t>
      </w:r>
      <w:r w:rsidRPr="00FB29D8">
        <w:rPr>
          <w:rStyle w:val="7391"/>
          <w:rFonts w:hint="cs"/>
          <w:b/>
          <w:bCs w:val="0"/>
          <w:rtl/>
        </w:rPr>
        <w:t>ה</w:t>
      </w:r>
      <w:r w:rsidRPr="00FB29D8">
        <w:rPr>
          <w:rStyle w:val="7391"/>
          <w:b/>
          <w:bCs w:val="0"/>
          <w:rtl/>
        </w:rPr>
        <w:t>תשכ"ט-1969</w:t>
      </w:r>
      <w:r w:rsidRPr="00FB29D8">
        <w:rPr>
          <w:rStyle w:val="7391"/>
          <w:rFonts w:hint="cs"/>
          <w:b/>
          <w:bCs w:val="0"/>
          <w:rtl/>
        </w:rPr>
        <w:t>(חוק הצינון). זאת לצורך פיקוח ובקרה של גורמי משהב"ט על סוגיית ניגודי עניינים של מקדמי שיווק בעסקאות יצוא ביטחוני.</w:t>
      </w:r>
    </w:p>
    <w:p w:rsidR="00AB1054" w:rsidRDefault="006E7854" w:rsidP="006E7854">
      <w:pPr>
        <w:pStyle w:val="714"/>
        <w:numPr>
          <w:ilvl w:val="0"/>
          <w:numId w:val="11"/>
        </w:numPr>
        <w:rPr>
          <w:rStyle w:val="7391"/>
          <w:b/>
          <w:bCs w:val="0"/>
        </w:rPr>
      </w:pPr>
      <w:r w:rsidRPr="00480FF5">
        <w:rPr>
          <w:rStyle w:val="7391"/>
          <w:rFonts w:hint="cs"/>
          <w:rtl/>
        </w:rPr>
        <w:t>הסדרת העמלות למקדמ</w:t>
      </w:r>
      <w:r w:rsidRPr="00480FF5">
        <w:rPr>
          <w:rStyle w:val="7391"/>
          <w:rFonts w:hint="cs"/>
          <w:rtl/>
        </w:rPr>
        <w:t>י השיווק בעסקאות יצוא ביטחוני של חברות ביטחוניות -</w:t>
      </w:r>
      <w:r w:rsidRPr="00480FF5">
        <w:rPr>
          <w:rStyle w:val="7391"/>
          <w:rFonts w:hint="cs"/>
          <w:b/>
          <w:bCs w:val="0"/>
          <w:rtl/>
        </w:rPr>
        <w:t xml:space="preserve"> </w:t>
      </w:r>
      <w:r w:rsidRPr="00FB29D8">
        <w:rPr>
          <w:rStyle w:val="7391"/>
          <w:rFonts w:hint="cs"/>
          <w:b/>
          <w:bCs w:val="0"/>
          <w:rtl/>
        </w:rPr>
        <w:t>על מנכ"ל משהב"ט לפעול בהקדם להשלמת גיבושה של הוראת המשרד בנוגע לעסקאות יצוא ביטחוני. בכלל זה מומלץ כי לאחר ש</w:t>
      </w:r>
      <w:r w:rsidRPr="00FB29D8">
        <w:rPr>
          <w:rStyle w:val="7391"/>
          <w:b/>
          <w:bCs w:val="0"/>
          <w:rtl/>
        </w:rPr>
        <w:t xml:space="preserve">משהב"ט </w:t>
      </w:r>
      <w:r w:rsidRPr="00FB29D8">
        <w:rPr>
          <w:rStyle w:val="7391"/>
          <w:rFonts w:hint="cs"/>
          <w:b/>
          <w:bCs w:val="0"/>
          <w:rtl/>
        </w:rPr>
        <w:t xml:space="preserve">יקבע </w:t>
      </w:r>
      <w:r w:rsidRPr="00FB29D8">
        <w:rPr>
          <w:rStyle w:val="7391"/>
          <w:b/>
          <w:bCs w:val="0"/>
          <w:rtl/>
        </w:rPr>
        <w:t xml:space="preserve">באיזה אופן ועל פי אילו קריטריונים הוא יקיים בקרה על שימוש </w:t>
      </w:r>
      <w:r w:rsidRPr="00FB29D8">
        <w:rPr>
          <w:rStyle w:val="7391"/>
          <w:rFonts w:hint="cs"/>
          <w:b/>
          <w:bCs w:val="0"/>
          <w:rtl/>
        </w:rPr>
        <w:t xml:space="preserve">החברות הביטחוניות </w:t>
      </w:r>
      <w:r w:rsidRPr="00FB29D8">
        <w:rPr>
          <w:rStyle w:val="7391"/>
          <w:b/>
          <w:bCs w:val="0"/>
          <w:rtl/>
        </w:rPr>
        <w:t xml:space="preserve">במקדמי שיווק במסגרת </w:t>
      </w:r>
      <w:r w:rsidRPr="00FB29D8">
        <w:rPr>
          <w:rStyle w:val="7391"/>
          <w:rFonts w:hint="cs"/>
          <w:b/>
          <w:bCs w:val="0"/>
          <w:rtl/>
        </w:rPr>
        <w:t>עסקאות אלה, ובכלל זה בכל הנוגע לעמלות המשולמות להם</w:t>
      </w:r>
      <w:r w:rsidRPr="00FB29D8">
        <w:rPr>
          <w:rStyle w:val="7391"/>
          <w:b/>
          <w:bCs w:val="0"/>
          <w:rtl/>
        </w:rPr>
        <w:t xml:space="preserve"> </w:t>
      </w:r>
      <w:r w:rsidRPr="00FB29D8">
        <w:rPr>
          <w:rStyle w:val="7391"/>
          <w:rFonts w:hint="cs"/>
          <w:b/>
          <w:bCs w:val="0"/>
          <w:rtl/>
        </w:rPr>
        <w:t>ול</w:t>
      </w:r>
      <w:r w:rsidRPr="00FB29D8">
        <w:rPr>
          <w:rStyle w:val="7391"/>
          <w:b/>
          <w:bCs w:val="0"/>
          <w:rtl/>
        </w:rPr>
        <w:t xml:space="preserve">הצהרות </w:t>
      </w:r>
      <w:r w:rsidRPr="00FB29D8">
        <w:rPr>
          <w:rStyle w:val="7391"/>
          <w:rFonts w:hint="cs"/>
          <w:b/>
          <w:bCs w:val="0"/>
          <w:rtl/>
        </w:rPr>
        <w:t xml:space="preserve">שנדרשות </w:t>
      </w:r>
      <w:r w:rsidRPr="00FB29D8">
        <w:rPr>
          <w:rStyle w:val="7391"/>
          <w:b/>
          <w:bCs w:val="0"/>
          <w:rtl/>
        </w:rPr>
        <w:t>מה</w:t>
      </w:r>
      <w:r w:rsidRPr="00FB29D8">
        <w:rPr>
          <w:rStyle w:val="7391"/>
          <w:rFonts w:hint="cs"/>
          <w:b/>
          <w:bCs w:val="0"/>
          <w:rtl/>
        </w:rPr>
        <w:t>חברות</w:t>
      </w:r>
      <w:r w:rsidRPr="00FB29D8">
        <w:rPr>
          <w:rStyle w:val="7391"/>
          <w:b/>
          <w:bCs w:val="0"/>
          <w:rtl/>
        </w:rPr>
        <w:t xml:space="preserve"> הביטחוניות </w:t>
      </w:r>
      <w:r w:rsidRPr="00FB29D8">
        <w:rPr>
          <w:rStyle w:val="7391"/>
          <w:rFonts w:hint="cs"/>
          <w:b/>
          <w:bCs w:val="0"/>
          <w:rtl/>
        </w:rPr>
        <w:t>לגביהם, הוא יעגן זאת בהוראה האמורה</w:t>
      </w:r>
      <w:r>
        <w:rPr>
          <w:rStyle w:val="7391"/>
          <w:rFonts w:hint="cs"/>
          <w:b/>
          <w:bCs w:val="0"/>
          <w:rtl/>
        </w:rPr>
        <w:t>.</w:t>
      </w:r>
    </w:p>
    <w:p w:rsidR="00AB1054" w:rsidRDefault="006E7854" w:rsidP="00FF48E9">
      <w:pPr>
        <w:pStyle w:val="714"/>
        <w:ind w:left="794"/>
        <w:rPr>
          <w:rStyle w:val="7391"/>
          <w:b/>
          <w:bCs w:val="0"/>
        </w:rPr>
      </w:pPr>
      <w:r w:rsidRPr="00FB29D8">
        <w:rPr>
          <w:rStyle w:val="7391"/>
          <w:rFonts w:hint="cs"/>
          <w:b/>
          <w:bCs w:val="0"/>
          <w:rtl/>
        </w:rPr>
        <w:t>על היועמ"ש למעהב"ט לבחון עם מחלקת ייעוץ וחקיקה במשרד המשפטים את תפקידו של משהב"ט באכיפת כללי הציות, בתחום היצוא ה</w:t>
      </w:r>
      <w:r w:rsidRPr="00FB29D8">
        <w:rPr>
          <w:rStyle w:val="7391"/>
          <w:rFonts w:hint="cs"/>
          <w:b/>
          <w:bCs w:val="0"/>
          <w:rtl/>
        </w:rPr>
        <w:t>ביטחוני, על החברות הביטחוניות; ובהמשך לכך לגבש את הכללים הנדרשים בעניין זה ולפעול להטמעתם במשהב"ט</w:t>
      </w:r>
      <w:r>
        <w:rPr>
          <w:rStyle w:val="7391"/>
          <w:rFonts w:hint="cs"/>
          <w:b/>
          <w:bCs w:val="0"/>
          <w:rtl/>
        </w:rPr>
        <w:t>.</w:t>
      </w:r>
    </w:p>
    <w:p w:rsidR="00AB1054" w:rsidRDefault="006E7854" w:rsidP="006E7854">
      <w:pPr>
        <w:pStyle w:val="714"/>
        <w:numPr>
          <w:ilvl w:val="0"/>
          <w:numId w:val="11"/>
        </w:numPr>
        <w:rPr>
          <w:rStyle w:val="7391"/>
          <w:b/>
          <w:bCs w:val="0"/>
        </w:rPr>
      </w:pPr>
      <w:r w:rsidRPr="00480FF5">
        <w:rPr>
          <w:rStyle w:val="7391"/>
          <w:rFonts w:hint="cs"/>
          <w:rtl/>
        </w:rPr>
        <w:t>הסדרת הממשק של עובדי משהב"ט עם מקדמי השיווק של החברות הביטחוניות -</w:t>
      </w:r>
      <w:r w:rsidRPr="00FB29D8">
        <w:rPr>
          <w:rStyle w:val="7391"/>
          <w:rFonts w:hint="cs"/>
          <w:b/>
          <w:bCs w:val="0"/>
          <w:rtl/>
        </w:rPr>
        <w:t xml:space="preserve"> על אגף התכנון לעגן בהוראת המשרד המתגבשת בנושא את איסור המנכ"ל על השתתפותם של מקדמי השיווק מטעם החברות הביטחוניות בפעילויות שמארגנים אגפי המשרד</w:t>
      </w:r>
      <w:r>
        <w:rPr>
          <w:rStyle w:val="7391"/>
          <w:rFonts w:hint="cs"/>
          <w:b/>
          <w:bCs w:val="0"/>
          <w:rtl/>
        </w:rPr>
        <w:t>.</w:t>
      </w:r>
    </w:p>
    <w:p w:rsidR="003116E6" w:rsidRDefault="006E7854" w:rsidP="006E7854">
      <w:pPr>
        <w:pStyle w:val="714"/>
        <w:numPr>
          <w:ilvl w:val="0"/>
          <w:numId w:val="11"/>
        </w:numPr>
        <w:rPr>
          <w:rStyle w:val="7391"/>
          <w:b/>
          <w:bCs w:val="0"/>
        </w:rPr>
      </w:pPr>
      <w:r w:rsidRPr="00480FF5">
        <w:rPr>
          <w:rStyle w:val="7391"/>
          <w:rFonts w:hint="cs"/>
          <w:rtl/>
        </w:rPr>
        <w:lastRenderedPageBreak/>
        <w:t xml:space="preserve">הסדרת פעילות משהב"ט להבטחת עמידת החברות הביטחוניות בהנחיות </w:t>
      </w:r>
      <w:r w:rsidR="00FF48E9" w:rsidRPr="00480FF5">
        <w:rPr>
          <w:rStyle w:val="7391"/>
          <w:rtl/>
        </w:rPr>
        <w:br/>
      </w:r>
      <w:r w:rsidRPr="00480FF5">
        <w:rPr>
          <w:rStyle w:val="7391"/>
          <w:rFonts w:hint="cs"/>
          <w:rtl/>
        </w:rPr>
        <w:t>ה-</w:t>
      </w:r>
      <w:r w:rsidRPr="00FB29D8">
        <w:rPr>
          <w:rStyle w:val="7391"/>
          <w:rFonts w:hint="cs"/>
          <w:b/>
          <w:bCs w:val="0"/>
        </w:rPr>
        <w:t>OECD</w:t>
      </w:r>
      <w:r w:rsidRPr="00FB29D8">
        <w:rPr>
          <w:rStyle w:val="7391"/>
          <w:rFonts w:hint="cs"/>
          <w:b/>
          <w:bCs w:val="0"/>
          <w:rtl/>
        </w:rPr>
        <w:t xml:space="preserve"> </w:t>
      </w:r>
      <w:r w:rsidRPr="00480FF5">
        <w:rPr>
          <w:rStyle w:val="7391"/>
          <w:rFonts w:hint="cs"/>
          <w:rtl/>
        </w:rPr>
        <w:t>-</w:t>
      </w:r>
      <w:r w:rsidRPr="00FB29D8">
        <w:rPr>
          <w:rStyle w:val="7391"/>
          <w:rFonts w:hint="cs"/>
          <w:b/>
          <w:bCs w:val="0"/>
          <w:rtl/>
        </w:rPr>
        <w:t xml:space="preserve"> מומלץ כי אגף התכנון יפעל לעגן בהוראות משהב</w:t>
      </w:r>
      <w:r w:rsidRPr="00FB29D8">
        <w:rPr>
          <w:rStyle w:val="7391"/>
          <w:rFonts w:hint="cs"/>
          <w:b/>
          <w:bCs w:val="0"/>
          <w:rtl/>
        </w:rPr>
        <w:t>"ט את כלל הפעולות הנדרשות בכל הנוגע למניעת שוחד ושחיתות בעסקאות יצוא ביטחוני ואת הגורמים האחראים לביצוען, לרבות גורם מתכלל. זאת כדי שמדינת ישראל תעמוד בהתחייבויותיה השונות בנושא ותמזער את חשיפתה לסיכונים השונים בתחום</w:t>
      </w:r>
      <w:r>
        <w:rPr>
          <w:rStyle w:val="7391"/>
          <w:rFonts w:hint="cs"/>
          <w:b/>
          <w:bCs w:val="0"/>
          <w:rtl/>
        </w:rPr>
        <w:t>.</w:t>
      </w:r>
    </w:p>
    <w:p w:rsidR="003116E6" w:rsidRDefault="006E7854">
      <w:pPr>
        <w:bidi w:val="0"/>
        <w:spacing w:after="200" w:line="276" w:lineRule="auto"/>
        <w:rPr>
          <w:rStyle w:val="7391"/>
          <w:b/>
          <w:bCs w:val="0"/>
        </w:rPr>
      </w:pPr>
      <w:r>
        <w:rPr>
          <w:rStyle w:val="7391"/>
          <w:b/>
          <w:bCs w:val="0"/>
        </w:rPr>
        <w:br w:type="page"/>
      </w:r>
    </w:p>
    <w:p w:rsidR="005D0F8C" w:rsidRDefault="006E7854" w:rsidP="00EB672B">
      <w:pPr>
        <w:pStyle w:val="73f7"/>
        <w:rPr>
          <w:rtl/>
        </w:rPr>
      </w:pPr>
      <w:r w:rsidRPr="00D527BD">
        <w:rPr>
          <w:noProof/>
          <w:szCs w:val="20"/>
          <w:rtl/>
        </w:rPr>
        <w:lastRenderedPageBreak/>
        <mc:AlternateContent>
          <mc:Choice Requires="wps">
            <w:drawing>
              <wp:anchor distT="0" distB="0" distL="114300" distR="114300" simplePos="0" relativeHeight="251676672" behindDoc="0" locked="0" layoutInCell="1" allowOverlap="1">
                <wp:simplePos x="0" y="0"/>
                <wp:positionH relativeFrom="column">
                  <wp:posOffset>86360</wp:posOffset>
                </wp:positionH>
                <wp:positionV relativeFrom="paragraph">
                  <wp:posOffset>57573</wp:posOffset>
                </wp:positionV>
                <wp:extent cx="4436745" cy="435128"/>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rsidR="005D0F8C" w:rsidRPr="005C7ABF" w:rsidRDefault="006E7854" w:rsidP="00524400">
                            <w:pPr>
                              <w:pStyle w:val="73ff"/>
                              <w:rPr>
                                <w:rtl/>
                              </w:rPr>
                            </w:pPr>
                            <w:r w:rsidRPr="00FF48E9">
                              <w:rPr>
                                <w:rtl/>
                              </w:rPr>
                              <w:t>מדד "תפיסת השחיתות" בעולם בשנת 20</w:t>
                            </w:r>
                            <w:r w:rsidRPr="00FF48E9">
                              <w:rPr>
                                <w:rtl/>
                              </w:rPr>
                              <w:t>24</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4.55pt;margin-left:6.8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524400" w14:paraId="1D5D7976" w14:textId="3E159D90">
                      <w:pPr>
                        <w:pStyle w:val="7332"/>
                        <w:rPr>
                          <w:rtl/>
                        </w:rPr>
                      </w:pPr>
                      <w:r w:rsidRPr="00FF48E9">
                        <w:rPr>
                          <w:rtl/>
                        </w:rPr>
                        <w:t>מדד "תפיסת השחיתות" בעולם בשנת 2024</w:t>
                      </w:r>
                    </w:p>
                  </w:txbxContent>
                </v:textbox>
              </v:shape>
            </w:pict>
          </mc:Fallback>
        </mc:AlternateContent>
      </w:r>
      <w:r w:rsidR="00D57BE9" w:rsidRPr="00D527BD">
        <w:rPr>
          <w:noProof/>
          <w:szCs w:val="20"/>
          <w:rtl/>
        </w:rPr>
        <w:drawing>
          <wp:anchor distT="0" distB="0" distL="114300" distR="114300" simplePos="0" relativeHeight="2516756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RDefault="005D0F8C" w:rsidP="005D0F8C">
      <w:pPr>
        <w:pStyle w:val="73f7"/>
        <w:rPr>
          <w:rtl/>
        </w:rPr>
      </w:pPr>
    </w:p>
    <w:p w:rsidR="005D0F8C" w:rsidRPr="00D57BE9" w:rsidRDefault="005D0F8C" w:rsidP="00D57BE9">
      <w:pPr>
        <w:rPr>
          <w:rtl/>
        </w:rPr>
      </w:pPr>
    </w:p>
    <w:p w:rsidR="00D57BE9" w:rsidRPr="00D57BE9" w:rsidRDefault="006E7854" w:rsidP="00D57BE9">
      <w:pPr>
        <w:rPr>
          <w:rtl/>
        </w:rPr>
      </w:pPr>
      <w:bookmarkStart w:id="15" w:name="_GoBack"/>
      <w:r>
        <w:rPr>
          <w:noProof/>
        </w:rPr>
        <w:drawing>
          <wp:inline distT="0" distB="0" distL="0" distR="0">
            <wp:extent cx="4679950" cy="3355833"/>
            <wp:effectExtent l="0" t="0" r="0" b="0"/>
            <wp:docPr id="2" name="תמונה 2" descr="בתרשים מוצגת מפה של מדינות העולם ומדד &quot;תפיסת השחיתות&quot; במדינות אלו בשנת 2024 בהתאם לארגון &quot;שקיפות בין לאומית&quot;. הצבעים בתרשים נעים בסקלה שבין אדום - המסמן מדד בציון אפס ומדינה הנתפסת עם שחיתות גבוהה, לבין צהוב - המסמן מדד בציון מאה ומדינה הנתפסת עם שחיתות נמוכה. ישראל מצוינת במפה עם המדד 64."/>
            <wp:cNvGraphicFramePr/>
            <a:graphic xmlns:a="http://schemas.openxmlformats.org/drawingml/2006/main">
              <a:graphicData uri="http://schemas.openxmlformats.org/drawingml/2006/picture">
                <pic:pic xmlns:pic="http://schemas.openxmlformats.org/drawingml/2006/picture">
                  <pic:nvPicPr>
                    <pic:cNvPr id="2" name="תמונה 3"/>
                    <pic:cNvPicPr/>
                  </pic:nvPicPr>
                  <pic:blipFill>
                    <a:blip r:embed="rId29"/>
                    <a:stretch>
                      <a:fillRect/>
                    </a:stretch>
                  </pic:blipFill>
                  <pic:spPr>
                    <a:xfrm>
                      <a:off x="0" y="0"/>
                      <a:ext cx="4679950" cy="3355833"/>
                    </a:xfrm>
                    <a:prstGeom prst="rect">
                      <a:avLst/>
                    </a:prstGeom>
                  </pic:spPr>
                </pic:pic>
              </a:graphicData>
            </a:graphic>
          </wp:inline>
        </w:drawing>
      </w:r>
      <w:bookmarkEnd w:id="15"/>
    </w:p>
    <w:p w:rsidR="00FF48E9" w:rsidRPr="00163F68" w:rsidRDefault="006E7854" w:rsidP="00FF48E9">
      <w:pPr>
        <w:pStyle w:val="73e"/>
        <w:rPr>
          <w:rtl/>
        </w:rPr>
      </w:pPr>
      <w:r w:rsidRPr="00163F68">
        <w:rPr>
          <w:rFonts w:hint="cs"/>
          <w:rtl/>
        </w:rPr>
        <w:t>מקור: אתר ארגון "שקיפות בין-לאומית"</w:t>
      </w:r>
      <w:bookmarkStart w:id="16" w:name="_Hlk190847504"/>
      <w:r>
        <w:rPr>
          <w:vertAlign w:val="superscript"/>
          <w:rtl/>
        </w:rPr>
        <w:footnoteReference w:id="17"/>
      </w:r>
      <w:bookmarkEnd w:id="16"/>
      <w:r w:rsidRPr="00163F68">
        <w:rPr>
          <w:rFonts w:hint="cs"/>
          <w:rtl/>
        </w:rPr>
        <w:t>.</w:t>
      </w:r>
    </w:p>
    <w:p w:rsidR="00362505" w:rsidRDefault="006E7854">
      <w:pPr>
        <w:bidi w:val="0"/>
        <w:spacing w:after="200" w:line="276" w:lineRule="auto"/>
        <w:rPr>
          <w:rFonts w:ascii="Tahoma" w:hAnsi="Tahoma" w:cs="Tahoma"/>
          <w:color w:val="0D0D0D" w:themeColor="text1" w:themeTint="F2"/>
          <w:sz w:val="16"/>
          <w:szCs w:val="16"/>
          <w:rtl/>
        </w:rPr>
      </w:pPr>
      <w:r>
        <w:rPr>
          <w:rtl/>
        </w:rPr>
        <w:br w:type="page"/>
      </w:r>
    </w:p>
    <w:p w:rsidR="004E71DD" w:rsidRDefault="006E7854" w:rsidP="004E71DD">
      <w:pPr>
        <w:pStyle w:val="732"/>
        <w:rPr>
          <w:rtl/>
        </w:rPr>
      </w:pPr>
      <w:r w:rsidRPr="00EF3061">
        <w:rPr>
          <w:rFonts w:hint="cs"/>
          <w:rtl/>
        </w:rPr>
        <w:lastRenderedPageBreak/>
        <w:t>סיכום</w:t>
      </w:r>
    </w:p>
    <w:p w:rsidR="001207F1" w:rsidRPr="00163F68" w:rsidRDefault="006E7854" w:rsidP="001207F1">
      <w:pPr>
        <w:widowControl w:val="0"/>
        <w:tabs>
          <w:tab w:val="left" w:pos="9604"/>
        </w:tabs>
        <w:spacing w:before="240" w:line="276" w:lineRule="auto"/>
        <w:ind w:left="-1"/>
        <w:rPr>
          <w:rFonts w:ascii="Tahoma" w:hAnsi="Tahoma" w:cs="Tahoma"/>
          <w:sz w:val="18"/>
          <w:szCs w:val="18"/>
          <w:rtl/>
        </w:rPr>
      </w:pPr>
      <w:r w:rsidRPr="00163F68">
        <w:rPr>
          <w:rFonts w:ascii="Tahoma" w:hAnsi="Tahoma" w:cs="Tahoma" w:hint="cs"/>
          <w:sz w:val="18"/>
          <w:szCs w:val="18"/>
          <w:rtl/>
        </w:rPr>
        <w:t xml:space="preserve">ליצוא הביטחוני של מדינת ישראל יש תרומה רבה לביטחונה, לצמיחתה הכלכלית ולחוסנה הלאומי, והוא מהווה נתח משמעותי ממכירותיהן של החברות הביטחוניות. </w:t>
      </w:r>
      <w:r w:rsidRPr="00163F68">
        <w:rPr>
          <w:rFonts w:ascii="Tahoma" w:hAnsi="Tahoma" w:cs="Tahoma"/>
          <w:sz w:val="18"/>
          <w:szCs w:val="18"/>
          <w:rtl/>
        </w:rPr>
        <w:t>בשנים 2018 - 202</w:t>
      </w:r>
      <w:r w:rsidRPr="00163F68">
        <w:rPr>
          <w:rFonts w:ascii="Tahoma" w:hAnsi="Tahoma" w:cs="Tahoma" w:hint="cs"/>
          <w:sz w:val="18"/>
          <w:szCs w:val="18"/>
          <w:rtl/>
        </w:rPr>
        <w:t>3</w:t>
      </w:r>
      <w:r w:rsidRPr="00163F68">
        <w:rPr>
          <w:rFonts w:ascii="Tahoma" w:hAnsi="Tahoma" w:cs="Tahoma"/>
          <w:sz w:val="18"/>
          <w:szCs w:val="18"/>
          <w:rtl/>
        </w:rPr>
        <w:t xml:space="preserve"> </w:t>
      </w:r>
      <w:r w:rsidRPr="00163F68">
        <w:rPr>
          <w:rFonts w:ascii="Tahoma" w:hAnsi="Tahoma" w:cs="Tahoma" w:hint="cs"/>
          <w:sz w:val="18"/>
          <w:szCs w:val="18"/>
          <w:rtl/>
        </w:rPr>
        <w:t xml:space="preserve">הסתכם </w:t>
      </w:r>
      <w:r w:rsidRPr="00163F68">
        <w:rPr>
          <w:rFonts w:ascii="Tahoma" w:hAnsi="Tahoma" w:cs="Tahoma"/>
          <w:sz w:val="18"/>
          <w:szCs w:val="18"/>
          <w:rtl/>
        </w:rPr>
        <w:t xml:space="preserve">היצוא הביטחוני </w:t>
      </w:r>
      <w:r w:rsidRPr="00163F68">
        <w:rPr>
          <w:rFonts w:ascii="Tahoma" w:hAnsi="Tahoma" w:cs="Tahoma" w:hint="cs"/>
          <w:sz w:val="18"/>
          <w:szCs w:val="18"/>
          <w:rtl/>
        </w:rPr>
        <w:t xml:space="preserve">של ישראל </w:t>
      </w:r>
      <w:r w:rsidRPr="00163F68">
        <w:rPr>
          <w:rFonts w:ascii="Tahoma" w:hAnsi="Tahoma" w:cs="Tahoma"/>
          <w:sz w:val="18"/>
          <w:szCs w:val="18"/>
          <w:rtl/>
        </w:rPr>
        <w:t>בכ-</w:t>
      </w:r>
      <w:r w:rsidRPr="00163F68">
        <w:rPr>
          <w:rFonts w:ascii="Tahoma" w:hAnsi="Tahoma" w:cs="Tahoma" w:hint="cs"/>
          <w:sz w:val="18"/>
          <w:szCs w:val="18"/>
          <w:rtl/>
        </w:rPr>
        <w:t xml:space="preserve">60.5 </w:t>
      </w:r>
      <w:r w:rsidRPr="00163F68">
        <w:rPr>
          <w:rFonts w:ascii="Tahoma" w:hAnsi="Tahoma" w:cs="Tahoma"/>
          <w:sz w:val="18"/>
          <w:szCs w:val="18"/>
          <w:rtl/>
        </w:rPr>
        <w:t>מיליארד דולר</w:t>
      </w:r>
      <w:r w:rsidRPr="00163F68">
        <w:rPr>
          <w:rFonts w:ascii="Tahoma" w:hAnsi="Tahoma" w:cs="Tahoma" w:hint="cs"/>
          <w:sz w:val="18"/>
          <w:szCs w:val="18"/>
          <w:rtl/>
        </w:rPr>
        <w:t>.</w:t>
      </w:r>
      <w:r w:rsidRPr="00163F68">
        <w:rPr>
          <w:rFonts w:ascii="Tahoma" w:hAnsi="Tahoma" w:cs="Tahoma"/>
          <w:sz w:val="18"/>
          <w:szCs w:val="18"/>
          <w:rtl/>
        </w:rPr>
        <w:t xml:space="preserve"> </w:t>
      </w:r>
    </w:p>
    <w:p w:rsidR="001207F1" w:rsidRPr="00163F68" w:rsidRDefault="006E7854" w:rsidP="001207F1">
      <w:pPr>
        <w:widowControl w:val="0"/>
        <w:tabs>
          <w:tab w:val="left" w:pos="9604"/>
        </w:tabs>
        <w:spacing w:before="240" w:line="276" w:lineRule="auto"/>
        <w:ind w:left="-1"/>
        <w:rPr>
          <w:rFonts w:ascii="Tahoma" w:hAnsi="Tahoma" w:cs="Tahoma"/>
          <w:sz w:val="18"/>
          <w:szCs w:val="18"/>
          <w:rtl/>
        </w:rPr>
      </w:pPr>
      <w:r w:rsidRPr="00163F68">
        <w:rPr>
          <w:rFonts w:ascii="Tahoma" w:hAnsi="Tahoma" w:cs="Tahoma" w:hint="cs"/>
          <w:sz w:val="18"/>
          <w:szCs w:val="18"/>
          <w:rtl/>
        </w:rPr>
        <w:t>כדי להגדיל את הסיכויים להבשלת הזדמנויות עסקיות לכדי עסקה מעסיקות החברות מקדמי שיווק. העמלות שהתחייבו חברות ביטחוניות לשלם למקדמי שיווק בשנים 2022 - 2024 היו בסך של מאות מיליוני דולר.</w:t>
      </w:r>
    </w:p>
    <w:p w:rsidR="001207F1" w:rsidRPr="00163F68" w:rsidRDefault="006E7854" w:rsidP="001207F1">
      <w:pPr>
        <w:widowControl w:val="0"/>
        <w:tabs>
          <w:tab w:val="left" w:pos="9604"/>
        </w:tabs>
        <w:spacing w:before="240" w:line="276" w:lineRule="auto"/>
        <w:ind w:left="-1"/>
        <w:rPr>
          <w:rFonts w:ascii="Tahoma" w:hAnsi="Tahoma" w:cs="Tahoma"/>
          <w:sz w:val="18"/>
          <w:szCs w:val="18"/>
          <w:rtl/>
        </w:rPr>
      </w:pPr>
      <w:r w:rsidRPr="00163F68">
        <w:rPr>
          <w:rFonts w:ascii="Tahoma" w:hAnsi="Tahoma" w:cs="Tahoma" w:hint="cs"/>
          <w:sz w:val="18"/>
          <w:szCs w:val="18"/>
          <w:rtl/>
        </w:rPr>
        <w:t>לצד התועלות שעשויות להיות לחברות הביטחוניות מפעילותם של מק</w:t>
      </w:r>
      <w:r w:rsidRPr="00163F68">
        <w:rPr>
          <w:rFonts w:ascii="Tahoma" w:hAnsi="Tahoma" w:cs="Tahoma" w:hint="cs"/>
          <w:sz w:val="18"/>
          <w:szCs w:val="18"/>
          <w:rtl/>
        </w:rPr>
        <w:t xml:space="preserve">דמי השיווק, השימוש בהם עלול להיות כרוך </w:t>
      </w:r>
      <w:r w:rsidRPr="00163F68">
        <w:rPr>
          <w:rFonts w:ascii="Tahoma" w:hAnsi="Tahoma" w:cs="Tahoma"/>
          <w:sz w:val="18"/>
          <w:szCs w:val="18"/>
          <w:rtl/>
        </w:rPr>
        <w:t>בסיכון גבוה בהיבטי ציות</w:t>
      </w:r>
      <w:r w:rsidRPr="00163F68">
        <w:rPr>
          <w:rFonts w:ascii="Tahoma" w:hAnsi="Tahoma" w:cs="Tahoma" w:hint="cs"/>
          <w:sz w:val="18"/>
          <w:szCs w:val="18"/>
          <w:rtl/>
        </w:rPr>
        <w:t xml:space="preserve"> ואסדרה בנושא השוחד לעובדי ציבור זרים. </w:t>
      </w:r>
      <w:r w:rsidRPr="00163F68">
        <w:rPr>
          <w:rFonts w:ascii="Tahoma" w:hAnsi="Tahoma" w:cs="Tahoma" w:hint="eastAsia"/>
          <w:sz w:val="18"/>
          <w:szCs w:val="18"/>
          <w:rtl/>
        </w:rPr>
        <w:t>כמו</w:t>
      </w:r>
      <w:r w:rsidRPr="00163F68">
        <w:rPr>
          <w:rFonts w:ascii="Tahoma" w:hAnsi="Tahoma" w:cs="Tahoma"/>
          <w:sz w:val="18"/>
          <w:szCs w:val="18"/>
          <w:rtl/>
        </w:rPr>
        <w:t xml:space="preserve"> כן, קיים סיכון בשימוש במקדמי שיווק ישראלים המצויים בקשרים אישיים עם גורמים בכירים </w:t>
      </w:r>
      <w:proofErr w:type="spellStart"/>
      <w:r w:rsidRPr="00163F68">
        <w:rPr>
          <w:rFonts w:ascii="Tahoma" w:hAnsi="Tahoma" w:cs="Tahoma" w:hint="eastAsia"/>
          <w:sz w:val="18"/>
          <w:szCs w:val="18"/>
          <w:rtl/>
        </w:rPr>
        <w:t>במשהב</w:t>
      </w:r>
      <w:r w:rsidRPr="00163F68">
        <w:rPr>
          <w:rFonts w:ascii="Tahoma" w:hAnsi="Tahoma" w:cs="Tahoma"/>
          <w:sz w:val="18"/>
          <w:szCs w:val="18"/>
          <w:rtl/>
        </w:rPr>
        <w:t>"ט</w:t>
      </w:r>
      <w:proofErr w:type="spellEnd"/>
      <w:r w:rsidRPr="00163F68">
        <w:rPr>
          <w:rFonts w:ascii="Tahoma" w:hAnsi="Tahoma" w:cs="Tahoma"/>
          <w:sz w:val="18"/>
          <w:szCs w:val="18"/>
          <w:rtl/>
        </w:rPr>
        <w:t>, נוכח החשש כי קשרים אלו יובילו לניגודי עניינים וכתוצאה מכך לק</w:t>
      </w:r>
      <w:r w:rsidRPr="00163F68">
        <w:rPr>
          <w:rFonts w:ascii="Tahoma" w:hAnsi="Tahoma" w:cs="Tahoma"/>
          <w:sz w:val="18"/>
          <w:szCs w:val="18"/>
          <w:rtl/>
        </w:rPr>
        <w:t xml:space="preserve">בלת החלטות לא מיטביות של </w:t>
      </w:r>
      <w:proofErr w:type="spellStart"/>
      <w:r w:rsidRPr="00163F68">
        <w:rPr>
          <w:rFonts w:ascii="Tahoma" w:hAnsi="Tahoma" w:cs="Tahoma" w:hint="eastAsia"/>
          <w:sz w:val="18"/>
          <w:szCs w:val="18"/>
          <w:rtl/>
        </w:rPr>
        <w:t>משהב</w:t>
      </w:r>
      <w:r w:rsidRPr="00163F68">
        <w:rPr>
          <w:rFonts w:ascii="Tahoma" w:hAnsi="Tahoma" w:cs="Tahoma"/>
          <w:sz w:val="18"/>
          <w:szCs w:val="18"/>
          <w:rtl/>
        </w:rPr>
        <w:t>"ט</w:t>
      </w:r>
      <w:proofErr w:type="spellEnd"/>
      <w:r w:rsidRPr="00163F68">
        <w:rPr>
          <w:rFonts w:ascii="Tahoma" w:hAnsi="Tahoma" w:cs="Tahoma"/>
          <w:sz w:val="18"/>
          <w:szCs w:val="18"/>
          <w:rtl/>
        </w:rPr>
        <w:t xml:space="preserve"> בעסקאות יצוא </w:t>
      </w:r>
      <w:r w:rsidRPr="00163F68">
        <w:rPr>
          <w:rFonts w:ascii="Tahoma" w:hAnsi="Tahoma" w:cs="Tahoma" w:hint="eastAsia"/>
          <w:sz w:val="18"/>
          <w:szCs w:val="18"/>
          <w:rtl/>
        </w:rPr>
        <w:t>ביטחוני</w:t>
      </w:r>
      <w:r w:rsidRPr="00163F68">
        <w:rPr>
          <w:rFonts w:ascii="Tahoma" w:hAnsi="Tahoma" w:cs="Tahoma"/>
          <w:sz w:val="18"/>
          <w:szCs w:val="18"/>
          <w:rtl/>
        </w:rPr>
        <w:t xml:space="preserve">, ולפגיעה בזכות להזדמנות שווה. מימושו של סיכון זה עלול אף להביא לפגיעה באמון הציבור </w:t>
      </w:r>
      <w:proofErr w:type="spellStart"/>
      <w:r w:rsidRPr="00163F68">
        <w:rPr>
          <w:rFonts w:ascii="Tahoma" w:hAnsi="Tahoma" w:cs="Tahoma" w:hint="eastAsia"/>
          <w:sz w:val="18"/>
          <w:szCs w:val="18"/>
          <w:rtl/>
        </w:rPr>
        <w:t>במינהל</w:t>
      </w:r>
      <w:proofErr w:type="spellEnd"/>
      <w:r w:rsidRPr="00163F68">
        <w:rPr>
          <w:rFonts w:ascii="Tahoma" w:hAnsi="Tahoma" w:cs="Tahoma"/>
          <w:sz w:val="18"/>
          <w:szCs w:val="18"/>
          <w:rtl/>
        </w:rPr>
        <w:t xml:space="preserve"> הציבורי. </w:t>
      </w:r>
    </w:p>
    <w:p w:rsidR="001207F1" w:rsidRPr="00163F68" w:rsidRDefault="006E7854" w:rsidP="001207F1">
      <w:pPr>
        <w:widowControl w:val="0"/>
        <w:tabs>
          <w:tab w:val="left" w:pos="9604"/>
        </w:tabs>
        <w:spacing w:before="240" w:line="276" w:lineRule="auto"/>
        <w:ind w:left="-1"/>
        <w:rPr>
          <w:rFonts w:ascii="Tahoma" w:hAnsi="Tahoma" w:cs="Tahoma"/>
          <w:sz w:val="18"/>
          <w:szCs w:val="18"/>
          <w:rtl/>
        </w:rPr>
      </w:pPr>
      <w:r w:rsidRPr="00163F68">
        <w:rPr>
          <w:rFonts w:ascii="Tahoma" w:hAnsi="Tahoma" w:cs="Tahoma" w:hint="cs"/>
          <w:sz w:val="18"/>
          <w:szCs w:val="18"/>
          <w:rtl/>
        </w:rPr>
        <w:t xml:space="preserve">בביקורת נמצאו ליקויים מהותיים בכל הנוגע לפיקוח ולבקרה של </w:t>
      </w:r>
      <w:proofErr w:type="spellStart"/>
      <w:r w:rsidRPr="00163F68">
        <w:rPr>
          <w:rFonts w:ascii="Tahoma" w:hAnsi="Tahoma" w:cs="Tahoma" w:hint="cs"/>
          <w:sz w:val="18"/>
          <w:szCs w:val="18"/>
          <w:rtl/>
        </w:rPr>
        <w:t>משהב"ט</w:t>
      </w:r>
      <w:proofErr w:type="spellEnd"/>
      <w:r w:rsidRPr="00163F68">
        <w:rPr>
          <w:rFonts w:ascii="Tahoma" w:hAnsi="Tahoma" w:cs="Tahoma" w:hint="cs"/>
          <w:sz w:val="18"/>
          <w:szCs w:val="18"/>
          <w:rtl/>
        </w:rPr>
        <w:t xml:space="preserve"> על השימוש של החברות הביטחוניות במקדמי </w:t>
      </w:r>
      <w:r w:rsidRPr="00163F68">
        <w:rPr>
          <w:rFonts w:ascii="Tahoma" w:hAnsi="Tahoma" w:cs="Tahoma" w:hint="cs"/>
          <w:sz w:val="18"/>
          <w:szCs w:val="18"/>
          <w:rtl/>
        </w:rPr>
        <w:t xml:space="preserve">שיווק, ובכלל זה: אי-קביעת כללים הנוגעים לפיקוח על השימוש במקדמי שיווק, היעדר קביעה לגבי אמצעים שראוי כי חברות ביטחוניות בינוניות וקטנות יאמצו כדי למנוע שחיתות במסגרת עסקאות של יצוא ביטחוני; אי-גיבוש החלטה </w:t>
      </w:r>
      <w:proofErr w:type="spellStart"/>
      <w:r w:rsidRPr="00163F68">
        <w:rPr>
          <w:rFonts w:ascii="Tahoma" w:hAnsi="Tahoma" w:cs="Tahoma" w:hint="cs"/>
          <w:sz w:val="18"/>
          <w:szCs w:val="18"/>
          <w:rtl/>
        </w:rPr>
        <w:t>במשהב"ט</w:t>
      </w:r>
      <w:proofErr w:type="spellEnd"/>
      <w:r w:rsidRPr="00163F68">
        <w:rPr>
          <w:rFonts w:ascii="Tahoma" w:hAnsi="Tahoma" w:cs="Tahoma" w:hint="cs"/>
          <w:sz w:val="18"/>
          <w:szCs w:val="18"/>
          <w:rtl/>
        </w:rPr>
        <w:t xml:space="preserve"> בדבר קיום בקרה על </w:t>
      </w:r>
      <w:proofErr w:type="spellStart"/>
      <w:r w:rsidRPr="00163F68">
        <w:rPr>
          <w:rFonts w:ascii="Tahoma" w:hAnsi="Tahoma" w:cs="Tahoma" w:hint="cs"/>
          <w:sz w:val="18"/>
          <w:szCs w:val="18"/>
          <w:rtl/>
        </w:rPr>
        <w:t>תוכניות</w:t>
      </w:r>
      <w:proofErr w:type="spellEnd"/>
      <w:r w:rsidRPr="00163F68">
        <w:rPr>
          <w:rFonts w:ascii="Tahoma" w:hAnsi="Tahoma" w:cs="Tahoma" w:hint="cs"/>
          <w:sz w:val="18"/>
          <w:szCs w:val="18"/>
          <w:rtl/>
        </w:rPr>
        <w:t xml:space="preserve"> הציות של החברות ה</w:t>
      </w:r>
      <w:r w:rsidRPr="00163F68">
        <w:rPr>
          <w:rFonts w:ascii="Tahoma" w:hAnsi="Tahoma" w:cs="Tahoma" w:hint="cs"/>
          <w:sz w:val="18"/>
          <w:szCs w:val="18"/>
          <w:rtl/>
        </w:rPr>
        <w:t xml:space="preserve">ביטחוניות, וממילא גם לא בדבר אופי הבקרה והיקפה; אי-קיום פיקוח ובקרה על זהות מקדמי השיווק; אי-הסדרת סוגיית הבקרה על שימוש החברות הביטחוניות במקדמי שיווק, לרבות מידת מעורבות הנדרשת של דירקטוריון חברה באישור מקדם השיווק והעמלה המשולמת לו; אי-עיגון בהוראות של </w:t>
      </w:r>
      <w:r w:rsidRPr="00163F68">
        <w:rPr>
          <w:rFonts w:ascii="Tahoma" w:hAnsi="Tahoma" w:cs="Tahoma" w:hint="cs"/>
          <w:sz w:val="18"/>
          <w:szCs w:val="18"/>
          <w:rtl/>
        </w:rPr>
        <w:t xml:space="preserve">הפעולות שעל אגפי </w:t>
      </w:r>
      <w:proofErr w:type="spellStart"/>
      <w:r w:rsidRPr="00163F68">
        <w:rPr>
          <w:rFonts w:ascii="Tahoma" w:hAnsi="Tahoma" w:cs="Tahoma" w:hint="cs"/>
          <w:sz w:val="18"/>
          <w:szCs w:val="18"/>
          <w:rtl/>
        </w:rPr>
        <w:t>משהב"ט</w:t>
      </w:r>
      <w:proofErr w:type="spellEnd"/>
      <w:r w:rsidRPr="00163F68">
        <w:rPr>
          <w:rFonts w:ascii="Tahoma" w:hAnsi="Tahoma" w:cs="Tahoma" w:hint="cs"/>
          <w:sz w:val="18"/>
          <w:szCs w:val="18"/>
          <w:rtl/>
        </w:rPr>
        <w:t xml:space="preserve"> הרלוונטיים לנקוט ליישום את הפיקוח על היצוא הביטחוני בהקשרי מניעת שוחד ושחיתות וכן של אופן ההתנהלות של עובדי </w:t>
      </w:r>
      <w:proofErr w:type="spellStart"/>
      <w:r w:rsidRPr="00163F68">
        <w:rPr>
          <w:rFonts w:ascii="Tahoma" w:hAnsi="Tahoma" w:cs="Tahoma" w:hint="cs"/>
          <w:sz w:val="18"/>
          <w:szCs w:val="18"/>
          <w:rtl/>
        </w:rPr>
        <w:t>משהב"ט</w:t>
      </w:r>
      <w:proofErr w:type="spellEnd"/>
      <w:r w:rsidRPr="00163F68">
        <w:rPr>
          <w:rFonts w:ascii="Tahoma" w:hAnsi="Tahoma" w:cs="Tahoma" w:hint="cs"/>
          <w:sz w:val="18"/>
          <w:szCs w:val="18"/>
          <w:rtl/>
        </w:rPr>
        <w:t xml:space="preserve"> במגעיהם עם מקדמי השיווק בעסקאות היצוא הביטחוני; ואי-קיום מאגר מידע שלם </w:t>
      </w:r>
      <w:proofErr w:type="spellStart"/>
      <w:r w:rsidRPr="00163F68">
        <w:rPr>
          <w:rFonts w:ascii="Tahoma" w:hAnsi="Tahoma" w:cs="Tahoma" w:hint="cs"/>
          <w:sz w:val="18"/>
          <w:szCs w:val="18"/>
          <w:rtl/>
        </w:rPr>
        <w:t>באפ"י</w:t>
      </w:r>
      <w:proofErr w:type="spellEnd"/>
      <w:r w:rsidRPr="00163F68">
        <w:rPr>
          <w:rFonts w:ascii="Tahoma" w:hAnsi="Tahoma" w:cs="Tahoma" w:hint="cs"/>
          <w:sz w:val="18"/>
          <w:szCs w:val="18"/>
          <w:rtl/>
        </w:rPr>
        <w:t xml:space="preserve"> לגבי גורמים הפועלים כמקדמי שיווק במסגרת </w:t>
      </w:r>
      <w:r w:rsidRPr="00163F68">
        <w:rPr>
          <w:rFonts w:ascii="Tahoma" w:hAnsi="Tahoma" w:cs="Tahoma" w:hint="cs"/>
          <w:sz w:val="18"/>
          <w:szCs w:val="18"/>
          <w:rtl/>
        </w:rPr>
        <w:t xml:space="preserve">עסקאות של יצוא ביטחוני, וכפועל יוצא מכך - אי-פיקוח של </w:t>
      </w:r>
      <w:proofErr w:type="spellStart"/>
      <w:r w:rsidRPr="00163F68">
        <w:rPr>
          <w:rFonts w:ascii="Tahoma" w:hAnsi="Tahoma" w:cs="Tahoma" w:hint="cs"/>
          <w:sz w:val="18"/>
          <w:szCs w:val="18"/>
          <w:rtl/>
        </w:rPr>
        <w:t>אפ"י</w:t>
      </w:r>
      <w:proofErr w:type="spellEnd"/>
      <w:r w:rsidRPr="00163F68">
        <w:rPr>
          <w:rFonts w:ascii="Tahoma" w:hAnsi="Tahoma" w:cs="Tahoma" w:hint="cs"/>
          <w:sz w:val="18"/>
          <w:szCs w:val="18"/>
          <w:rtl/>
        </w:rPr>
        <w:t xml:space="preserve"> על כלל מקדמי השיווק.</w:t>
      </w:r>
    </w:p>
    <w:p w:rsidR="001207F1" w:rsidRPr="00163F68" w:rsidRDefault="006E7854" w:rsidP="001207F1">
      <w:pPr>
        <w:widowControl w:val="0"/>
        <w:tabs>
          <w:tab w:val="left" w:pos="9604"/>
        </w:tabs>
        <w:spacing w:before="240" w:line="276" w:lineRule="auto"/>
        <w:ind w:left="-1"/>
        <w:rPr>
          <w:rFonts w:ascii="Tahoma" w:hAnsi="Tahoma" w:cs="Tahoma"/>
          <w:sz w:val="18"/>
          <w:szCs w:val="18"/>
          <w:rtl/>
        </w:rPr>
      </w:pPr>
      <w:r w:rsidRPr="00163F68">
        <w:rPr>
          <w:rFonts w:ascii="Tahoma" w:hAnsi="Tahoma" w:cs="Tahoma" w:hint="cs"/>
          <w:sz w:val="18"/>
          <w:szCs w:val="18"/>
          <w:rtl/>
        </w:rPr>
        <w:t xml:space="preserve">התממשותם של סיכוני ציות בהקשרי שוחד ושחיתות עלולה לפגוע באופן משמעותי במדינת ישראל בהיבטי ביטחון, יחסי החוץ והמסחר הבין-לאומי; בשמו הטוב של </w:t>
      </w:r>
      <w:proofErr w:type="spellStart"/>
      <w:r w:rsidRPr="00163F68">
        <w:rPr>
          <w:rFonts w:ascii="Tahoma" w:hAnsi="Tahoma" w:cs="Tahoma" w:hint="cs"/>
          <w:sz w:val="18"/>
          <w:szCs w:val="18"/>
          <w:rtl/>
        </w:rPr>
        <w:t>משהב"ט</w:t>
      </w:r>
      <w:proofErr w:type="spellEnd"/>
      <w:r w:rsidRPr="00163F68">
        <w:rPr>
          <w:rFonts w:ascii="Tahoma" w:hAnsi="Tahoma" w:cs="Tahoma" w:hint="cs"/>
          <w:sz w:val="18"/>
          <w:szCs w:val="18"/>
          <w:rtl/>
        </w:rPr>
        <w:t xml:space="preserve"> ובשמן הטוב של החברות הביטחוני</w:t>
      </w:r>
      <w:r w:rsidRPr="00163F68">
        <w:rPr>
          <w:rFonts w:ascii="Tahoma" w:hAnsi="Tahoma" w:cs="Tahoma" w:hint="cs"/>
          <w:sz w:val="18"/>
          <w:szCs w:val="18"/>
          <w:rtl/>
        </w:rPr>
        <w:t xml:space="preserve">ות הנוגעות בדבר. אי לכך, </w:t>
      </w:r>
      <w:r w:rsidRPr="00163F68">
        <w:rPr>
          <w:rFonts w:ascii="Tahoma" w:hAnsi="Tahoma" w:cs="Tahoma"/>
          <w:sz w:val="18"/>
          <w:szCs w:val="18"/>
          <w:rtl/>
        </w:rPr>
        <w:t xml:space="preserve">על מנכ"ל </w:t>
      </w:r>
      <w:proofErr w:type="spellStart"/>
      <w:r w:rsidRPr="00163F68">
        <w:rPr>
          <w:rFonts w:ascii="Tahoma" w:hAnsi="Tahoma" w:cs="Tahoma"/>
          <w:sz w:val="18"/>
          <w:szCs w:val="18"/>
          <w:rtl/>
        </w:rPr>
        <w:t>משהב"ט</w:t>
      </w:r>
      <w:proofErr w:type="spellEnd"/>
      <w:r w:rsidRPr="00163F68">
        <w:rPr>
          <w:rFonts w:ascii="Tahoma" w:hAnsi="Tahoma" w:cs="Tahoma"/>
          <w:sz w:val="18"/>
          <w:szCs w:val="18"/>
          <w:rtl/>
        </w:rPr>
        <w:t xml:space="preserve"> לוודא כי ראש אגף התכנון והיועמ"ש </w:t>
      </w:r>
      <w:proofErr w:type="spellStart"/>
      <w:r w:rsidRPr="00163F68">
        <w:rPr>
          <w:rFonts w:ascii="Tahoma" w:hAnsi="Tahoma" w:cs="Tahoma"/>
          <w:sz w:val="18"/>
          <w:szCs w:val="18"/>
          <w:rtl/>
        </w:rPr>
        <w:t>למעהב"ט</w:t>
      </w:r>
      <w:proofErr w:type="spellEnd"/>
      <w:r w:rsidRPr="00163F68">
        <w:rPr>
          <w:rFonts w:ascii="Tahoma" w:hAnsi="Tahoma" w:cs="Tahoma"/>
          <w:sz w:val="18"/>
          <w:szCs w:val="18"/>
          <w:rtl/>
        </w:rPr>
        <w:t xml:space="preserve"> יפעלו בהקדם לגיבוש המלצותיהם לגבי מידת מעורבות המשרד בפיקוח על השימוש של החברות הביטחוניות במקדמי שיווק בכלל, לרבות בסוגיית העמלות</w:t>
      </w:r>
      <w:r w:rsidRPr="00163F68">
        <w:rPr>
          <w:rFonts w:ascii="Tahoma" w:hAnsi="Tahoma" w:cs="Tahoma" w:hint="cs"/>
          <w:sz w:val="18"/>
          <w:szCs w:val="18"/>
          <w:rtl/>
        </w:rPr>
        <w:t>, ועליו לעגן את מעורבותו של המשרד במסגרת הור</w:t>
      </w:r>
      <w:r w:rsidRPr="00163F68">
        <w:rPr>
          <w:rFonts w:ascii="Tahoma" w:hAnsi="Tahoma" w:cs="Tahoma" w:hint="cs"/>
          <w:sz w:val="18"/>
          <w:szCs w:val="18"/>
          <w:rtl/>
        </w:rPr>
        <w:t xml:space="preserve">אותיו. על מנכ"ל </w:t>
      </w:r>
      <w:proofErr w:type="spellStart"/>
      <w:r w:rsidRPr="00163F68">
        <w:rPr>
          <w:rFonts w:ascii="Tahoma" w:hAnsi="Tahoma" w:cs="Tahoma" w:hint="cs"/>
          <w:sz w:val="18"/>
          <w:szCs w:val="18"/>
          <w:rtl/>
        </w:rPr>
        <w:t>משהב"ט</w:t>
      </w:r>
      <w:proofErr w:type="spellEnd"/>
      <w:r w:rsidRPr="00163F68">
        <w:rPr>
          <w:rFonts w:ascii="Tahoma" w:hAnsi="Tahoma" w:cs="Tahoma" w:hint="cs"/>
          <w:sz w:val="18"/>
          <w:szCs w:val="18"/>
          <w:rtl/>
        </w:rPr>
        <w:t xml:space="preserve"> לקבוע אם ובאיזה אופן על </w:t>
      </w:r>
      <w:proofErr w:type="spellStart"/>
      <w:r w:rsidRPr="00163F68">
        <w:rPr>
          <w:rFonts w:ascii="Tahoma" w:hAnsi="Tahoma" w:cs="Tahoma" w:hint="cs"/>
          <w:sz w:val="18"/>
          <w:szCs w:val="18"/>
          <w:rtl/>
        </w:rPr>
        <w:t>משהב"ט</w:t>
      </w:r>
      <w:proofErr w:type="spellEnd"/>
      <w:r w:rsidRPr="00163F68">
        <w:rPr>
          <w:rFonts w:ascii="Tahoma" w:hAnsi="Tahoma" w:cs="Tahoma" w:hint="cs"/>
          <w:sz w:val="18"/>
          <w:szCs w:val="18"/>
          <w:rtl/>
        </w:rPr>
        <w:t xml:space="preserve"> לבחון את </w:t>
      </w:r>
      <w:proofErr w:type="spellStart"/>
      <w:r w:rsidRPr="00163F68">
        <w:rPr>
          <w:rFonts w:ascii="Tahoma" w:hAnsi="Tahoma" w:cs="Tahoma"/>
          <w:sz w:val="18"/>
          <w:szCs w:val="18"/>
          <w:rtl/>
        </w:rPr>
        <w:t>תוכני</w:t>
      </w:r>
      <w:r w:rsidRPr="00163F68">
        <w:rPr>
          <w:rFonts w:ascii="Tahoma" w:hAnsi="Tahoma" w:cs="Tahoma" w:hint="cs"/>
          <w:sz w:val="18"/>
          <w:szCs w:val="18"/>
          <w:rtl/>
        </w:rPr>
        <w:t>ו</w:t>
      </w:r>
      <w:r w:rsidRPr="00163F68">
        <w:rPr>
          <w:rFonts w:ascii="Tahoma" w:hAnsi="Tahoma" w:cs="Tahoma"/>
          <w:sz w:val="18"/>
          <w:szCs w:val="18"/>
          <w:rtl/>
        </w:rPr>
        <w:t>ת</w:t>
      </w:r>
      <w:proofErr w:type="spellEnd"/>
      <w:r w:rsidRPr="00163F68">
        <w:rPr>
          <w:rFonts w:ascii="Tahoma" w:hAnsi="Tahoma" w:cs="Tahoma"/>
          <w:sz w:val="18"/>
          <w:szCs w:val="18"/>
          <w:rtl/>
        </w:rPr>
        <w:t xml:space="preserve"> </w:t>
      </w:r>
      <w:r w:rsidRPr="00163F68">
        <w:rPr>
          <w:rFonts w:ascii="Tahoma" w:hAnsi="Tahoma" w:cs="Tahoma" w:hint="cs"/>
          <w:sz w:val="18"/>
          <w:szCs w:val="18"/>
          <w:rtl/>
        </w:rPr>
        <w:t>ה</w:t>
      </w:r>
      <w:r w:rsidRPr="00163F68">
        <w:rPr>
          <w:rFonts w:ascii="Tahoma" w:hAnsi="Tahoma" w:cs="Tahoma"/>
          <w:sz w:val="18"/>
          <w:szCs w:val="18"/>
          <w:rtl/>
        </w:rPr>
        <w:t>ציות</w:t>
      </w:r>
      <w:r w:rsidRPr="00163F68">
        <w:rPr>
          <w:rFonts w:ascii="Tahoma" w:hAnsi="Tahoma" w:cs="Tahoma" w:hint="cs"/>
          <w:sz w:val="18"/>
          <w:szCs w:val="18"/>
          <w:rtl/>
        </w:rPr>
        <w:t xml:space="preserve"> של החברות הביטחוניות היצואניות</w:t>
      </w:r>
      <w:r w:rsidRPr="00163F68">
        <w:rPr>
          <w:rFonts w:ascii="Tahoma" w:hAnsi="Tahoma" w:cs="Tahoma"/>
          <w:sz w:val="18"/>
          <w:szCs w:val="18"/>
          <w:rtl/>
        </w:rPr>
        <w:t xml:space="preserve"> ו</w:t>
      </w:r>
      <w:r w:rsidRPr="00163F68">
        <w:rPr>
          <w:rFonts w:ascii="Tahoma" w:hAnsi="Tahoma" w:cs="Tahoma" w:hint="cs"/>
          <w:sz w:val="18"/>
          <w:szCs w:val="18"/>
          <w:rtl/>
        </w:rPr>
        <w:t xml:space="preserve">את </w:t>
      </w:r>
      <w:r w:rsidRPr="00163F68">
        <w:rPr>
          <w:rFonts w:ascii="Tahoma" w:hAnsi="Tahoma" w:cs="Tahoma"/>
          <w:sz w:val="18"/>
          <w:szCs w:val="18"/>
          <w:rtl/>
        </w:rPr>
        <w:t>אופן יישומ</w:t>
      </w:r>
      <w:r w:rsidRPr="00163F68">
        <w:rPr>
          <w:rFonts w:ascii="Tahoma" w:hAnsi="Tahoma" w:cs="Tahoma" w:hint="cs"/>
          <w:sz w:val="18"/>
          <w:szCs w:val="18"/>
          <w:rtl/>
        </w:rPr>
        <w:t xml:space="preserve">ן, ואת אמצעי הציות שיידרשו ליישם יצואנים ביטחוניים בינוניים וקטנים. </w:t>
      </w:r>
    </w:p>
    <w:p w:rsidR="001207F1" w:rsidRPr="00163F68" w:rsidRDefault="006E7854" w:rsidP="001207F1">
      <w:pPr>
        <w:widowControl w:val="0"/>
        <w:tabs>
          <w:tab w:val="left" w:pos="9604"/>
        </w:tabs>
        <w:spacing w:before="240" w:line="276" w:lineRule="auto"/>
        <w:ind w:left="-1"/>
        <w:rPr>
          <w:rFonts w:ascii="Tahoma" w:hAnsi="Tahoma" w:cs="Tahoma"/>
          <w:sz w:val="18"/>
          <w:szCs w:val="18"/>
          <w:rtl/>
        </w:rPr>
      </w:pPr>
      <w:r w:rsidRPr="00163F68">
        <w:rPr>
          <w:rFonts w:ascii="Tahoma" w:hAnsi="Tahoma" w:cs="Tahoma" w:hint="cs"/>
          <w:sz w:val="18"/>
          <w:szCs w:val="18"/>
          <w:rtl/>
        </w:rPr>
        <w:t xml:space="preserve">כמו כן, כדי לקיים פיקוח ובקרה מיטביים בעניין מקדמי השיווק, על </w:t>
      </w:r>
      <w:proofErr w:type="spellStart"/>
      <w:r w:rsidRPr="00163F68">
        <w:rPr>
          <w:rFonts w:ascii="Tahoma" w:hAnsi="Tahoma" w:cs="Tahoma" w:hint="cs"/>
          <w:sz w:val="18"/>
          <w:szCs w:val="18"/>
          <w:rtl/>
        </w:rPr>
        <w:t>אפ"י</w:t>
      </w:r>
      <w:proofErr w:type="spellEnd"/>
      <w:r w:rsidRPr="00163F68">
        <w:rPr>
          <w:rFonts w:ascii="Tahoma" w:hAnsi="Tahoma" w:cs="Tahoma" w:hint="cs"/>
          <w:sz w:val="18"/>
          <w:szCs w:val="18"/>
          <w:rtl/>
        </w:rPr>
        <w:t xml:space="preserve"> לבנות מאגר מידע מלא ומפורט לגבי הגורמים הפועלים כמקדמי שיווק של החברות הביטחוניות - ישראלים וזרים - לרבות רישיונות השיווק שקיבלו או רישיונות השיווק והיצוא שבהם צוין שמם. </w:t>
      </w:r>
    </w:p>
    <w:p w:rsidR="001207F1" w:rsidRPr="00163F68" w:rsidRDefault="006E7854" w:rsidP="001207F1">
      <w:pPr>
        <w:widowControl w:val="0"/>
        <w:tabs>
          <w:tab w:val="left" w:pos="9604"/>
        </w:tabs>
        <w:spacing w:before="240" w:line="276" w:lineRule="auto"/>
        <w:ind w:left="-1"/>
        <w:rPr>
          <w:rFonts w:ascii="Tahoma" w:hAnsi="Tahoma" w:cs="Tahoma"/>
          <w:sz w:val="18"/>
          <w:szCs w:val="18"/>
        </w:rPr>
      </w:pPr>
      <w:r w:rsidRPr="00163F68">
        <w:rPr>
          <w:rFonts w:ascii="Tahoma" w:hAnsi="Tahoma" w:cs="Tahoma" w:hint="cs"/>
          <w:sz w:val="18"/>
          <w:szCs w:val="18"/>
          <w:rtl/>
        </w:rPr>
        <w:lastRenderedPageBreak/>
        <w:t>נ</w:t>
      </w:r>
      <w:r w:rsidRPr="00163F68">
        <w:rPr>
          <w:rFonts w:ascii="Tahoma" w:hAnsi="Tahoma" w:cs="Tahoma"/>
          <w:sz w:val="18"/>
          <w:szCs w:val="18"/>
          <w:rtl/>
        </w:rPr>
        <w:t>וכח חשיבות</w:t>
      </w:r>
      <w:r w:rsidRPr="00163F68">
        <w:rPr>
          <w:rFonts w:ascii="Tahoma" w:hAnsi="Tahoma" w:cs="Tahoma" w:hint="cs"/>
          <w:sz w:val="18"/>
          <w:szCs w:val="18"/>
          <w:rtl/>
        </w:rPr>
        <w:t>ו</w:t>
      </w:r>
      <w:r w:rsidRPr="00163F68">
        <w:rPr>
          <w:rFonts w:ascii="Tahoma" w:hAnsi="Tahoma" w:cs="Tahoma"/>
          <w:sz w:val="18"/>
          <w:szCs w:val="18"/>
          <w:rtl/>
        </w:rPr>
        <w:t xml:space="preserve"> האסטר</w:t>
      </w:r>
      <w:r w:rsidRPr="00163F68">
        <w:rPr>
          <w:rFonts w:ascii="Tahoma" w:hAnsi="Tahoma" w:cs="Tahoma"/>
          <w:sz w:val="18"/>
          <w:szCs w:val="18"/>
          <w:rtl/>
        </w:rPr>
        <w:t xml:space="preserve">טגית </w:t>
      </w:r>
      <w:r w:rsidRPr="00163F68">
        <w:rPr>
          <w:rFonts w:ascii="Tahoma" w:hAnsi="Tahoma" w:cs="Tahoma" w:hint="cs"/>
          <w:sz w:val="18"/>
          <w:szCs w:val="18"/>
          <w:rtl/>
        </w:rPr>
        <w:t>של היצוא הביטחוני</w:t>
      </w:r>
      <w:r w:rsidRPr="00163F68">
        <w:rPr>
          <w:rFonts w:ascii="Tahoma" w:hAnsi="Tahoma" w:cs="Tahoma"/>
          <w:sz w:val="18"/>
          <w:szCs w:val="18"/>
          <w:rtl/>
        </w:rPr>
        <w:t xml:space="preserve"> ותרומת</w:t>
      </w:r>
      <w:r w:rsidRPr="00163F68">
        <w:rPr>
          <w:rFonts w:ascii="Tahoma" w:hAnsi="Tahoma" w:cs="Tahoma" w:hint="cs"/>
          <w:sz w:val="18"/>
          <w:szCs w:val="18"/>
          <w:rtl/>
        </w:rPr>
        <w:t>ו</w:t>
      </w:r>
      <w:r w:rsidRPr="00163F68">
        <w:rPr>
          <w:rFonts w:ascii="Tahoma" w:hAnsi="Tahoma" w:cs="Tahoma"/>
          <w:sz w:val="18"/>
          <w:szCs w:val="18"/>
          <w:rtl/>
        </w:rPr>
        <w:t xml:space="preserve"> המדינית, הביטחונית והכלכלית, </w:t>
      </w:r>
      <w:r w:rsidRPr="00163F68">
        <w:rPr>
          <w:rFonts w:ascii="Tahoma" w:hAnsi="Tahoma" w:cs="Tahoma" w:hint="cs"/>
          <w:sz w:val="18"/>
          <w:szCs w:val="18"/>
          <w:rtl/>
        </w:rPr>
        <w:t xml:space="preserve">מחד גיסא, והסיכונים הכרוכים בשימוש של החברות הביטחוניות במקדמי שיווק, מאידך גיסא, </w:t>
      </w:r>
      <w:r w:rsidRPr="00163F68">
        <w:rPr>
          <w:rFonts w:ascii="Tahoma" w:hAnsi="Tahoma" w:cs="Tahoma"/>
          <w:sz w:val="18"/>
          <w:szCs w:val="18"/>
          <w:rtl/>
        </w:rPr>
        <w:t xml:space="preserve">על </w:t>
      </w:r>
      <w:r w:rsidRPr="00163F68">
        <w:rPr>
          <w:rFonts w:ascii="Tahoma" w:hAnsi="Tahoma" w:cs="Tahoma" w:hint="cs"/>
          <w:sz w:val="18"/>
          <w:szCs w:val="18"/>
          <w:rtl/>
        </w:rPr>
        <w:t xml:space="preserve">מנכ"ל </w:t>
      </w:r>
      <w:proofErr w:type="spellStart"/>
      <w:r w:rsidRPr="00163F68">
        <w:rPr>
          <w:rFonts w:ascii="Tahoma" w:hAnsi="Tahoma" w:cs="Tahoma" w:hint="cs"/>
          <w:sz w:val="18"/>
          <w:szCs w:val="18"/>
          <w:rtl/>
        </w:rPr>
        <w:t>משהב"ט</w:t>
      </w:r>
      <w:proofErr w:type="spellEnd"/>
      <w:r w:rsidRPr="00163F68">
        <w:rPr>
          <w:rFonts w:ascii="Tahoma" w:hAnsi="Tahoma" w:cs="Tahoma" w:hint="cs"/>
          <w:sz w:val="18"/>
          <w:szCs w:val="18"/>
          <w:rtl/>
        </w:rPr>
        <w:t xml:space="preserve"> להנחות את </w:t>
      </w:r>
      <w:r w:rsidRPr="00163F68">
        <w:rPr>
          <w:rFonts w:ascii="Tahoma" w:hAnsi="Tahoma" w:cs="Tahoma"/>
          <w:sz w:val="18"/>
          <w:szCs w:val="18"/>
          <w:rtl/>
        </w:rPr>
        <w:t xml:space="preserve">כלל </w:t>
      </w:r>
      <w:r w:rsidRPr="00163F68">
        <w:rPr>
          <w:rFonts w:ascii="Tahoma" w:hAnsi="Tahoma" w:cs="Tahoma" w:hint="cs"/>
          <w:sz w:val="18"/>
          <w:szCs w:val="18"/>
          <w:rtl/>
        </w:rPr>
        <w:t xml:space="preserve">גורמי </w:t>
      </w:r>
      <w:proofErr w:type="spellStart"/>
      <w:r w:rsidRPr="00163F68">
        <w:rPr>
          <w:rFonts w:ascii="Tahoma" w:hAnsi="Tahoma" w:cs="Tahoma" w:hint="cs"/>
          <w:sz w:val="18"/>
          <w:szCs w:val="18"/>
          <w:rtl/>
        </w:rPr>
        <w:t>משהב"ט</w:t>
      </w:r>
      <w:proofErr w:type="spellEnd"/>
      <w:r w:rsidRPr="00163F68">
        <w:rPr>
          <w:rFonts w:ascii="Tahoma" w:hAnsi="Tahoma" w:cs="Tahoma"/>
          <w:sz w:val="18"/>
          <w:szCs w:val="18"/>
          <w:rtl/>
        </w:rPr>
        <w:t xml:space="preserve"> הנוגעים לפעילות זו, לרבות </w:t>
      </w:r>
      <w:proofErr w:type="spellStart"/>
      <w:r w:rsidRPr="00163F68">
        <w:rPr>
          <w:rFonts w:ascii="Tahoma" w:hAnsi="Tahoma" w:cs="Tahoma" w:hint="cs"/>
          <w:sz w:val="18"/>
          <w:szCs w:val="18"/>
          <w:rtl/>
        </w:rPr>
        <w:t>אפ"י</w:t>
      </w:r>
      <w:proofErr w:type="spellEnd"/>
      <w:r w:rsidRPr="00163F68">
        <w:rPr>
          <w:rFonts w:ascii="Tahoma" w:hAnsi="Tahoma" w:cs="Tahoma" w:hint="cs"/>
          <w:sz w:val="18"/>
          <w:szCs w:val="18"/>
          <w:rtl/>
        </w:rPr>
        <w:t xml:space="preserve">, יועמ"ש </w:t>
      </w:r>
      <w:proofErr w:type="spellStart"/>
      <w:r w:rsidRPr="00163F68">
        <w:rPr>
          <w:rFonts w:ascii="Tahoma" w:hAnsi="Tahoma" w:cs="Tahoma" w:hint="cs"/>
          <w:sz w:val="18"/>
          <w:szCs w:val="18"/>
          <w:rtl/>
        </w:rPr>
        <w:t>מעהב"ט</w:t>
      </w:r>
      <w:proofErr w:type="spellEnd"/>
      <w:r w:rsidRPr="00163F68">
        <w:rPr>
          <w:rFonts w:ascii="Tahoma" w:hAnsi="Tahoma" w:cs="Tahoma" w:hint="cs"/>
          <w:sz w:val="18"/>
          <w:szCs w:val="18"/>
          <w:rtl/>
        </w:rPr>
        <w:t xml:space="preserve"> ואגף התכנון</w:t>
      </w:r>
      <w:r w:rsidRPr="00163F68">
        <w:rPr>
          <w:rFonts w:ascii="Tahoma" w:hAnsi="Tahoma" w:cs="Tahoma"/>
          <w:sz w:val="18"/>
          <w:szCs w:val="18"/>
          <w:rtl/>
        </w:rPr>
        <w:t>, לפעול לתיקון</w:t>
      </w:r>
      <w:r w:rsidRPr="00163F68">
        <w:rPr>
          <w:rFonts w:ascii="Tahoma" w:hAnsi="Tahoma" w:cs="Tahoma"/>
          <w:sz w:val="18"/>
          <w:szCs w:val="18"/>
          <w:rtl/>
        </w:rPr>
        <w:t xml:space="preserve"> הליקויים שעלו </w:t>
      </w:r>
      <w:r w:rsidRPr="00163F68">
        <w:rPr>
          <w:rFonts w:ascii="Tahoma" w:hAnsi="Tahoma" w:cs="Tahoma" w:hint="cs"/>
          <w:sz w:val="18"/>
          <w:szCs w:val="18"/>
          <w:rtl/>
        </w:rPr>
        <w:t>בביקורת</w:t>
      </w:r>
      <w:r w:rsidRPr="00163F68">
        <w:rPr>
          <w:rFonts w:ascii="Tahoma" w:hAnsi="Tahoma" w:cs="Tahoma"/>
          <w:sz w:val="18"/>
          <w:szCs w:val="18"/>
          <w:rtl/>
        </w:rPr>
        <w:t xml:space="preserve"> </w:t>
      </w:r>
      <w:r w:rsidRPr="00163F68">
        <w:rPr>
          <w:rFonts w:ascii="Tahoma" w:hAnsi="Tahoma" w:cs="Tahoma" w:hint="cs"/>
          <w:sz w:val="18"/>
          <w:szCs w:val="18"/>
          <w:rtl/>
        </w:rPr>
        <w:t>ועל פי</w:t>
      </w:r>
      <w:r w:rsidRPr="00163F68">
        <w:rPr>
          <w:rFonts w:ascii="Tahoma" w:hAnsi="Tahoma" w:cs="Tahoma"/>
          <w:sz w:val="18"/>
          <w:szCs w:val="18"/>
          <w:rtl/>
        </w:rPr>
        <w:t xml:space="preserve"> המלצותיו </w:t>
      </w:r>
      <w:r w:rsidRPr="00163F68">
        <w:rPr>
          <w:rFonts w:ascii="Tahoma" w:hAnsi="Tahoma" w:cs="Tahoma" w:hint="cs"/>
          <w:sz w:val="18"/>
          <w:szCs w:val="18"/>
          <w:rtl/>
        </w:rPr>
        <w:t xml:space="preserve">של דוח זה </w:t>
      </w:r>
      <w:r w:rsidRPr="00163F68">
        <w:rPr>
          <w:rFonts w:ascii="Tahoma" w:hAnsi="Tahoma" w:cs="Tahoma"/>
          <w:sz w:val="18"/>
          <w:szCs w:val="18"/>
          <w:rtl/>
        </w:rPr>
        <w:t xml:space="preserve">לשם </w:t>
      </w:r>
      <w:r w:rsidRPr="00163F68">
        <w:rPr>
          <w:rFonts w:ascii="Tahoma" w:hAnsi="Tahoma" w:cs="Tahoma" w:hint="cs"/>
          <w:sz w:val="18"/>
          <w:szCs w:val="18"/>
          <w:rtl/>
        </w:rPr>
        <w:t>קיום בקרה אפקטיבית לצמצום החשיפה לסיכוני הציות והאסדרה בתחום השחיתות והשוחד הנוגעים ליצוא הביטחוני.</w:t>
      </w:r>
    </w:p>
    <w:p w:rsidR="00D57BE9" w:rsidRPr="001207F1" w:rsidRDefault="006E7854" w:rsidP="003116E6">
      <w:pPr>
        <w:widowControl w:val="0"/>
        <w:tabs>
          <w:tab w:val="left" w:pos="9604"/>
        </w:tabs>
        <w:spacing w:before="240" w:line="276" w:lineRule="auto"/>
        <w:rPr>
          <w:rtl/>
        </w:rPr>
      </w:pPr>
      <w:r>
        <w:rPr>
          <w:noProof/>
          <w:rtl/>
          <w:lang w:val="he-IL"/>
        </w:rPr>
        <mc:AlternateContent>
          <mc:Choice Requires="wps">
            <w:drawing>
              <wp:anchor distT="0" distB="0" distL="114300" distR="114300" simplePos="0" relativeHeight="251691008" behindDoc="0" locked="0" layoutInCell="1" allowOverlap="1">
                <wp:simplePos x="0" y="0"/>
                <wp:positionH relativeFrom="column">
                  <wp:posOffset>4032673</wp:posOffset>
                </wp:positionH>
                <wp:positionV relativeFrom="paragraph">
                  <wp:posOffset>7186083</wp:posOffset>
                </wp:positionV>
                <wp:extent cx="1110827" cy="690880"/>
                <wp:effectExtent l="0" t="0" r="6985" b="7620"/>
                <wp:wrapNone/>
                <wp:docPr id="79239923" name="מלבן 41"/>
                <wp:cNvGraphicFramePr/>
                <a:graphic xmlns:a="http://schemas.openxmlformats.org/drawingml/2006/main">
                  <a:graphicData uri="http://schemas.microsoft.com/office/word/2010/wordprocessingShape">
                    <wps:wsp>
                      <wps:cNvSpPr/>
                      <wps:spPr>
                        <a:xfrm>
                          <a:off x="0" y="0"/>
                          <a:ext cx="1110827" cy="6908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1" o:spid="_x0000_s1035" style="width:87.45pt;height:54.4pt;margin-top:565.85pt;margin-left:317.55pt;mso-wrap-distance-bottom:0;mso-wrap-distance-left:9pt;mso-wrap-distance-right:9pt;mso-wrap-distance-top:0;mso-wrap-style:square;position:absolute;visibility:visible;v-text-anchor:middle;z-index:251692032" fillcolor="white" strokecolor="white" strokeweight="1.25pt"/>
            </w:pict>
          </mc:Fallback>
        </mc:AlternateContent>
      </w:r>
    </w:p>
    <w:sectPr w:rsidR="00D57BE9" w:rsidRPr="001207F1" w:rsidSect="001B01E1">
      <w:headerReference w:type="even" r:id="rId30"/>
      <w:headerReference w:type="default" r:id="rId31"/>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2EE" w:rsidRDefault="006E7854">
      <w:pPr>
        <w:spacing w:line="240" w:lineRule="auto"/>
      </w:pPr>
      <w:r>
        <w:separator/>
      </w:r>
    </w:p>
    <w:p w:rsidR="006162EE" w:rsidRDefault="006162EE"/>
    <w:p w:rsidR="006162EE" w:rsidRDefault="006162EE"/>
    <w:p w:rsidR="006162EE" w:rsidRDefault="006162EE"/>
  </w:endnote>
  <w:endnote w:type="continuationSeparator" w:id="0">
    <w:p w:rsidR="006162EE" w:rsidRDefault="006E7854">
      <w:pPr>
        <w:spacing w:line="240" w:lineRule="auto"/>
      </w:pPr>
      <w:r>
        <w:continuationSeparator/>
      </w:r>
    </w:p>
    <w:p w:rsidR="006162EE" w:rsidRDefault="006162EE"/>
    <w:p w:rsidR="006162EE" w:rsidRDefault="006162EE"/>
    <w:p w:rsidR="006162EE" w:rsidRDefault="00616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6E7854"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6E7854"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2EE" w:rsidRDefault="006E7854" w:rsidP="00E7235E">
      <w:pPr>
        <w:spacing w:line="240" w:lineRule="auto"/>
      </w:pPr>
      <w:r>
        <w:separator/>
      </w:r>
    </w:p>
  </w:footnote>
  <w:footnote w:type="continuationSeparator" w:id="0">
    <w:p w:rsidR="006162EE" w:rsidRDefault="006E7854" w:rsidP="00C23CC9">
      <w:pPr>
        <w:spacing w:line="240" w:lineRule="auto"/>
      </w:pPr>
      <w:r>
        <w:continuationSeparator/>
      </w:r>
    </w:p>
    <w:p w:rsidR="006162EE" w:rsidRDefault="006162EE"/>
    <w:p w:rsidR="006162EE" w:rsidRDefault="006162EE"/>
    <w:p w:rsidR="006162EE" w:rsidRDefault="006162EE"/>
  </w:footnote>
  <w:footnote w:id="1">
    <w:p w:rsidR="00CA7262" w:rsidRPr="00EC0591" w:rsidRDefault="006E7854" w:rsidP="00EC0591">
      <w:pPr>
        <w:pStyle w:val="712"/>
      </w:pPr>
      <w:r w:rsidRPr="00EC0591">
        <w:rPr>
          <w:rStyle w:val="affff"/>
          <w:vertAlign w:val="baseline"/>
        </w:rPr>
        <w:footnoteRef/>
      </w:r>
      <w:r w:rsidRPr="00EC0591">
        <w:rPr>
          <w:rtl/>
        </w:rPr>
        <w:t xml:space="preserve"> </w:t>
      </w:r>
      <w:r w:rsidRPr="00EC0591">
        <w:rPr>
          <w:rtl/>
        </w:rPr>
        <w:tab/>
      </w:r>
      <w:r w:rsidRPr="00EC0591">
        <w:rPr>
          <w:rFonts w:hint="cs"/>
          <w:rtl/>
        </w:rPr>
        <w:t xml:space="preserve">ההסכם של החברה עם מקדם שיווק כולל לעיתים תשלום מותנה בהצלחה. זאת כתשלום בלעדי, כתשלום נוסף על תשלום קבוע או כתשלום נוסף על כיסוי </w:t>
      </w:r>
      <w:r w:rsidRPr="00EC0591">
        <w:rPr>
          <w:rFonts w:hint="cs"/>
          <w:rtl/>
        </w:rPr>
        <w:t>הוצאות.</w:t>
      </w:r>
    </w:p>
  </w:footnote>
  <w:footnote w:id="2">
    <w:p w:rsidR="00CA7262" w:rsidRP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rPr>
          <w:rtl/>
        </w:rPr>
        <w:t xml:space="preserve">החברות הביטחוניות וגורמי </w:t>
      </w:r>
      <w:r w:rsidRPr="00EC0591">
        <w:rPr>
          <w:rFonts w:hint="cs"/>
          <w:rtl/>
        </w:rPr>
        <w:t>משרד הביטחון</w:t>
      </w:r>
      <w:r w:rsidRPr="00EC0591">
        <w:rPr>
          <w:rtl/>
        </w:rPr>
        <w:t xml:space="preserve"> עושים שימוש באחד או יותר מכינויים אלה. </w:t>
      </w:r>
    </w:p>
  </w:footnote>
  <w:footnote w:id="3">
    <w:p w:rsidR="00CA7262" w:rsidRPr="00EC0591" w:rsidRDefault="006E7854" w:rsidP="00EC0591">
      <w:pPr>
        <w:pStyle w:val="712"/>
      </w:pPr>
      <w:r w:rsidRPr="00EC0591">
        <w:rPr>
          <w:rStyle w:val="affff"/>
          <w:vertAlign w:val="baseline"/>
        </w:rPr>
        <w:footnoteRef/>
      </w:r>
      <w:r w:rsidRPr="00EC0591">
        <w:rPr>
          <w:rtl/>
        </w:rPr>
        <w:t xml:space="preserve"> </w:t>
      </w:r>
      <w:r w:rsidRPr="00EC0591">
        <w:rPr>
          <w:rtl/>
        </w:rPr>
        <w:tab/>
      </w:r>
      <w:r w:rsidRPr="00EC0591">
        <w:rPr>
          <w:rtl/>
        </w:rPr>
        <w:t>יצוא של ציוד ביטחוני, העברת ידע ביטחוני או מתן שירות ביטחוני.</w:t>
      </w:r>
    </w:p>
  </w:footnote>
  <w:footnote w:id="4">
    <w:p w:rsidR="00CA7262" w:rsidRPr="00EC0591" w:rsidRDefault="006E7854" w:rsidP="00EC0591">
      <w:pPr>
        <w:pStyle w:val="712"/>
      </w:pPr>
      <w:r w:rsidRPr="00EC0591">
        <w:rPr>
          <w:rStyle w:val="affff"/>
          <w:vertAlign w:val="baseline"/>
        </w:rPr>
        <w:footnoteRef/>
      </w:r>
      <w:r w:rsidRPr="00EC0591">
        <w:rPr>
          <w:rtl/>
        </w:rPr>
        <w:t xml:space="preserve"> </w:t>
      </w:r>
      <w:r w:rsidRPr="00EC0591">
        <w:rPr>
          <w:rtl/>
        </w:rPr>
        <w:tab/>
      </w:r>
      <w:r w:rsidRPr="00EC0591">
        <w:rPr>
          <w:rtl/>
        </w:rPr>
        <w:t xml:space="preserve">המתבצעת בישראל או מחוץ לישראל, בכתב, בעל פה, או בכל אמצעי אחר, במישרין או בעקיפין, בתמורה או שלא </w:t>
      </w:r>
      <w:r w:rsidRPr="00EC0591">
        <w:rPr>
          <w:rtl/>
        </w:rPr>
        <w:t>בתמורה, בין אם מתבצעת אגב הפעולה העברת ידע ביטחוני ובין אם לאו, או ניהול משא ומתן לשם קידום עסקה כאמור. כן נקבע בחוק הפיקוח כי אין נפקא מינה אם עסקת היצוא הביטחוני יצאה אל הפועל א</w:t>
      </w:r>
      <w:r w:rsidRPr="00EC0591">
        <w:rPr>
          <w:rFonts w:hint="cs"/>
          <w:rtl/>
        </w:rPr>
        <w:t>ם</w:t>
      </w:r>
      <w:r w:rsidRPr="00EC0591">
        <w:rPr>
          <w:rtl/>
        </w:rPr>
        <w:t xml:space="preserve"> לאו.</w:t>
      </w:r>
    </w:p>
  </w:footnote>
  <w:footnote w:id="5">
    <w:p w:rsidR="00CA7262" w:rsidRP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rPr>
          <w:rtl/>
        </w:rPr>
        <w:t xml:space="preserve">הרשות המוסמכת לפי החוק הם מנכ"ל </w:t>
      </w:r>
      <w:proofErr w:type="spellStart"/>
      <w:r w:rsidRPr="00EC0591">
        <w:rPr>
          <w:rtl/>
        </w:rPr>
        <w:t>משהב"ט</w:t>
      </w:r>
      <w:proofErr w:type="spellEnd"/>
      <w:r w:rsidRPr="00EC0591">
        <w:rPr>
          <w:rtl/>
        </w:rPr>
        <w:t xml:space="preserve"> או ראש </w:t>
      </w:r>
      <w:proofErr w:type="spellStart"/>
      <w:r w:rsidRPr="00EC0591">
        <w:rPr>
          <w:rtl/>
        </w:rPr>
        <w:t>אפ"י</w:t>
      </w:r>
      <w:proofErr w:type="spellEnd"/>
      <w:r w:rsidRPr="00EC0591">
        <w:rPr>
          <w:rtl/>
        </w:rPr>
        <w:t xml:space="preserve"> או עובד בכיר </w:t>
      </w:r>
      <w:proofErr w:type="spellStart"/>
      <w:r w:rsidRPr="00EC0591">
        <w:rPr>
          <w:rtl/>
        </w:rPr>
        <w:t>באפ</w:t>
      </w:r>
      <w:r w:rsidRPr="00EC0591">
        <w:rPr>
          <w:rtl/>
        </w:rPr>
        <w:t>"י</w:t>
      </w:r>
      <w:proofErr w:type="spellEnd"/>
      <w:r w:rsidRPr="00EC0591">
        <w:rPr>
          <w:rtl/>
        </w:rPr>
        <w:t xml:space="preserve"> שאותם הסמיך המנכ"ל לעניין חוק הפיקוח. </w:t>
      </w:r>
    </w:p>
  </w:footnote>
  <w:footnote w:id="6">
    <w:p w:rsidR="00CA7262" w:rsidRP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t>UN Convention Against Corruption - UNCAC</w:t>
      </w:r>
      <w:r w:rsidRPr="00EC0591">
        <w:rPr>
          <w:rtl/>
        </w:rPr>
        <w:t>.</w:t>
      </w:r>
    </w:p>
  </w:footnote>
  <w:footnote w:id="7">
    <w:p w:rsidR="00CA7262" w:rsidRP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rPr>
          <w:rtl/>
        </w:rPr>
        <w:t>ב-22.12.08 קיבלה ממשלת ישראל החלטה לאשרור ההצטרפות לאמנה (החלטה מס' 4355).</w:t>
      </w:r>
    </w:p>
  </w:footnote>
  <w:footnote w:id="8">
    <w:p w:rsidR="00CA7262" w:rsidRP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t>OECD</w:t>
      </w:r>
      <w:r w:rsidRPr="00EC0591">
        <w:rPr>
          <w:rtl/>
        </w:rPr>
        <w:t xml:space="preserve"> - </w:t>
      </w:r>
      <w:proofErr w:type="spellStart"/>
      <w:r w:rsidRPr="00EC0591">
        <w:t>Organisation</w:t>
      </w:r>
      <w:proofErr w:type="spellEnd"/>
      <w:r w:rsidRPr="00EC0591">
        <w:t xml:space="preserve"> for Economic Co-operation and Development</w:t>
      </w:r>
      <w:r w:rsidRPr="00EC0591">
        <w:rPr>
          <w:rtl/>
        </w:rPr>
        <w:t>.</w:t>
      </w:r>
    </w:p>
  </w:footnote>
  <w:footnote w:id="9">
    <w:p w:rsidR="00CA7262" w:rsidRP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t>OECD Convention on Com</w:t>
      </w:r>
      <w:r w:rsidRPr="00EC0591">
        <w:t>bating Bribery of Foreign Public Officials in International Business Transactions</w:t>
      </w:r>
      <w:r w:rsidRPr="00EC0591">
        <w:rPr>
          <w:rtl/>
        </w:rPr>
        <w:t>.</w:t>
      </w:r>
    </w:p>
  </w:footnote>
  <w:footnote w:id="10">
    <w:p w:rsidR="00CA7262" w:rsidRPr="0085538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rPr>
          <w:rtl/>
        </w:rPr>
        <w:t>ב-12.2.09 קיבלה ממשלת ישראל החלטה להצטרף לאמנה (החלטה מס' 4481).</w:t>
      </w:r>
    </w:p>
  </w:footnote>
  <w:footnote w:id="11">
    <w:p w:rsidR="00CA7262" w:rsidRP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t>OECD Working Group on Bribery in International Business Transactions</w:t>
      </w:r>
      <w:r w:rsidRPr="00EC0591">
        <w:rPr>
          <w:rtl/>
        </w:rPr>
        <w:t>.</w:t>
      </w:r>
    </w:p>
  </w:footnote>
  <w:footnote w:id="12">
    <w:p w:rsidR="00CA7262" w:rsidRP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rPr>
          <w:rtl/>
        </w:rPr>
        <w:t>עדכון של הנחיות מנובמבר 2009.</w:t>
      </w:r>
    </w:p>
  </w:footnote>
  <w:footnote w:id="13">
    <w:p w:rsidR="00CA7262" w:rsidRDefault="006E7854" w:rsidP="00EC0591">
      <w:pPr>
        <w:pStyle w:val="712"/>
        <w:rPr>
          <w:rtl/>
        </w:rPr>
      </w:pPr>
      <w:r w:rsidRPr="00EC0591">
        <w:rPr>
          <w:rStyle w:val="affff"/>
          <w:vertAlign w:val="baseline"/>
        </w:rPr>
        <w:footnoteRef/>
      </w:r>
      <w:r w:rsidRPr="00EC0591">
        <w:rPr>
          <w:rtl/>
        </w:rPr>
        <w:t xml:space="preserve"> </w:t>
      </w:r>
      <w:r w:rsidRPr="00EC0591">
        <w:rPr>
          <w:rtl/>
        </w:rPr>
        <w:tab/>
      </w:r>
      <w:bookmarkStart w:id="1" w:name="_Hlk190161383"/>
      <w:r w:rsidRPr="00EC0591">
        <w:rPr>
          <w:rtl/>
        </w:rPr>
        <w:t>רשימות הכוללות פרטי חברות וגופים אחרים החשודים או מואשמים בהפרת חוקים, תקנות או נורמות בין-לאומיות בענייני סחר, ומוטלת עליהם מגבלת סחר</w:t>
      </w:r>
      <w:bookmarkEnd w:id="1"/>
      <w:r w:rsidRPr="00EC0591">
        <w:rPr>
          <w:rtl/>
        </w:rPr>
        <w:t>.</w:t>
      </w:r>
    </w:p>
  </w:footnote>
  <w:footnote w:id="14">
    <w:p w:rsidR="00EC0591" w:rsidRP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rPr>
          <w:rtl/>
        </w:rPr>
        <w:t xml:space="preserve">או קנס, לפי הגבוה מבין החלופות שלהלן: 1. בסכום של עד כ-1.1 מיליון ש"ח נגד יחיד או כ-2.2 מיליון ש"ח נגד תאגיד. 2. </w:t>
      </w:r>
      <w:r w:rsidRPr="00EC0591">
        <w:rPr>
          <w:rtl/>
        </w:rPr>
        <w:t>פי ארבעה משווי ההטבה שחושבה או שהייתה כוונה להשיגה באמצעות העבירה.</w:t>
      </w:r>
    </w:p>
  </w:footnote>
  <w:footnote w:id="15">
    <w:p w:rsidR="00EC0591" w:rsidRP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rPr>
          <w:rtl/>
        </w:rPr>
        <w:t>ארגון "שקיפות בין-לאומית" (</w:t>
      </w:r>
      <w:r w:rsidRPr="00EC0591">
        <w:t>Transparency International</w:t>
      </w:r>
      <w:r w:rsidRPr="00EC0591">
        <w:rPr>
          <w:rtl/>
        </w:rPr>
        <w:t>) מפרסם משנת 1995 מדי שנה את מדד תפיסת השחיתות (</w:t>
      </w:r>
      <w:r w:rsidRPr="00EC0591">
        <w:t>CPI - Corruption Perceptions Index</w:t>
      </w:r>
      <w:r w:rsidRPr="00EC0591">
        <w:rPr>
          <w:rtl/>
        </w:rPr>
        <w:t>), שבו מדורגות 180 מדינות וטריטוריות ברחבי העולם לפ</w:t>
      </w:r>
      <w:r w:rsidRPr="00EC0591">
        <w:rPr>
          <w:rtl/>
        </w:rPr>
        <w:t>י התפיסה של רמת השחיתות שלהן במגזר הציבורי</w:t>
      </w:r>
      <w:r w:rsidRPr="00EC0591">
        <w:rPr>
          <w:rFonts w:hint="cs"/>
          <w:rtl/>
        </w:rPr>
        <w:t>.</w:t>
      </w:r>
    </w:p>
  </w:footnote>
  <w:footnote w:id="16">
    <w:p w:rsidR="00EC0591" w:rsidRDefault="006E7854" w:rsidP="00EC0591">
      <w:pPr>
        <w:pStyle w:val="712"/>
        <w:rPr>
          <w:rtl/>
        </w:rPr>
      </w:pPr>
      <w:r w:rsidRPr="00EC0591">
        <w:rPr>
          <w:rStyle w:val="affff"/>
          <w:vertAlign w:val="baseline"/>
        </w:rPr>
        <w:footnoteRef/>
      </w:r>
      <w:r w:rsidRPr="00EC0591">
        <w:rPr>
          <w:rtl/>
        </w:rPr>
        <w:t xml:space="preserve"> </w:t>
      </w:r>
      <w:r w:rsidRPr="00EC0591">
        <w:rPr>
          <w:rtl/>
        </w:rPr>
        <w:tab/>
      </w:r>
      <w:r w:rsidRPr="00EC0591">
        <w:rPr>
          <w:rtl/>
        </w:rPr>
        <w:t>שני שלישים ממדינות העולם דורגו בשנת 2024 בציון נמוך מ-50 במדד "תפיסת השחיתות"</w:t>
      </w:r>
      <w:r w:rsidRPr="00EC0591">
        <w:rPr>
          <w:rFonts w:hint="cs"/>
          <w:rtl/>
        </w:rPr>
        <w:t>.</w:t>
      </w:r>
    </w:p>
  </w:footnote>
  <w:footnote w:id="17">
    <w:p w:rsidR="00FF48E9" w:rsidRPr="00FF48E9" w:rsidRDefault="006E7854" w:rsidP="00FF48E9">
      <w:pPr>
        <w:pStyle w:val="712"/>
        <w:rPr>
          <w:rtl/>
        </w:rPr>
      </w:pPr>
      <w:r w:rsidRPr="00FF48E9">
        <w:rPr>
          <w:rStyle w:val="affff"/>
          <w:vertAlign w:val="baseline"/>
        </w:rPr>
        <w:footnoteRef/>
      </w:r>
      <w:r w:rsidRPr="00FF48E9">
        <w:rPr>
          <w:rtl/>
        </w:rPr>
        <w:t xml:space="preserve"> </w:t>
      </w:r>
      <w:r w:rsidRPr="00FF48E9">
        <w:rPr>
          <w:rtl/>
        </w:rPr>
        <w:tab/>
      </w:r>
      <w:r w:rsidRPr="00FF48E9">
        <w:t>Corruption Perceptions Index (2024) by Transparency International is licensed under CC-BY-ND 4.0</w:t>
      </w:r>
      <w:r w:rsidRPr="00FF48E9">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6E7854"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6E7854"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6E7854"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6E7854"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6E7854"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6E7854"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proofErr w:type="spellStart"/>
                          <w:r w:rsidRPr="00AE7EA4">
                            <w:rPr>
                              <w:rFonts w:ascii="Tahoma" w:hAnsi="Tahoma" w:cs="Tahoma"/>
                              <w:color w:val="0D0D0D"/>
                              <w:sz w:val="16"/>
                              <w:szCs w:val="16"/>
                              <w:rtl/>
                            </w:rPr>
                            <w:t>התשפ״ד</w:t>
                          </w:r>
                          <w:proofErr w:type="spellEnd"/>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6E7854">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6E7854">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6E7854"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6E7854"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6E7854"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81792" behindDoc="0" locked="0" layoutInCell="1" allowOverlap="1">
              <wp:simplePos x="0" y="0"/>
              <wp:positionH relativeFrom="column">
                <wp:posOffset>-715645</wp:posOffset>
              </wp:positionH>
              <wp:positionV relativeFrom="paragraph">
                <wp:posOffset>-726440</wp:posOffset>
              </wp:positionV>
              <wp:extent cx="304800" cy="8859520"/>
              <wp:effectExtent l="0" t="0" r="12700" b="17780"/>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859520"/>
                      </a:xfrm>
                      <a:prstGeom prst="rect">
                        <a:avLst/>
                      </a:prstGeom>
                      <a:solidFill>
                        <a:srgbClr val="00305F"/>
                      </a:solidFill>
                      <a:ln>
                        <a:solidFill>
                          <a:srgbClr val="00305F"/>
                        </a:solidFill>
                      </a:ln>
                    </wps:spPr>
                    <wps:txbx>
                      <w:txbxContent>
                        <w:p w:rsidR="00E56721" w:rsidRPr="009B7D1B" w:rsidRDefault="006E7854"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00B228AD" w:rsidRPr="00565F1B">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alt="&quot;&quot;" style="width:24pt;height:697.6pt;margin-top:-57.2pt;margin-left:-56.35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6E7854"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RDefault="006E7854"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כסלו </w:t>
                          </w:r>
                          <w:proofErr w:type="spellStart"/>
                          <w:r w:rsidRPr="0022519C">
                            <w:rPr>
                              <w:rFonts w:ascii="Tahoma" w:hAnsi="Tahoma" w:cs="Tahoma"/>
                              <w:color w:val="0D0D0D"/>
                              <w:sz w:val="16"/>
                              <w:szCs w:val="16"/>
                              <w:rtl/>
                            </w:rPr>
                            <w:t>התשפ"ו</w:t>
                          </w:r>
                          <w:proofErr w:type="spellEnd"/>
                          <w:r w:rsidRPr="0022519C">
                            <w:rPr>
                              <w:rFonts w:ascii="Tahoma" w:hAnsi="Tahoma" w:cs="Tahoma"/>
                              <w:color w:val="0D0D0D"/>
                              <w:sz w:val="16"/>
                              <w:szCs w:val="16"/>
                              <w:rtl/>
                            </w:rPr>
                            <w:t xml:space="preserve">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5548DEF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6E7854">
    <w:pPr>
      <w:pStyle w:val="a4"/>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6E7854">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-141605</wp:posOffset>
              </wp:positionH>
              <wp:positionV relativeFrom="paragraph">
                <wp:posOffset>151130</wp:posOffset>
              </wp:positionV>
              <wp:extent cx="4536440" cy="334010"/>
              <wp:effectExtent l="0" t="0" r="0" b="0"/>
              <wp:wrapSquare wrapText="bothSides"/>
              <wp:docPr id="152626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334010"/>
                      </a:xfrm>
                      <a:prstGeom prst="rect">
                        <a:avLst/>
                      </a:prstGeom>
                      <a:solidFill>
                        <a:srgbClr val="FFFFFF"/>
                      </a:solidFill>
                      <a:ln w="9525">
                        <a:noFill/>
                        <a:miter lim="800000"/>
                        <a:headEnd/>
                        <a:tailEnd/>
                      </a:ln>
                    </wps:spPr>
                    <wps:txbx>
                      <w:txbxContent>
                        <w:p w:rsidR="001B01E1" w:rsidRPr="003D62C4" w:rsidRDefault="006E7854" w:rsidP="00CA7262">
                          <w:pPr>
                            <w:pStyle w:val="1"/>
                            <w:spacing w:line="240" w:lineRule="auto"/>
                            <w:jc w:val="left"/>
                            <w:rPr>
                              <w:rFonts w:ascii="Tahoma" w:eastAsiaTheme="minorHAnsi" w:hAnsi="Tahoma" w:cs="Tahoma"/>
                              <w:bCs w:val="0"/>
                              <w:color w:val="0D0D0D" w:themeColor="text1" w:themeTint="F2"/>
                              <w:sz w:val="16"/>
                              <w:szCs w:val="16"/>
                              <w:u w:val="none"/>
                            </w:rPr>
                          </w:pPr>
                          <w:r w:rsidRPr="00CA7262">
                            <w:rPr>
                              <w:rFonts w:ascii="Tahoma" w:eastAsiaTheme="minorHAnsi" w:hAnsi="Tahoma" w:cs="Tahoma"/>
                              <w:bCs w:val="0"/>
                              <w:color w:val="0D0D0D" w:themeColor="text1" w:themeTint="F2"/>
                              <w:sz w:val="16"/>
                              <w:szCs w:val="16"/>
                              <w:u w:val="none"/>
                              <w:rtl/>
                            </w:rPr>
                            <w:t>היבטים בפיקוח ובבקרה של מש</w:t>
                          </w:r>
                          <w:r w:rsidRPr="00CA7262">
                            <w:rPr>
                              <w:rFonts w:ascii="Tahoma" w:eastAsiaTheme="minorHAnsi" w:hAnsi="Tahoma" w:cs="Tahoma"/>
                              <w:bCs w:val="0"/>
                              <w:color w:val="0D0D0D" w:themeColor="text1" w:themeTint="F2"/>
                              <w:sz w:val="16"/>
                              <w:szCs w:val="16"/>
                              <w:u w:val="none"/>
                              <w:rtl/>
                            </w:rPr>
                            <w:t>רד הביטחון על שימוש החברות הביטחוניות במקדמי שיווק, בסוכנים ובמתווכים בעסקאות יצוא ביטחוני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7.2pt;height:26.3pt;margin-top:11.9pt;margin-left:-11.15pt;mso-height-percent:0;mso-height-relative:margin;mso-width-percent:0;mso-width-relative:margin;mso-wrap-distance-bottom:0;mso-wrap-distance-left:9pt;mso-wrap-distance-right:9pt;mso-wrap-distance-top:0;mso-wrap-style:square;position:absolute;visibility:visible;v-text-anchor:top;z-index:251689984" stroked="f">
              <v:textbox>
                <w:txbxContent>
                  <w:p w:rsidR="001B01E1" w:rsidRPr="003D62C4" w:rsidP="00CA7262" w14:paraId="53D9ADAE" w14:textId="6B24A921">
                    <w:pPr>
                      <w:pStyle w:val="Heading1"/>
                      <w:spacing w:line="240" w:lineRule="auto"/>
                      <w:jc w:val="left"/>
                      <w:rPr>
                        <w:rFonts w:ascii="Tahoma" w:hAnsi="Tahoma" w:eastAsiaTheme="minorHAnsi" w:cs="Tahoma"/>
                        <w:bCs w:val="0"/>
                        <w:color w:val="0D0D0D" w:themeColor="text1" w:themeTint="F2"/>
                        <w:sz w:val="16"/>
                        <w:szCs w:val="16"/>
                        <w:u w:val="none"/>
                      </w:rPr>
                    </w:pPr>
                    <w:r w:rsidRPr="00CA7262">
                      <w:rPr>
                        <w:rFonts w:ascii="Tahoma" w:hAnsi="Tahoma" w:eastAsiaTheme="minorHAnsi" w:cs="Tahoma"/>
                        <w:bCs w:val="0"/>
                        <w:color w:val="0D0D0D" w:themeColor="text1" w:themeTint="F2"/>
                        <w:sz w:val="16"/>
                        <w:szCs w:val="16"/>
                        <w:u w:val="none"/>
                        <w:rtl/>
                      </w:rPr>
                      <w:t>היבטים בפיקוח ובבקרה של משרד הביטחון על שימוש החברות הביטחוניות במקדמי שיווק, בסוכנים ובמתווכים בעסקאות יצוא ביטחוני</w:t>
                    </w:r>
                  </w:p>
                </w:txbxContent>
              </v:textbox>
              <w10:wrap type="square"/>
            </v:shape>
          </w:pict>
        </mc:Fallback>
      </mc:AlternateContent>
    </w:r>
  </w:p>
  <w:p w:rsidR="001B01E1" w:rsidRDefault="006E7854" w:rsidP="009620E7">
    <w:pPr>
      <w:pStyle w:val="a4"/>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6E7854"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98176" behindDoc="0" locked="0" layoutInCell="1" allowOverlap="1">
              <wp:simplePos x="0" y="0"/>
              <wp:positionH relativeFrom="column">
                <wp:posOffset>-715645</wp:posOffset>
              </wp:positionH>
              <wp:positionV relativeFrom="paragraph">
                <wp:posOffset>-726440</wp:posOffset>
              </wp:positionV>
              <wp:extent cx="304800" cy="8771255"/>
              <wp:effectExtent l="0" t="0" r="12700" b="17145"/>
              <wp:wrapSquare wrapText="bothSides"/>
              <wp:docPr id="1339138723"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771255"/>
                      </a:xfrm>
                      <a:prstGeom prst="rect">
                        <a:avLst/>
                      </a:prstGeom>
                      <a:solidFill>
                        <a:srgbClr val="00305F"/>
                      </a:solidFill>
                      <a:ln>
                        <a:solidFill>
                          <a:srgbClr val="00305F"/>
                        </a:solidFill>
                      </a:ln>
                    </wps:spPr>
                    <wps:txbx>
                      <w:txbxContent>
                        <w:p w:rsidR="001B01E1" w:rsidRPr="001207F1" w:rsidRDefault="006E7854" w:rsidP="001207F1">
                          <w:pPr>
                            <w:pStyle w:val="Bodytext70"/>
                            <w:shd w:val="clear" w:color="auto" w:fill="003060"/>
                            <w:rPr>
                              <w:rFonts w:ascii="Tahoma" w:hAnsi="Tahoma" w:cs="Tahoma"/>
                              <w:b/>
                              <w:bCs/>
                              <w:spacing w:val="-10"/>
                              <w:sz w:val="18"/>
                              <w:szCs w:val="18"/>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1207F1" w:rsidRPr="001207F1">
                            <w:rPr>
                              <w:rFonts w:ascii="Tahoma" w:hAnsi="Tahoma" w:cs="Tahoma"/>
                              <w:b/>
                              <w:bCs/>
                              <w:spacing w:val="-10"/>
                              <w:sz w:val="17"/>
                              <w:szCs w:val="17"/>
                              <w:rtl/>
                            </w:rPr>
                            <w:t>היבטים בפיקוח ובבקרה של משרד הביטחון על שימוש החברות הביטחוניות במקדמי שיווק, בסוכנים ובמתווכים בעסקאות יצוא ביטחו</w:t>
                          </w:r>
                          <w:r w:rsidR="001207F1" w:rsidRPr="001207F1">
                            <w:rPr>
                              <w:rFonts w:ascii="Tahoma" w:hAnsi="Tahoma" w:cs="Tahoma"/>
                              <w:b/>
                              <w:bCs/>
                              <w:spacing w:val="-10"/>
                              <w:sz w:val="18"/>
                              <w:szCs w:val="18"/>
                              <w:rtl/>
                            </w:rPr>
                            <w:t>ני</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alt="&quot;&quot;" style="width:24pt;height:690.65pt;margin-top:-57.2pt;margin-left:-56.35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1207F1" w:rsidP="001207F1" w14:paraId="77A211CB" w14:textId="5D5058BA">
                    <w:pPr>
                      <w:pStyle w:val="Bodytext70"/>
                      <w:shd w:val="clear" w:color="auto" w:fill="003060"/>
                      <w:rPr>
                        <w:rFonts w:ascii="Tahoma" w:hAnsi="Tahoma" w:cs="Tahoma"/>
                        <w:b/>
                        <w:bCs/>
                        <w:spacing w:val="-10"/>
                        <w:sz w:val="18"/>
                        <w:szCs w:val="18"/>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1207F1" w:rsidR="001207F1">
                      <w:rPr>
                        <w:rFonts w:ascii="Tahoma" w:hAnsi="Tahoma" w:cs="Tahoma"/>
                        <w:b/>
                        <w:bCs/>
                        <w:spacing w:val="-10"/>
                        <w:sz w:val="17"/>
                        <w:szCs w:val="17"/>
                        <w:rtl/>
                      </w:rPr>
                      <w:t>היבטים בפיקוח ובבקרה של משרד הביטחון על שימוש החברות הביטחוניות במקדמי שיווק, בסוכנים ובמתווכים בעסקאות יצוא ביטחו</w:t>
                    </w:r>
                    <w:r w:rsidRPr="001207F1" w:rsidR="001207F1">
                      <w:rPr>
                        <w:rFonts w:ascii="Tahoma" w:hAnsi="Tahoma" w:cs="Tahoma"/>
                        <w:b/>
                        <w:bCs/>
                        <w:spacing w:val="-10"/>
                        <w:sz w:val="18"/>
                        <w:szCs w:val="18"/>
                        <w:rtl/>
                      </w:rPr>
                      <w:t>ני</w:t>
                    </w:r>
                  </w:p>
                </w:txbxContent>
              </v:textbox>
              <w10:wrap type="square"/>
            </v:shape>
          </w:pict>
        </mc:Fallback>
      </mc:AlternateContent>
    </w: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6"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6E7854"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1B01E1" w:rsidRPr="00326298" w:rsidRDefault="006E7854"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כסלו </w:t>
                          </w:r>
                          <w:proofErr w:type="spellStart"/>
                          <w:r w:rsidRPr="0022519C">
                            <w:rPr>
                              <w:rFonts w:ascii="Tahoma" w:hAnsi="Tahoma" w:cs="Tahoma"/>
                              <w:color w:val="0D0D0D"/>
                              <w:sz w:val="16"/>
                              <w:szCs w:val="16"/>
                              <w:rtl/>
                            </w:rPr>
                            <w:t>התשפ"ו</w:t>
                          </w:r>
                          <w:proofErr w:type="spellEnd"/>
                          <w:r w:rsidRPr="0022519C">
                            <w:rPr>
                              <w:rFonts w:ascii="Tahoma" w:hAnsi="Tahoma" w:cs="Tahoma"/>
                              <w:color w:val="0D0D0D"/>
                              <w:sz w:val="16"/>
                              <w:szCs w:val="16"/>
                              <w:rtl/>
                            </w:rPr>
                            <w:t xml:space="preserve">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18.15pt;margin-top:27.7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326298" w:rsidP="00B244B0" w14:paraId="2FB0F382" w14:textId="20A225A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91143AD6">
      <w:start w:val="1"/>
      <w:numFmt w:val="bullet"/>
      <w:pStyle w:val="73BULLETS"/>
      <w:lvlText w:val=""/>
      <w:lvlJc w:val="left"/>
      <w:pPr>
        <w:ind w:left="720" w:hanging="360"/>
      </w:pPr>
      <w:rPr>
        <w:rFonts w:ascii="Symbol" w:hAnsi="Symbol" w:hint="default"/>
      </w:rPr>
    </w:lvl>
    <w:lvl w:ilvl="1" w:tplc="B6B49882" w:tentative="1">
      <w:start w:val="1"/>
      <w:numFmt w:val="bullet"/>
      <w:lvlText w:val="o"/>
      <w:lvlJc w:val="left"/>
      <w:pPr>
        <w:ind w:left="1440" w:hanging="360"/>
      </w:pPr>
      <w:rPr>
        <w:rFonts w:ascii="Courier New" w:hAnsi="Courier New" w:cs="Courier New" w:hint="default"/>
      </w:rPr>
    </w:lvl>
    <w:lvl w:ilvl="2" w:tplc="5C045A4E" w:tentative="1">
      <w:start w:val="1"/>
      <w:numFmt w:val="bullet"/>
      <w:lvlText w:val=""/>
      <w:lvlJc w:val="left"/>
      <w:pPr>
        <w:ind w:left="2160" w:hanging="360"/>
      </w:pPr>
      <w:rPr>
        <w:rFonts w:ascii="Wingdings" w:hAnsi="Wingdings" w:hint="default"/>
      </w:rPr>
    </w:lvl>
    <w:lvl w:ilvl="3" w:tplc="D68EC786" w:tentative="1">
      <w:start w:val="1"/>
      <w:numFmt w:val="bullet"/>
      <w:lvlText w:val=""/>
      <w:lvlJc w:val="left"/>
      <w:pPr>
        <w:ind w:left="2880" w:hanging="360"/>
      </w:pPr>
      <w:rPr>
        <w:rFonts w:ascii="Symbol" w:hAnsi="Symbol" w:hint="default"/>
      </w:rPr>
    </w:lvl>
    <w:lvl w:ilvl="4" w:tplc="FBAEF376" w:tentative="1">
      <w:start w:val="1"/>
      <w:numFmt w:val="bullet"/>
      <w:lvlText w:val="o"/>
      <w:lvlJc w:val="left"/>
      <w:pPr>
        <w:ind w:left="3600" w:hanging="360"/>
      </w:pPr>
      <w:rPr>
        <w:rFonts w:ascii="Courier New" w:hAnsi="Courier New" w:cs="Courier New" w:hint="default"/>
      </w:rPr>
    </w:lvl>
    <w:lvl w:ilvl="5" w:tplc="AD46FCF2" w:tentative="1">
      <w:start w:val="1"/>
      <w:numFmt w:val="bullet"/>
      <w:lvlText w:val=""/>
      <w:lvlJc w:val="left"/>
      <w:pPr>
        <w:ind w:left="4320" w:hanging="360"/>
      </w:pPr>
      <w:rPr>
        <w:rFonts w:ascii="Wingdings" w:hAnsi="Wingdings" w:hint="default"/>
      </w:rPr>
    </w:lvl>
    <w:lvl w:ilvl="6" w:tplc="83806A54" w:tentative="1">
      <w:start w:val="1"/>
      <w:numFmt w:val="bullet"/>
      <w:lvlText w:val=""/>
      <w:lvlJc w:val="left"/>
      <w:pPr>
        <w:ind w:left="5040" w:hanging="360"/>
      </w:pPr>
      <w:rPr>
        <w:rFonts w:ascii="Symbol" w:hAnsi="Symbol" w:hint="default"/>
      </w:rPr>
    </w:lvl>
    <w:lvl w:ilvl="7" w:tplc="8CD09858" w:tentative="1">
      <w:start w:val="1"/>
      <w:numFmt w:val="bullet"/>
      <w:lvlText w:val="o"/>
      <w:lvlJc w:val="left"/>
      <w:pPr>
        <w:ind w:left="5760" w:hanging="360"/>
      </w:pPr>
      <w:rPr>
        <w:rFonts w:ascii="Courier New" w:hAnsi="Courier New" w:cs="Courier New" w:hint="default"/>
      </w:rPr>
    </w:lvl>
    <w:lvl w:ilvl="8" w:tplc="EE8E60FA"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96A45A0"/>
    <w:multiLevelType w:val="hybridMultilevel"/>
    <w:tmpl w:val="35123B9A"/>
    <w:lvl w:ilvl="0" w:tplc="08C49EF2">
      <w:start w:val="1"/>
      <w:numFmt w:val="bullet"/>
      <w:lvlText w:val="•"/>
      <w:lvlJc w:val="left"/>
      <w:pPr>
        <w:ind w:left="794" w:hanging="397"/>
      </w:pPr>
      <w:rPr>
        <w:rFonts w:ascii="Tahoma" w:hAnsi="Tahoma" w:cs="Tahoma" w:hint="default"/>
        <w:b/>
        <w:bCs/>
        <w:i w:val="0"/>
        <w:iCs w:val="0"/>
        <w:strike w:val="0"/>
        <w:color w:val="FFC000"/>
        <w:position w:val="0"/>
        <w:sz w:val="18"/>
        <w:szCs w:val="18"/>
      </w:rPr>
    </w:lvl>
    <w:lvl w:ilvl="1" w:tplc="32C66196" w:tentative="1">
      <w:start w:val="1"/>
      <w:numFmt w:val="bullet"/>
      <w:lvlText w:val="o"/>
      <w:lvlJc w:val="left"/>
      <w:pPr>
        <w:ind w:left="1080" w:hanging="360"/>
      </w:pPr>
      <w:rPr>
        <w:rFonts w:ascii="Courier New" w:hAnsi="Courier New" w:cs="Courier New" w:hint="default"/>
      </w:rPr>
    </w:lvl>
    <w:lvl w:ilvl="2" w:tplc="54C22622" w:tentative="1">
      <w:start w:val="1"/>
      <w:numFmt w:val="bullet"/>
      <w:lvlText w:val=""/>
      <w:lvlJc w:val="left"/>
      <w:pPr>
        <w:ind w:left="1800" w:hanging="360"/>
      </w:pPr>
      <w:rPr>
        <w:rFonts w:ascii="Wingdings" w:hAnsi="Wingdings" w:hint="default"/>
      </w:rPr>
    </w:lvl>
    <w:lvl w:ilvl="3" w:tplc="528A12DE" w:tentative="1">
      <w:start w:val="1"/>
      <w:numFmt w:val="bullet"/>
      <w:lvlText w:val=""/>
      <w:lvlJc w:val="left"/>
      <w:pPr>
        <w:ind w:left="2520" w:hanging="360"/>
      </w:pPr>
      <w:rPr>
        <w:rFonts w:ascii="Symbol" w:hAnsi="Symbol" w:hint="default"/>
      </w:rPr>
    </w:lvl>
    <w:lvl w:ilvl="4" w:tplc="4A7040A4" w:tentative="1">
      <w:start w:val="1"/>
      <w:numFmt w:val="bullet"/>
      <w:lvlText w:val="o"/>
      <w:lvlJc w:val="left"/>
      <w:pPr>
        <w:ind w:left="3240" w:hanging="360"/>
      </w:pPr>
      <w:rPr>
        <w:rFonts w:ascii="Courier New" w:hAnsi="Courier New" w:cs="Courier New" w:hint="default"/>
      </w:rPr>
    </w:lvl>
    <w:lvl w:ilvl="5" w:tplc="52D08A1C" w:tentative="1">
      <w:start w:val="1"/>
      <w:numFmt w:val="bullet"/>
      <w:lvlText w:val=""/>
      <w:lvlJc w:val="left"/>
      <w:pPr>
        <w:ind w:left="3960" w:hanging="360"/>
      </w:pPr>
      <w:rPr>
        <w:rFonts w:ascii="Wingdings" w:hAnsi="Wingdings" w:hint="default"/>
      </w:rPr>
    </w:lvl>
    <w:lvl w:ilvl="6" w:tplc="B614B8A0" w:tentative="1">
      <w:start w:val="1"/>
      <w:numFmt w:val="bullet"/>
      <w:lvlText w:val=""/>
      <w:lvlJc w:val="left"/>
      <w:pPr>
        <w:ind w:left="4680" w:hanging="360"/>
      </w:pPr>
      <w:rPr>
        <w:rFonts w:ascii="Symbol" w:hAnsi="Symbol" w:hint="default"/>
      </w:rPr>
    </w:lvl>
    <w:lvl w:ilvl="7" w:tplc="7F741F64" w:tentative="1">
      <w:start w:val="1"/>
      <w:numFmt w:val="bullet"/>
      <w:lvlText w:val="o"/>
      <w:lvlJc w:val="left"/>
      <w:pPr>
        <w:ind w:left="5400" w:hanging="360"/>
      </w:pPr>
      <w:rPr>
        <w:rFonts w:ascii="Courier New" w:hAnsi="Courier New" w:cs="Courier New" w:hint="default"/>
      </w:rPr>
    </w:lvl>
    <w:lvl w:ilvl="8" w:tplc="A1302554" w:tentative="1">
      <w:start w:val="1"/>
      <w:numFmt w:val="bullet"/>
      <w:lvlText w:val=""/>
      <w:lvlJc w:val="left"/>
      <w:pPr>
        <w:ind w:left="6120" w:hanging="360"/>
      </w:pPr>
      <w:rPr>
        <w:rFonts w:ascii="Wingdings" w:hAnsi="Wingdings" w:hint="default"/>
      </w:rPr>
    </w:lvl>
  </w:abstractNum>
  <w:abstractNum w:abstractNumId="4"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7" w15:restartNumberingAfterBreak="0">
    <w:nsid w:val="5D7F29F7"/>
    <w:multiLevelType w:val="hybridMultilevel"/>
    <w:tmpl w:val="ABFC5A12"/>
    <w:lvl w:ilvl="0" w:tplc="1E503316">
      <w:start w:val="1"/>
      <w:numFmt w:val="hebrew1"/>
      <w:pStyle w:val="7"/>
      <w:lvlText w:val="%1."/>
      <w:lvlJc w:val="left"/>
      <w:pPr>
        <w:ind w:left="794" w:hanging="397"/>
      </w:pPr>
      <w:rPr>
        <w:rFonts w:hint="default"/>
      </w:rPr>
    </w:lvl>
    <w:lvl w:ilvl="1" w:tplc="1EB09AB0" w:tentative="1">
      <w:start w:val="1"/>
      <w:numFmt w:val="lowerLetter"/>
      <w:lvlText w:val="%2."/>
      <w:lvlJc w:val="left"/>
      <w:pPr>
        <w:ind w:left="1440" w:hanging="360"/>
      </w:pPr>
    </w:lvl>
    <w:lvl w:ilvl="2" w:tplc="FCD07650" w:tentative="1">
      <w:start w:val="1"/>
      <w:numFmt w:val="lowerRoman"/>
      <w:lvlText w:val="%3."/>
      <w:lvlJc w:val="right"/>
      <w:pPr>
        <w:ind w:left="2160" w:hanging="180"/>
      </w:pPr>
    </w:lvl>
    <w:lvl w:ilvl="3" w:tplc="648A8352" w:tentative="1">
      <w:start w:val="1"/>
      <w:numFmt w:val="decimal"/>
      <w:lvlText w:val="%4."/>
      <w:lvlJc w:val="left"/>
      <w:pPr>
        <w:ind w:left="2880" w:hanging="360"/>
      </w:pPr>
    </w:lvl>
    <w:lvl w:ilvl="4" w:tplc="450C6C56" w:tentative="1">
      <w:start w:val="1"/>
      <w:numFmt w:val="lowerLetter"/>
      <w:lvlText w:val="%5."/>
      <w:lvlJc w:val="left"/>
      <w:pPr>
        <w:ind w:left="3600" w:hanging="360"/>
      </w:pPr>
    </w:lvl>
    <w:lvl w:ilvl="5" w:tplc="89C02B32" w:tentative="1">
      <w:start w:val="1"/>
      <w:numFmt w:val="lowerRoman"/>
      <w:lvlText w:val="%6."/>
      <w:lvlJc w:val="right"/>
      <w:pPr>
        <w:ind w:left="4320" w:hanging="180"/>
      </w:pPr>
    </w:lvl>
    <w:lvl w:ilvl="6" w:tplc="65FCD642" w:tentative="1">
      <w:start w:val="1"/>
      <w:numFmt w:val="decimal"/>
      <w:lvlText w:val="%7."/>
      <w:lvlJc w:val="left"/>
      <w:pPr>
        <w:ind w:left="5040" w:hanging="360"/>
      </w:pPr>
    </w:lvl>
    <w:lvl w:ilvl="7" w:tplc="1CE4D494" w:tentative="1">
      <w:start w:val="1"/>
      <w:numFmt w:val="lowerLetter"/>
      <w:lvlText w:val="%8."/>
      <w:lvlJc w:val="left"/>
      <w:pPr>
        <w:ind w:left="5760" w:hanging="360"/>
      </w:pPr>
    </w:lvl>
    <w:lvl w:ilvl="8" w:tplc="AF90A238" w:tentative="1">
      <w:start w:val="1"/>
      <w:numFmt w:val="lowerRoman"/>
      <w:lvlText w:val="%9."/>
      <w:lvlJc w:val="right"/>
      <w:pPr>
        <w:ind w:left="6480" w:hanging="180"/>
      </w:pPr>
    </w:lvl>
  </w:abstractNum>
  <w:abstractNum w:abstractNumId="8"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9" w15:restartNumberingAfterBreak="0">
    <w:nsid w:val="71465E90"/>
    <w:multiLevelType w:val="hybridMultilevel"/>
    <w:tmpl w:val="56AA28F4"/>
    <w:lvl w:ilvl="0" w:tplc="25BAC86C">
      <w:start w:val="1"/>
      <w:numFmt w:val="bullet"/>
      <w:lvlText w:val=""/>
      <w:lvlJc w:val="left"/>
      <w:pPr>
        <w:ind w:left="757" w:hanging="360"/>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w:rPr>
    </w:lvl>
    <w:lvl w:ilvl="1" w:tplc="87CAD3B4" w:tentative="1">
      <w:start w:val="1"/>
      <w:numFmt w:val="bullet"/>
      <w:lvlText w:val="o"/>
      <w:lvlJc w:val="left"/>
      <w:pPr>
        <w:ind w:left="1837" w:hanging="360"/>
      </w:pPr>
      <w:rPr>
        <w:rFonts w:ascii="Courier New" w:hAnsi="Courier New" w:cs="Courier New" w:hint="default"/>
      </w:rPr>
    </w:lvl>
    <w:lvl w:ilvl="2" w:tplc="19A2A458" w:tentative="1">
      <w:start w:val="1"/>
      <w:numFmt w:val="bullet"/>
      <w:lvlText w:val=""/>
      <w:lvlJc w:val="left"/>
      <w:pPr>
        <w:ind w:left="2557" w:hanging="360"/>
      </w:pPr>
      <w:rPr>
        <w:rFonts w:ascii="Wingdings" w:hAnsi="Wingdings" w:hint="default"/>
      </w:rPr>
    </w:lvl>
    <w:lvl w:ilvl="3" w:tplc="466E4880" w:tentative="1">
      <w:start w:val="1"/>
      <w:numFmt w:val="bullet"/>
      <w:lvlText w:val=""/>
      <w:lvlJc w:val="left"/>
      <w:pPr>
        <w:ind w:left="3277" w:hanging="360"/>
      </w:pPr>
      <w:rPr>
        <w:rFonts w:ascii="Symbol" w:hAnsi="Symbol" w:hint="default"/>
      </w:rPr>
    </w:lvl>
    <w:lvl w:ilvl="4" w:tplc="B8B466EC" w:tentative="1">
      <w:start w:val="1"/>
      <w:numFmt w:val="bullet"/>
      <w:lvlText w:val="o"/>
      <w:lvlJc w:val="left"/>
      <w:pPr>
        <w:ind w:left="3997" w:hanging="360"/>
      </w:pPr>
      <w:rPr>
        <w:rFonts w:ascii="Courier New" w:hAnsi="Courier New" w:cs="Courier New" w:hint="default"/>
      </w:rPr>
    </w:lvl>
    <w:lvl w:ilvl="5" w:tplc="D9425EF2" w:tentative="1">
      <w:start w:val="1"/>
      <w:numFmt w:val="bullet"/>
      <w:lvlText w:val=""/>
      <w:lvlJc w:val="left"/>
      <w:pPr>
        <w:ind w:left="4717" w:hanging="360"/>
      </w:pPr>
      <w:rPr>
        <w:rFonts w:ascii="Wingdings" w:hAnsi="Wingdings" w:hint="default"/>
      </w:rPr>
    </w:lvl>
    <w:lvl w:ilvl="6" w:tplc="F720098A" w:tentative="1">
      <w:start w:val="1"/>
      <w:numFmt w:val="bullet"/>
      <w:lvlText w:val=""/>
      <w:lvlJc w:val="left"/>
      <w:pPr>
        <w:ind w:left="5437" w:hanging="360"/>
      </w:pPr>
      <w:rPr>
        <w:rFonts w:ascii="Symbol" w:hAnsi="Symbol" w:hint="default"/>
      </w:rPr>
    </w:lvl>
    <w:lvl w:ilvl="7" w:tplc="78CA83B4" w:tentative="1">
      <w:start w:val="1"/>
      <w:numFmt w:val="bullet"/>
      <w:lvlText w:val="o"/>
      <w:lvlJc w:val="left"/>
      <w:pPr>
        <w:ind w:left="6157" w:hanging="360"/>
      </w:pPr>
      <w:rPr>
        <w:rFonts w:ascii="Courier New" w:hAnsi="Courier New" w:cs="Courier New" w:hint="default"/>
      </w:rPr>
    </w:lvl>
    <w:lvl w:ilvl="8" w:tplc="023030C0" w:tentative="1">
      <w:start w:val="1"/>
      <w:numFmt w:val="bullet"/>
      <w:lvlText w:val=""/>
      <w:lvlJc w:val="left"/>
      <w:pPr>
        <w:ind w:left="6877" w:hanging="360"/>
      </w:pPr>
      <w:rPr>
        <w:rFonts w:ascii="Wingdings" w:hAnsi="Wingdings" w:hint="default"/>
      </w:rPr>
    </w:lvl>
  </w:abstractNum>
  <w:abstractNum w:abstractNumId="10"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6"/>
  </w:num>
  <w:num w:numId="2">
    <w:abstractNumId w:val="2"/>
  </w:num>
  <w:num w:numId="3">
    <w:abstractNumId w:val="4"/>
  </w:num>
  <w:num w:numId="4">
    <w:abstractNumId w:val="10"/>
  </w:num>
  <w:num w:numId="5">
    <w:abstractNumId w:val="0"/>
  </w:num>
  <w:num w:numId="6">
    <w:abstractNumId w:val="5"/>
  </w:num>
  <w:num w:numId="7">
    <w:abstractNumId w:val="8"/>
  </w:num>
  <w:num w:numId="8">
    <w:abstractNumId w:val="1"/>
  </w:num>
  <w:num w:numId="9">
    <w:abstractNumId w:val="7"/>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2B"/>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7A0"/>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2EFB"/>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07F1"/>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3F68"/>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04E"/>
    <w:rsid w:val="00205724"/>
    <w:rsid w:val="00205C5F"/>
    <w:rsid w:val="00206236"/>
    <w:rsid w:val="002064F7"/>
    <w:rsid w:val="00206509"/>
    <w:rsid w:val="00206BDB"/>
    <w:rsid w:val="0020761B"/>
    <w:rsid w:val="00207F3D"/>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16E6"/>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0FF5"/>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790"/>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2EE"/>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54"/>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9"/>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381"/>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B34"/>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C3"/>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54"/>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0A6A"/>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0BA"/>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B5A"/>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26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853"/>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1D3"/>
    <w:rsid w:val="00E5332C"/>
    <w:rsid w:val="00E53353"/>
    <w:rsid w:val="00E535A6"/>
    <w:rsid w:val="00E53C45"/>
    <w:rsid w:val="00E53CE0"/>
    <w:rsid w:val="00E53DA7"/>
    <w:rsid w:val="00E540FC"/>
    <w:rsid w:val="00E54C11"/>
    <w:rsid w:val="00E55DB0"/>
    <w:rsid w:val="00E56721"/>
    <w:rsid w:val="00E5703B"/>
    <w:rsid w:val="00E57773"/>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2735"/>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591"/>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9D8"/>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8E9"/>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F"/>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aliases w:val="Footnote Reference_0,Footnote Reference_0_0,Footnote Reference_0_0_0,Footnote Reference_0_0_0_0,Footnote Reference_1,Footnote Reference_2,Footnote Reference_3,Footnote Reference_3_0,Footnote Reference_4,Footnote text,fr,מ"/>
    <w:basedOn w:val="a1"/>
    <w:unhideWhenUsed/>
    <w:rsid w:val="00CA7262"/>
    <w:rPr>
      <w:vertAlign w:val="superscript"/>
    </w:rPr>
  </w:style>
  <w:style w:type="paragraph" w:customStyle="1" w:styleId="714">
    <w:name w:val="71ג הזחה ראשונה ללא מספר"/>
    <w:basedOn w:val="a0"/>
    <w:qFormat/>
    <w:rsid w:val="00AB1054"/>
    <w:pPr>
      <w:spacing w:after="180" w:line="260" w:lineRule="exact"/>
      <w:ind w:left="397"/>
    </w:pPr>
    <w:rPr>
      <w:rFonts w:ascii="Tahoma" w:hAnsi="Tahoma" w:cs="Tahoma"/>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ta-d2app02:8080/D2/?docbase=NM_PRD&amp;locateId=090bbfda80223388" TargetMode="External"/><Relationship Id="rId3" Type="http://schemas.openxmlformats.org/officeDocument/2006/relationships/customXml" Target="../customXml/item3.xml"/><Relationship Id="rId21" Type="http://schemas.openxmlformats.org/officeDocument/2006/relationships/hyperlink" Target="http://ta-d2app02:8080/D2/?docbase=NM_PRD&amp;locateId=090bbfda80224544"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header" Target="header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B585-E386-42BD-9EBF-FD988702DA88}"/>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F7603606-5E1C-4A20-A662-7530344C0C79}">
  <ds:schemaRef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9297CF7-436D-4138-9D88-56E0FF8C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3208</Words>
  <Characters>16043</Characters>
  <Application>Microsoft Office Word</Application>
  <DocSecurity>0</DocSecurity>
  <Lines>133</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מסקלצ'י</cp:lastModifiedBy>
  <cp:revision>2</cp:revision>
  <cp:lastPrinted>2023-07-16T07:57:00Z</cp:lastPrinted>
  <dcterms:created xsi:type="dcterms:W3CDTF">2025-11-26T11:10:00Z</dcterms:created>
  <dcterms:modified xsi:type="dcterms:W3CDTF">2025-11-26T11:10:00Z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